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3AEFF334"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B470B5">
        <w:rPr>
          <w:rFonts w:ascii="Times New Roman" w:eastAsia="Times New Roman" w:hAnsi="Times New Roman" w:cs="Times New Roman"/>
          <w:b/>
          <w:color w:val="808080" w:themeColor="background1" w:themeShade="80"/>
        </w:rPr>
        <w:t xml:space="preserve"> 4</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370B7E3B" w14:textId="77777777" w:rsidR="00B470B5" w:rsidRPr="00B470B5" w:rsidRDefault="00B470B5" w:rsidP="00B470B5">
      <w:pPr>
        <w:spacing w:line="240" w:lineRule="auto"/>
        <w:jc w:val="center"/>
        <w:rPr>
          <w:rFonts w:ascii="Times New Roman" w:eastAsia="Times New Roman" w:hAnsi="Times New Roman" w:cs="Times New Roman"/>
          <w:b/>
          <w:sz w:val="28"/>
          <w:szCs w:val="28"/>
        </w:rPr>
      </w:pPr>
      <w:r w:rsidRPr="00B470B5">
        <w:rPr>
          <w:rFonts w:ascii="Times New Roman" w:eastAsia="Times New Roman" w:hAnsi="Times New Roman" w:cs="Times New Roman"/>
          <w:b/>
          <w:sz w:val="28"/>
          <w:szCs w:val="28"/>
        </w:rPr>
        <w:t>Gestão do Conhecimento como Facilitadora da Indústria 5.0 Sustentável:</w:t>
      </w:r>
    </w:p>
    <w:p w14:paraId="4EF679D2" w14:textId="77777777" w:rsidR="00B470B5" w:rsidRDefault="00B470B5" w:rsidP="00B470B5">
      <w:pPr>
        <w:spacing w:line="240" w:lineRule="auto"/>
        <w:jc w:val="center"/>
        <w:rPr>
          <w:rFonts w:ascii="Times New Roman" w:eastAsia="Times New Roman" w:hAnsi="Times New Roman" w:cs="Times New Roman"/>
          <w:b/>
          <w:sz w:val="28"/>
          <w:szCs w:val="28"/>
        </w:rPr>
      </w:pPr>
      <w:r w:rsidRPr="00B470B5">
        <w:rPr>
          <w:rFonts w:ascii="Times New Roman" w:eastAsia="Times New Roman" w:hAnsi="Times New Roman" w:cs="Times New Roman"/>
          <w:b/>
          <w:sz w:val="28"/>
          <w:szCs w:val="28"/>
        </w:rPr>
        <w:t>Conexões com os ODS e a Transformação Sociotécnica</w:t>
      </w:r>
    </w:p>
    <w:p w14:paraId="3EA57364" w14:textId="77777777" w:rsidR="00B470B5" w:rsidRPr="00B470B5" w:rsidRDefault="00B470B5" w:rsidP="00B470B5">
      <w:pPr>
        <w:spacing w:line="240" w:lineRule="auto"/>
        <w:jc w:val="center"/>
        <w:rPr>
          <w:rFonts w:ascii="Times New Roman" w:eastAsia="Times New Roman" w:hAnsi="Times New Roman" w:cs="Times New Roman"/>
          <w:b/>
          <w:sz w:val="28"/>
          <w:szCs w:val="28"/>
        </w:rPr>
      </w:pPr>
    </w:p>
    <w:p w14:paraId="60AC45B4" w14:textId="77777777" w:rsidR="00B470B5" w:rsidRPr="00B470B5" w:rsidRDefault="00B470B5" w:rsidP="00B470B5">
      <w:pPr>
        <w:spacing w:line="240" w:lineRule="auto"/>
        <w:jc w:val="center"/>
        <w:rPr>
          <w:rFonts w:ascii="Times New Roman" w:eastAsia="Times New Roman" w:hAnsi="Times New Roman" w:cs="Times New Roman"/>
          <w:bCs/>
          <w:i/>
          <w:iCs/>
          <w:sz w:val="28"/>
          <w:szCs w:val="28"/>
        </w:rPr>
      </w:pPr>
      <w:proofErr w:type="spellStart"/>
      <w:r w:rsidRPr="00B470B5">
        <w:rPr>
          <w:rFonts w:ascii="Times New Roman" w:eastAsia="Times New Roman" w:hAnsi="Times New Roman" w:cs="Times New Roman"/>
          <w:bCs/>
          <w:i/>
          <w:iCs/>
          <w:sz w:val="28"/>
          <w:szCs w:val="28"/>
        </w:rPr>
        <w:t>Knowledge</w:t>
      </w:r>
      <w:proofErr w:type="spellEnd"/>
      <w:r w:rsidRPr="00B470B5">
        <w:rPr>
          <w:rFonts w:ascii="Times New Roman" w:eastAsia="Times New Roman" w:hAnsi="Times New Roman" w:cs="Times New Roman"/>
          <w:bCs/>
          <w:i/>
          <w:iCs/>
          <w:sz w:val="28"/>
          <w:szCs w:val="28"/>
        </w:rPr>
        <w:t xml:space="preserve"> Management as </w:t>
      </w:r>
      <w:proofErr w:type="spellStart"/>
      <w:r w:rsidRPr="00B470B5">
        <w:rPr>
          <w:rFonts w:ascii="Times New Roman" w:eastAsia="Times New Roman" w:hAnsi="Times New Roman" w:cs="Times New Roman"/>
          <w:bCs/>
          <w:i/>
          <w:iCs/>
          <w:sz w:val="28"/>
          <w:szCs w:val="28"/>
        </w:rPr>
        <w:t>an</w:t>
      </w:r>
      <w:proofErr w:type="spellEnd"/>
      <w:r w:rsidRPr="00B470B5">
        <w:rPr>
          <w:rFonts w:ascii="Times New Roman" w:eastAsia="Times New Roman" w:hAnsi="Times New Roman" w:cs="Times New Roman"/>
          <w:bCs/>
          <w:i/>
          <w:iCs/>
          <w:sz w:val="28"/>
          <w:szCs w:val="28"/>
        </w:rPr>
        <w:t xml:space="preserve"> </w:t>
      </w:r>
      <w:proofErr w:type="spellStart"/>
      <w:r w:rsidRPr="00B470B5">
        <w:rPr>
          <w:rFonts w:ascii="Times New Roman" w:eastAsia="Times New Roman" w:hAnsi="Times New Roman" w:cs="Times New Roman"/>
          <w:bCs/>
          <w:i/>
          <w:iCs/>
          <w:sz w:val="28"/>
          <w:szCs w:val="28"/>
        </w:rPr>
        <w:t>Enabler</w:t>
      </w:r>
      <w:proofErr w:type="spellEnd"/>
      <w:r w:rsidRPr="00B470B5">
        <w:rPr>
          <w:rFonts w:ascii="Times New Roman" w:eastAsia="Times New Roman" w:hAnsi="Times New Roman" w:cs="Times New Roman"/>
          <w:bCs/>
          <w:i/>
          <w:iCs/>
          <w:sz w:val="28"/>
          <w:szCs w:val="28"/>
        </w:rPr>
        <w:t xml:space="preserve"> </w:t>
      </w:r>
      <w:proofErr w:type="spellStart"/>
      <w:r w:rsidRPr="00B470B5">
        <w:rPr>
          <w:rFonts w:ascii="Times New Roman" w:eastAsia="Times New Roman" w:hAnsi="Times New Roman" w:cs="Times New Roman"/>
          <w:bCs/>
          <w:i/>
          <w:iCs/>
          <w:sz w:val="28"/>
          <w:szCs w:val="28"/>
        </w:rPr>
        <w:t>of</w:t>
      </w:r>
      <w:proofErr w:type="spellEnd"/>
      <w:r w:rsidRPr="00B470B5">
        <w:rPr>
          <w:rFonts w:ascii="Times New Roman" w:eastAsia="Times New Roman" w:hAnsi="Times New Roman" w:cs="Times New Roman"/>
          <w:bCs/>
          <w:i/>
          <w:iCs/>
          <w:sz w:val="28"/>
          <w:szCs w:val="28"/>
        </w:rPr>
        <w:t xml:space="preserve"> </w:t>
      </w:r>
      <w:proofErr w:type="spellStart"/>
      <w:r w:rsidRPr="00B470B5">
        <w:rPr>
          <w:rFonts w:ascii="Times New Roman" w:eastAsia="Times New Roman" w:hAnsi="Times New Roman" w:cs="Times New Roman"/>
          <w:bCs/>
          <w:i/>
          <w:iCs/>
          <w:sz w:val="28"/>
          <w:szCs w:val="28"/>
        </w:rPr>
        <w:t>Sustainable</w:t>
      </w:r>
      <w:proofErr w:type="spellEnd"/>
      <w:r w:rsidRPr="00B470B5">
        <w:rPr>
          <w:rFonts w:ascii="Times New Roman" w:eastAsia="Times New Roman" w:hAnsi="Times New Roman" w:cs="Times New Roman"/>
          <w:bCs/>
          <w:i/>
          <w:iCs/>
          <w:sz w:val="28"/>
          <w:szCs w:val="28"/>
        </w:rPr>
        <w:t xml:space="preserve"> </w:t>
      </w:r>
      <w:proofErr w:type="spellStart"/>
      <w:r w:rsidRPr="00B470B5">
        <w:rPr>
          <w:rFonts w:ascii="Times New Roman" w:eastAsia="Times New Roman" w:hAnsi="Times New Roman" w:cs="Times New Roman"/>
          <w:bCs/>
          <w:i/>
          <w:iCs/>
          <w:sz w:val="28"/>
          <w:szCs w:val="28"/>
        </w:rPr>
        <w:t>Industry</w:t>
      </w:r>
      <w:proofErr w:type="spellEnd"/>
      <w:r w:rsidRPr="00B470B5">
        <w:rPr>
          <w:rFonts w:ascii="Times New Roman" w:eastAsia="Times New Roman" w:hAnsi="Times New Roman" w:cs="Times New Roman"/>
          <w:bCs/>
          <w:i/>
          <w:iCs/>
          <w:sz w:val="28"/>
          <w:szCs w:val="28"/>
        </w:rPr>
        <w:t xml:space="preserve"> 5.0:</w:t>
      </w:r>
    </w:p>
    <w:p w14:paraId="170E1265" w14:textId="4BFAF11E" w:rsidR="00D8471E" w:rsidRDefault="00B470B5" w:rsidP="00B470B5">
      <w:pPr>
        <w:spacing w:line="240" w:lineRule="auto"/>
        <w:jc w:val="center"/>
        <w:rPr>
          <w:rFonts w:ascii="Times New Roman" w:eastAsia="Times New Roman" w:hAnsi="Times New Roman" w:cs="Times New Roman"/>
          <w:bCs/>
          <w:i/>
          <w:iCs/>
          <w:sz w:val="28"/>
          <w:szCs w:val="28"/>
        </w:rPr>
      </w:pPr>
      <w:r w:rsidRPr="00B470B5">
        <w:rPr>
          <w:rFonts w:ascii="Times New Roman" w:eastAsia="Times New Roman" w:hAnsi="Times New Roman" w:cs="Times New Roman"/>
          <w:bCs/>
          <w:i/>
          <w:iCs/>
          <w:sz w:val="28"/>
          <w:szCs w:val="28"/>
        </w:rPr>
        <w:t xml:space="preserve">Connections </w:t>
      </w:r>
      <w:proofErr w:type="spellStart"/>
      <w:r w:rsidRPr="00B470B5">
        <w:rPr>
          <w:rFonts w:ascii="Times New Roman" w:eastAsia="Times New Roman" w:hAnsi="Times New Roman" w:cs="Times New Roman"/>
          <w:bCs/>
          <w:i/>
          <w:iCs/>
          <w:sz w:val="28"/>
          <w:szCs w:val="28"/>
        </w:rPr>
        <w:t>with</w:t>
      </w:r>
      <w:proofErr w:type="spellEnd"/>
      <w:r w:rsidRPr="00B470B5">
        <w:rPr>
          <w:rFonts w:ascii="Times New Roman" w:eastAsia="Times New Roman" w:hAnsi="Times New Roman" w:cs="Times New Roman"/>
          <w:bCs/>
          <w:i/>
          <w:iCs/>
          <w:sz w:val="28"/>
          <w:szCs w:val="28"/>
        </w:rPr>
        <w:t xml:space="preserve"> </w:t>
      </w:r>
      <w:proofErr w:type="spellStart"/>
      <w:r w:rsidRPr="00B470B5">
        <w:rPr>
          <w:rFonts w:ascii="Times New Roman" w:eastAsia="Times New Roman" w:hAnsi="Times New Roman" w:cs="Times New Roman"/>
          <w:bCs/>
          <w:i/>
          <w:iCs/>
          <w:sz w:val="28"/>
          <w:szCs w:val="28"/>
        </w:rPr>
        <w:t>the</w:t>
      </w:r>
      <w:proofErr w:type="spellEnd"/>
      <w:r w:rsidRPr="00B470B5">
        <w:rPr>
          <w:rFonts w:ascii="Times New Roman" w:eastAsia="Times New Roman" w:hAnsi="Times New Roman" w:cs="Times New Roman"/>
          <w:bCs/>
          <w:i/>
          <w:iCs/>
          <w:sz w:val="28"/>
          <w:szCs w:val="28"/>
        </w:rPr>
        <w:t xml:space="preserve"> </w:t>
      </w:r>
      <w:proofErr w:type="spellStart"/>
      <w:r w:rsidRPr="00B470B5">
        <w:rPr>
          <w:rFonts w:ascii="Times New Roman" w:eastAsia="Times New Roman" w:hAnsi="Times New Roman" w:cs="Times New Roman"/>
          <w:bCs/>
          <w:i/>
          <w:iCs/>
          <w:sz w:val="28"/>
          <w:szCs w:val="28"/>
        </w:rPr>
        <w:t>SDGs</w:t>
      </w:r>
      <w:proofErr w:type="spellEnd"/>
      <w:r w:rsidRPr="00B470B5">
        <w:rPr>
          <w:rFonts w:ascii="Times New Roman" w:eastAsia="Times New Roman" w:hAnsi="Times New Roman" w:cs="Times New Roman"/>
          <w:bCs/>
          <w:i/>
          <w:iCs/>
          <w:sz w:val="28"/>
          <w:szCs w:val="28"/>
        </w:rPr>
        <w:t xml:space="preserve"> </w:t>
      </w:r>
      <w:proofErr w:type="spellStart"/>
      <w:r w:rsidRPr="00B470B5">
        <w:rPr>
          <w:rFonts w:ascii="Times New Roman" w:eastAsia="Times New Roman" w:hAnsi="Times New Roman" w:cs="Times New Roman"/>
          <w:bCs/>
          <w:i/>
          <w:iCs/>
          <w:sz w:val="28"/>
          <w:szCs w:val="28"/>
        </w:rPr>
        <w:t>and</w:t>
      </w:r>
      <w:proofErr w:type="spellEnd"/>
      <w:r w:rsidRPr="00B470B5">
        <w:rPr>
          <w:rFonts w:ascii="Times New Roman" w:eastAsia="Times New Roman" w:hAnsi="Times New Roman" w:cs="Times New Roman"/>
          <w:bCs/>
          <w:i/>
          <w:iCs/>
          <w:sz w:val="28"/>
          <w:szCs w:val="28"/>
        </w:rPr>
        <w:t xml:space="preserve"> </w:t>
      </w:r>
      <w:proofErr w:type="spellStart"/>
      <w:r w:rsidRPr="00B470B5">
        <w:rPr>
          <w:rFonts w:ascii="Times New Roman" w:eastAsia="Times New Roman" w:hAnsi="Times New Roman" w:cs="Times New Roman"/>
          <w:bCs/>
          <w:i/>
          <w:iCs/>
          <w:sz w:val="28"/>
          <w:szCs w:val="28"/>
        </w:rPr>
        <w:t>Sociotechnical</w:t>
      </w:r>
      <w:proofErr w:type="spellEnd"/>
      <w:r w:rsidRPr="00B470B5">
        <w:rPr>
          <w:rFonts w:ascii="Times New Roman" w:eastAsia="Times New Roman" w:hAnsi="Times New Roman" w:cs="Times New Roman"/>
          <w:bCs/>
          <w:i/>
          <w:iCs/>
          <w:sz w:val="28"/>
          <w:szCs w:val="28"/>
        </w:rPr>
        <w:t xml:space="preserve"> </w:t>
      </w:r>
      <w:proofErr w:type="spellStart"/>
      <w:r w:rsidRPr="00B470B5">
        <w:rPr>
          <w:rFonts w:ascii="Times New Roman" w:eastAsia="Times New Roman" w:hAnsi="Times New Roman" w:cs="Times New Roman"/>
          <w:bCs/>
          <w:i/>
          <w:iCs/>
          <w:sz w:val="28"/>
          <w:szCs w:val="28"/>
        </w:rPr>
        <w:t>Transformation</w:t>
      </w:r>
      <w:proofErr w:type="spellEnd"/>
    </w:p>
    <w:p w14:paraId="69932D84" w14:textId="77777777" w:rsidR="00EF44BD" w:rsidRPr="00B470B5" w:rsidRDefault="00EF44BD" w:rsidP="00B470B5">
      <w:pPr>
        <w:spacing w:line="240" w:lineRule="auto"/>
        <w:jc w:val="center"/>
        <w:rPr>
          <w:rFonts w:ascii="Times New Roman" w:eastAsia="Times New Roman" w:hAnsi="Times New Roman" w:cs="Times New Roman"/>
          <w:bCs/>
          <w:i/>
          <w:iCs/>
          <w:sz w:val="24"/>
          <w:szCs w:val="24"/>
        </w:rPr>
      </w:pPr>
    </w:p>
    <w:p w14:paraId="102471C0" w14:textId="77777777" w:rsidR="00EF44BD" w:rsidRPr="006F452E" w:rsidRDefault="00EF44BD" w:rsidP="00EF44BD">
      <w:pPr>
        <w:spacing w:line="240" w:lineRule="auto"/>
        <w:jc w:val="right"/>
        <w:rPr>
          <w:rFonts w:ascii="Times New Roman" w:eastAsia="Times New Roman" w:hAnsi="Times New Roman" w:cs="Times New Roman"/>
          <w:b/>
          <w:bCs/>
        </w:rPr>
      </w:pPr>
      <w:r w:rsidRPr="00EC63F0">
        <w:rPr>
          <w:rFonts w:ascii="Times New Roman" w:eastAsia="Times New Roman" w:hAnsi="Times New Roman" w:cs="Times New Roman"/>
          <w:b/>
          <w:bCs/>
        </w:rPr>
        <w:t>Jurema Suely de Araújo Nery Ribeiro</w:t>
      </w:r>
    </w:p>
    <w:p w14:paraId="612C9403" w14:textId="77777777" w:rsidR="00EF44BD" w:rsidRDefault="00EF44BD" w:rsidP="00EF44BD">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Doutorado. Universidade FUMEC (FUMEC) – Brasil. </w:t>
      </w:r>
    </w:p>
    <w:p w14:paraId="063718F3" w14:textId="77777777" w:rsidR="00EF44BD" w:rsidRDefault="00EF44BD" w:rsidP="00EF44BD">
      <w:pPr>
        <w:spacing w:line="240" w:lineRule="auto"/>
        <w:jc w:val="right"/>
        <w:rPr>
          <w:rFonts w:ascii="Times New Roman" w:eastAsia="Times New Roman" w:hAnsi="Times New Roman" w:cs="Times New Roman"/>
        </w:rPr>
      </w:pPr>
      <w:r>
        <w:rPr>
          <w:rFonts w:ascii="Times New Roman" w:eastAsia="Times New Roman" w:hAnsi="Times New Roman" w:cs="Times New Roman"/>
        </w:rPr>
        <w:t>jurema.nery@fumec.br.</w:t>
      </w:r>
    </w:p>
    <w:p w14:paraId="0AC4DE4C" w14:textId="77777777" w:rsidR="00EF44BD" w:rsidRPr="00EC63F0" w:rsidRDefault="00EF44BD" w:rsidP="00EF44BD">
      <w:pPr>
        <w:spacing w:line="240" w:lineRule="auto"/>
        <w:jc w:val="right"/>
        <w:rPr>
          <w:rFonts w:ascii="Times New Roman" w:eastAsia="Times New Roman" w:hAnsi="Times New Roman" w:cs="Times New Roman"/>
          <w:b/>
          <w:bCs/>
        </w:rPr>
      </w:pPr>
      <w:r w:rsidRPr="00EC63F0">
        <w:rPr>
          <w:rFonts w:ascii="Times New Roman" w:eastAsia="Times New Roman" w:hAnsi="Times New Roman" w:cs="Times New Roman"/>
          <w:b/>
          <w:bCs/>
        </w:rPr>
        <w:t xml:space="preserve">Fabiana Paula Moreira do Carmo Furtado </w:t>
      </w:r>
    </w:p>
    <w:p w14:paraId="3D90D00B" w14:textId="26A2FC9A" w:rsidR="00EF44BD" w:rsidRDefault="00EF44BD" w:rsidP="00EF44BD">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Doutoranda. </w:t>
      </w:r>
      <w:r>
        <w:rPr>
          <w:rFonts w:ascii="Times New Roman" w:eastAsia="Times New Roman" w:hAnsi="Times New Roman" w:cs="Times New Roman"/>
        </w:rPr>
        <w:t>Universidade FUMEC (FUMEC) – Brasil.</w:t>
      </w:r>
    </w:p>
    <w:p w14:paraId="778A05F1" w14:textId="77777777" w:rsidR="00EF44BD" w:rsidRDefault="00EF44BD" w:rsidP="00EF44BD">
      <w:pPr>
        <w:spacing w:line="240" w:lineRule="auto"/>
        <w:jc w:val="right"/>
        <w:rPr>
          <w:rFonts w:ascii="Times New Roman" w:eastAsia="Times New Roman" w:hAnsi="Times New Roman" w:cs="Times New Roman"/>
        </w:rPr>
      </w:pPr>
      <w:r w:rsidRPr="00EC63F0">
        <w:rPr>
          <w:rFonts w:ascii="Times New Roman" w:eastAsia="Times New Roman" w:hAnsi="Times New Roman" w:cs="Times New Roman"/>
        </w:rPr>
        <w:t>fabianapaulafurtado@gmail.com</w:t>
      </w:r>
      <w:r>
        <w:rPr>
          <w:rFonts w:ascii="Times New Roman" w:eastAsia="Times New Roman" w:hAnsi="Times New Roman" w:cs="Times New Roman"/>
        </w:rPr>
        <w:t>.</w:t>
      </w:r>
    </w:p>
    <w:p w14:paraId="0512E77D" w14:textId="77777777" w:rsidR="00EF44BD" w:rsidRPr="00EC63F0" w:rsidRDefault="00EF44BD" w:rsidP="00EF44BD">
      <w:pPr>
        <w:spacing w:line="240" w:lineRule="auto"/>
        <w:jc w:val="right"/>
        <w:rPr>
          <w:rFonts w:ascii="Times New Roman" w:eastAsia="Times New Roman" w:hAnsi="Times New Roman" w:cs="Times New Roman"/>
          <w:b/>
          <w:bCs/>
        </w:rPr>
      </w:pPr>
      <w:r w:rsidRPr="00EC63F0">
        <w:rPr>
          <w:rFonts w:ascii="Times New Roman" w:eastAsia="Times New Roman" w:hAnsi="Times New Roman" w:cs="Times New Roman"/>
          <w:b/>
          <w:bCs/>
        </w:rPr>
        <w:t xml:space="preserve">Renata de Souza França </w:t>
      </w:r>
    </w:p>
    <w:p w14:paraId="4147607B" w14:textId="77777777" w:rsidR="00EF44BD" w:rsidRDefault="00EF44BD" w:rsidP="00EF44BD">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Doutorado. Fundação João Pinheiro (FJP) – Brasil. </w:t>
      </w:r>
    </w:p>
    <w:p w14:paraId="6A4D1FC1" w14:textId="77777777" w:rsidR="00EF44BD" w:rsidRDefault="00EF44BD" w:rsidP="00EF44BD">
      <w:pPr>
        <w:spacing w:line="240" w:lineRule="auto"/>
        <w:jc w:val="right"/>
        <w:rPr>
          <w:rFonts w:ascii="Times New Roman" w:eastAsia="Times New Roman" w:hAnsi="Times New Roman" w:cs="Times New Roman"/>
        </w:rPr>
      </w:pPr>
      <w:r>
        <w:rPr>
          <w:rFonts w:ascii="Times New Roman" w:eastAsia="Times New Roman" w:hAnsi="Times New Roman" w:cs="Times New Roman"/>
        </w:rPr>
        <w:t>p</w:t>
      </w:r>
      <w:r w:rsidRPr="00EC63F0">
        <w:rPr>
          <w:rFonts w:ascii="Times New Roman" w:eastAsia="Times New Roman" w:hAnsi="Times New Roman" w:cs="Times New Roman"/>
        </w:rPr>
        <w:t>rofrenatafranca@gmail.com</w:t>
      </w:r>
      <w:r>
        <w:rPr>
          <w:rFonts w:ascii="Times New Roman" w:eastAsia="Times New Roman" w:hAnsi="Times New Roman" w:cs="Times New Roman"/>
        </w:rPr>
        <w:t>.</w:t>
      </w:r>
      <w:r w:rsidRPr="00EC63F0">
        <w:rPr>
          <w:rFonts w:ascii="Times New Roman" w:eastAsia="Times New Roman" w:hAnsi="Times New Roman" w:cs="Times New Roman"/>
        </w:rPr>
        <w:t xml:space="preserve"> </w:t>
      </w:r>
    </w:p>
    <w:p w14:paraId="2BC81D7C" w14:textId="77777777" w:rsidR="00EF44BD" w:rsidRPr="00EC63F0" w:rsidRDefault="00EF44BD" w:rsidP="00EF44BD">
      <w:pPr>
        <w:spacing w:line="240" w:lineRule="auto"/>
        <w:jc w:val="right"/>
        <w:rPr>
          <w:rFonts w:ascii="Times New Roman" w:eastAsia="Times New Roman" w:hAnsi="Times New Roman" w:cs="Times New Roman"/>
          <w:b/>
          <w:bCs/>
        </w:rPr>
      </w:pPr>
      <w:r w:rsidRPr="00EC63F0">
        <w:rPr>
          <w:rFonts w:ascii="Times New Roman" w:eastAsia="Times New Roman" w:hAnsi="Times New Roman" w:cs="Times New Roman"/>
          <w:b/>
          <w:bCs/>
        </w:rPr>
        <w:t xml:space="preserve">Frederico Giffoni de Carvalho Dutra </w:t>
      </w:r>
    </w:p>
    <w:p w14:paraId="371FE6E1" w14:textId="77777777" w:rsidR="00EF44BD" w:rsidRDefault="00EF44BD" w:rsidP="00EF44BD">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Doutorado. Universidade FUMEC (FUMEC) – Brasil </w:t>
      </w:r>
    </w:p>
    <w:p w14:paraId="5DE90E7E" w14:textId="77777777" w:rsidR="00EF44BD" w:rsidRDefault="00EF44BD" w:rsidP="00EF44BD">
      <w:pPr>
        <w:spacing w:line="240" w:lineRule="auto"/>
        <w:jc w:val="right"/>
        <w:rPr>
          <w:rFonts w:ascii="Times New Roman" w:eastAsia="Times New Roman" w:hAnsi="Times New Roman" w:cs="Times New Roman"/>
          <w:sz w:val="24"/>
          <w:szCs w:val="24"/>
        </w:rPr>
      </w:pPr>
      <w:r w:rsidRPr="00EC63F0">
        <w:rPr>
          <w:rFonts w:ascii="Times New Roman" w:eastAsia="Times New Roman" w:hAnsi="Times New Roman" w:cs="Times New Roman"/>
        </w:rPr>
        <w:t>fgcdutra@gmail.com</w:t>
      </w:r>
      <w:r>
        <w:rPr>
          <w:rFonts w:ascii="Times New Roman" w:eastAsia="Times New Roman" w:hAnsi="Times New Roman" w:cs="Times New Roman"/>
        </w:rPr>
        <w:t>.</w:t>
      </w:r>
    </w:p>
    <w:p w14:paraId="50DDDFEC" w14:textId="77777777" w:rsidR="00EF44BD" w:rsidRPr="00EC63F0" w:rsidRDefault="00EF44BD" w:rsidP="00EF44BD">
      <w:pPr>
        <w:spacing w:line="240" w:lineRule="auto"/>
        <w:jc w:val="right"/>
        <w:rPr>
          <w:rFonts w:ascii="Times New Roman" w:eastAsia="Times New Roman" w:hAnsi="Times New Roman" w:cs="Times New Roman"/>
          <w:b/>
          <w:bCs/>
        </w:rPr>
      </w:pPr>
      <w:r w:rsidRPr="00EC63F0">
        <w:rPr>
          <w:rFonts w:ascii="Times New Roman" w:eastAsia="Times New Roman" w:hAnsi="Times New Roman" w:cs="Times New Roman"/>
          <w:b/>
          <w:bCs/>
        </w:rPr>
        <w:t xml:space="preserve">Helton </w:t>
      </w:r>
      <w:proofErr w:type="spellStart"/>
      <w:r w:rsidRPr="00EC63F0">
        <w:rPr>
          <w:rFonts w:ascii="Times New Roman" w:eastAsia="Times New Roman" w:hAnsi="Times New Roman" w:cs="Times New Roman"/>
          <w:b/>
          <w:bCs/>
        </w:rPr>
        <w:t>Junio</w:t>
      </w:r>
      <w:proofErr w:type="spellEnd"/>
      <w:r w:rsidRPr="00EC63F0">
        <w:rPr>
          <w:rFonts w:ascii="Times New Roman" w:eastAsia="Times New Roman" w:hAnsi="Times New Roman" w:cs="Times New Roman"/>
          <w:b/>
          <w:bCs/>
        </w:rPr>
        <w:t xml:space="preserve"> Da Silva </w:t>
      </w:r>
    </w:p>
    <w:p w14:paraId="6AE44D01" w14:textId="77777777" w:rsidR="00EF44BD" w:rsidRDefault="00EF44BD" w:rsidP="00EF44BD">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Doutorado. Universidade FUMEC (FUMEC) – Brasil </w:t>
      </w:r>
    </w:p>
    <w:p w14:paraId="536B0B42" w14:textId="77777777" w:rsidR="00EF44BD" w:rsidRDefault="00EF44BD" w:rsidP="00EF44BD">
      <w:pPr>
        <w:spacing w:line="240" w:lineRule="auto"/>
        <w:jc w:val="right"/>
        <w:rPr>
          <w:rFonts w:ascii="Times New Roman" w:eastAsia="Times New Roman" w:hAnsi="Times New Roman" w:cs="Times New Roman"/>
          <w:sz w:val="24"/>
          <w:szCs w:val="24"/>
        </w:rPr>
      </w:pPr>
      <w:r w:rsidRPr="00EC63F0">
        <w:rPr>
          <w:rFonts w:ascii="Times New Roman" w:eastAsia="Times New Roman" w:hAnsi="Times New Roman" w:cs="Times New Roman"/>
        </w:rPr>
        <w:t>heltonjunio@yahoo.com.br</w:t>
      </w:r>
      <w:r>
        <w:rPr>
          <w:rFonts w:ascii="Times New Roman" w:eastAsia="Times New Roman" w:hAnsi="Times New Roman" w:cs="Times New Roman"/>
        </w:rPr>
        <w:t>.</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02FBC617" w14:textId="77777777" w:rsidR="00B470B5" w:rsidRPr="00785F29" w:rsidRDefault="00B470B5" w:rsidP="00B470B5">
      <w:pPr>
        <w:spacing w:line="240" w:lineRule="auto"/>
        <w:jc w:val="both"/>
        <w:rPr>
          <w:rFonts w:ascii="Times New Roman" w:hAnsi="Times New Roman" w:cs="Times New Roman"/>
          <w:b/>
          <w:bCs/>
          <w:sz w:val="24"/>
          <w:szCs w:val="24"/>
        </w:rPr>
      </w:pPr>
      <w:r w:rsidRPr="00785F29">
        <w:rPr>
          <w:rFonts w:ascii="Times New Roman" w:hAnsi="Times New Roman" w:cs="Times New Roman"/>
          <w:b/>
          <w:bCs/>
          <w:sz w:val="24"/>
          <w:szCs w:val="24"/>
        </w:rPr>
        <w:t>Resumo</w:t>
      </w:r>
    </w:p>
    <w:p w14:paraId="0FEB236B" w14:textId="77777777" w:rsidR="00B470B5" w:rsidRDefault="00B470B5" w:rsidP="00B470B5">
      <w:pPr>
        <w:spacing w:line="240" w:lineRule="auto"/>
        <w:jc w:val="both"/>
        <w:rPr>
          <w:rFonts w:ascii="Times New Roman" w:hAnsi="Times New Roman" w:cs="Times New Roman"/>
          <w:sz w:val="24"/>
          <w:szCs w:val="24"/>
        </w:rPr>
      </w:pPr>
      <w:r w:rsidRPr="00635199">
        <w:rPr>
          <w:rFonts w:ascii="Times New Roman" w:hAnsi="Times New Roman" w:cs="Times New Roman"/>
          <w:sz w:val="24"/>
          <w:szCs w:val="24"/>
        </w:rPr>
        <w:t>A Indústria 5.0 desponta como uma evolução da Indústria 4.0 ao enfatizar não apenas a eficiência tecnológica, mas também a centralidade do ser humano (humanização), a sustentabilidade e a inovação ética. Em um cenário global marcado por desafios socioambientais e pela urgência do cumprimento da Agenda 2030 da ONU, torna-se necessário investigar como esse novo paradigma industrial pode contribuir para os Objetivos de Desenvolvimento Sustentável (ODS). Este estudo tem como objetivo</w:t>
      </w:r>
      <w:r>
        <w:rPr>
          <w:rFonts w:ascii="Times New Roman" w:hAnsi="Times New Roman" w:cs="Times New Roman"/>
          <w:sz w:val="24"/>
          <w:szCs w:val="24"/>
        </w:rPr>
        <w:t>, à Luz da Gestão do Conhecimento (GC),</w:t>
      </w:r>
      <w:r w:rsidRPr="00635199">
        <w:rPr>
          <w:rFonts w:ascii="Times New Roman" w:hAnsi="Times New Roman" w:cs="Times New Roman"/>
          <w:sz w:val="24"/>
          <w:szCs w:val="24"/>
        </w:rPr>
        <w:t xml:space="preserve"> analisar o papel da Indústria 5.0 na promoção dos ODS, com foco em práticas produtivas mais inclusivas, sustentáveis e orientadas por valores éticos. A metodologia adotada possui abordagem qualitativa, combinando uma Revisão Sistemática da Literatura com 20 artigos publicados entre 2019 e 2024, e a realização de 10 entrevistas semiestruturadas com especialistas dos setores acadêmico, industrial e governamental. Os resultados revelam forte convergência entre os princípios da Indústria 5.0 e os ODS 8, 9, 10, 12 e 13. Entre os principais insights estão: a necessidade de políticas públicas inclusivas, capacitação profissional contínua, o papel das tecnologias habilitadoras para reduzir desigualdades e o fortalecimento da ética na automação e na tomada de decisões inteligentes. Conclui-se que a Indústria 5.0 representa mais do que um avanço tecnológico: trata-se de uma mudança de paradigma sociotécnico voltada à produção com propósito, respeitando os limites ambientais e promovendo o bem-estar humano, desde que haja cooperação multissetorial, justiça social e governança responsável da inovação</w:t>
      </w:r>
    </w:p>
    <w:p w14:paraId="4ABA8927" w14:textId="77777777" w:rsidR="00B470B5" w:rsidRPr="00785F29" w:rsidRDefault="00B470B5" w:rsidP="00B470B5">
      <w:pPr>
        <w:spacing w:line="240" w:lineRule="auto"/>
        <w:jc w:val="both"/>
        <w:rPr>
          <w:rFonts w:ascii="Times New Roman" w:hAnsi="Times New Roman" w:cs="Times New Roman"/>
          <w:sz w:val="24"/>
          <w:szCs w:val="24"/>
        </w:rPr>
      </w:pPr>
    </w:p>
    <w:p w14:paraId="712C805F" w14:textId="77777777" w:rsidR="00B470B5" w:rsidRPr="00785F29" w:rsidRDefault="00B470B5" w:rsidP="00B470B5">
      <w:pPr>
        <w:spacing w:line="240" w:lineRule="auto"/>
        <w:jc w:val="both"/>
        <w:rPr>
          <w:rFonts w:ascii="Times New Roman" w:hAnsi="Times New Roman" w:cs="Times New Roman"/>
          <w:sz w:val="24"/>
          <w:szCs w:val="24"/>
        </w:rPr>
      </w:pPr>
      <w:r w:rsidRPr="00785F29">
        <w:rPr>
          <w:rFonts w:ascii="Times New Roman" w:hAnsi="Times New Roman" w:cs="Times New Roman"/>
          <w:b/>
          <w:bCs/>
          <w:sz w:val="24"/>
          <w:szCs w:val="24"/>
        </w:rPr>
        <w:t>Palavras-chave</w:t>
      </w:r>
      <w:r w:rsidRPr="00785F29">
        <w:rPr>
          <w:rFonts w:ascii="Times New Roman" w:hAnsi="Times New Roman" w:cs="Times New Roman"/>
          <w:sz w:val="24"/>
          <w:szCs w:val="24"/>
        </w:rPr>
        <w:t>: Gestão do Conhecimento; Indústria 5.0; Sustentabilidade; ODS; Inovação Colaborativa.</w:t>
      </w:r>
    </w:p>
    <w:p w14:paraId="5345A93B" w14:textId="77777777" w:rsidR="00B470B5" w:rsidRPr="00785F29" w:rsidRDefault="00B470B5" w:rsidP="00B470B5">
      <w:pPr>
        <w:spacing w:line="240" w:lineRule="auto"/>
        <w:jc w:val="both"/>
        <w:rPr>
          <w:rFonts w:ascii="Times New Roman" w:hAnsi="Times New Roman" w:cs="Times New Roman"/>
          <w:b/>
          <w:bCs/>
          <w:sz w:val="24"/>
          <w:szCs w:val="24"/>
        </w:rPr>
      </w:pPr>
    </w:p>
    <w:p w14:paraId="327A2BDA" w14:textId="77777777" w:rsidR="00B470B5" w:rsidRPr="00785F29" w:rsidRDefault="00B470B5" w:rsidP="00B470B5">
      <w:pPr>
        <w:spacing w:line="240" w:lineRule="auto"/>
        <w:jc w:val="both"/>
        <w:rPr>
          <w:rFonts w:ascii="Times New Roman" w:hAnsi="Times New Roman" w:cs="Times New Roman"/>
          <w:b/>
          <w:bCs/>
          <w:sz w:val="24"/>
          <w:szCs w:val="24"/>
          <w:lang w:val="de-DE"/>
        </w:rPr>
      </w:pPr>
      <w:r w:rsidRPr="00785F29">
        <w:rPr>
          <w:rFonts w:ascii="Times New Roman" w:hAnsi="Times New Roman" w:cs="Times New Roman"/>
          <w:b/>
          <w:bCs/>
          <w:sz w:val="24"/>
          <w:szCs w:val="24"/>
          <w:lang w:val="de-DE"/>
        </w:rPr>
        <w:t>Abstract</w:t>
      </w:r>
    </w:p>
    <w:p w14:paraId="13F127DC" w14:textId="77777777" w:rsidR="00B470B5" w:rsidRPr="0031629B" w:rsidRDefault="00B470B5" w:rsidP="00B470B5">
      <w:pPr>
        <w:spacing w:line="240" w:lineRule="auto"/>
        <w:jc w:val="both"/>
        <w:rPr>
          <w:rFonts w:ascii="Times New Roman" w:hAnsi="Times New Roman" w:cs="Times New Roman"/>
          <w:i/>
          <w:iCs/>
          <w:sz w:val="24"/>
          <w:szCs w:val="24"/>
          <w:lang w:val="de-DE"/>
        </w:rPr>
      </w:pPr>
      <w:r w:rsidRPr="0031629B">
        <w:rPr>
          <w:rFonts w:ascii="Times New Roman" w:hAnsi="Times New Roman" w:cs="Times New Roman"/>
          <w:i/>
          <w:iCs/>
          <w:sz w:val="24"/>
          <w:szCs w:val="24"/>
          <w:lang w:val="de-DE"/>
        </w:rPr>
        <w:t xml:space="preserve">Industry 5.0 emerges as an evolution of Industry 4.0 by emphasizing not only technological efficiency but also the centrality of the human being (humanization), sustainability, and ethical </w:t>
      </w:r>
      <w:r w:rsidRPr="0031629B">
        <w:rPr>
          <w:rFonts w:ascii="Times New Roman" w:hAnsi="Times New Roman" w:cs="Times New Roman"/>
          <w:i/>
          <w:iCs/>
          <w:sz w:val="24"/>
          <w:szCs w:val="24"/>
          <w:lang w:val="de-DE"/>
        </w:rPr>
        <w:lastRenderedPageBreak/>
        <w:t>innovation.</w:t>
      </w:r>
      <w:r>
        <w:rPr>
          <w:rFonts w:ascii="Times New Roman" w:hAnsi="Times New Roman" w:cs="Times New Roman"/>
          <w:i/>
          <w:iCs/>
          <w:sz w:val="24"/>
          <w:szCs w:val="24"/>
          <w:lang w:val="de-DE"/>
        </w:rPr>
        <w:t xml:space="preserve"> </w:t>
      </w:r>
      <w:r w:rsidRPr="0031629B">
        <w:rPr>
          <w:rFonts w:ascii="Times New Roman" w:hAnsi="Times New Roman" w:cs="Times New Roman"/>
          <w:i/>
          <w:iCs/>
          <w:sz w:val="24"/>
          <w:szCs w:val="24"/>
          <w:lang w:val="de-DE"/>
        </w:rPr>
        <w:t>In a global context marked by socio-environmental challenges and the urgency to meet the United Nations 2030 Agenda, it becomes necessary to investigate how this new industrial paradigm can contribute to the Sustainable Development Goals (SDGs).</w:t>
      </w:r>
    </w:p>
    <w:p w14:paraId="2592D859" w14:textId="77777777" w:rsidR="00B470B5" w:rsidRPr="0031629B" w:rsidRDefault="00B470B5" w:rsidP="00B470B5">
      <w:pPr>
        <w:spacing w:line="240" w:lineRule="auto"/>
        <w:jc w:val="both"/>
        <w:rPr>
          <w:rFonts w:ascii="Times New Roman" w:hAnsi="Times New Roman" w:cs="Times New Roman"/>
          <w:i/>
          <w:iCs/>
          <w:sz w:val="24"/>
          <w:szCs w:val="24"/>
          <w:lang w:val="de-DE"/>
        </w:rPr>
      </w:pPr>
      <w:r w:rsidRPr="0031629B">
        <w:rPr>
          <w:rFonts w:ascii="Times New Roman" w:hAnsi="Times New Roman" w:cs="Times New Roman"/>
          <w:i/>
          <w:iCs/>
          <w:sz w:val="24"/>
          <w:szCs w:val="24"/>
          <w:lang w:val="de-DE"/>
        </w:rPr>
        <w:t>This study aims, under the lens of Knowledge Management (KM), to analyze the role of Industry 5.0 in promoting the SDGs, with a focus on more inclusive, sustainable, and ethically driven productive practices.</w:t>
      </w:r>
      <w:r>
        <w:rPr>
          <w:rFonts w:ascii="Times New Roman" w:hAnsi="Times New Roman" w:cs="Times New Roman"/>
          <w:i/>
          <w:iCs/>
          <w:sz w:val="24"/>
          <w:szCs w:val="24"/>
          <w:lang w:val="de-DE"/>
        </w:rPr>
        <w:t xml:space="preserve"> </w:t>
      </w:r>
      <w:r w:rsidRPr="0031629B">
        <w:rPr>
          <w:rFonts w:ascii="Times New Roman" w:hAnsi="Times New Roman" w:cs="Times New Roman"/>
          <w:i/>
          <w:iCs/>
          <w:sz w:val="24"/>
          <w:szCs w:val="24"/>
          <w:lang w:val="de-DE"/>
        </w:rPr>
        <w:t>The methodology adopts a qualitative approach, combining a Systematic Literature Review of 20 articles published between 2019 and 2024 with 10 semi-structured interviews conducted with experts from academic, industrial, and governmental sectors.</w:t>
      </w:r>
      <w:r>
        <w:rPr>
          <w:rFonts w:ascii="Times New Roman" w:hAnsi="Times New Roman" w:cs="Times New Roman"/>
          <w:i/>
          <w:iCs/>
          <w:sz w:val="24"/>
          <w:szCs w:val="24"/>
          <w:lang w:val="de-DE"/>
        </w:rPr>
        <w:t xml:space="preserve"> </w:t>
      </w:r>
    </w:p>
    <w:p w14:paraId="0D82955E" w14:textId="77777777" w:rsidR="00B470B5" w:rsidRDefault="00B470B5" w:rsidP="00B470B5">
      <w:pPr>
        <w:spacing w:line="240" w:lineRule="auto"/>
        <w:jc w:val="both"/>
        <w:rPr>
          <w:rFonts w:ascii="Times New Roman" w:hAnsi="Times New Roman" w:cs="Times New Roman"/>
          <w:i/>
          <w:iCs/>
          <w:sz w:val="24"/>
          <w:szCs w:val="24"/>
          <w:lang w:val="de-DE"/>
        </w:rPr>
      </w:pPr>
      <w:r w:rsidRPr="0031629B">
        <w:rPr>
          <w:rFonts w:ascii="Times New Roman" w:hAnsi="Times New Roman" w:cs="Times New Roman"/>
          <w:i/>
          <w:iCs/>
          <w:sz w:val="24"/>
          <w:szCs w:val="24"/>
          <w:lang w:val="de-DE"/>
        </w:rPr>
        <w:t>The findings reveal a strong convergence between the principles of Industry 5.0 and SDGs 8, 9, 10, 12, and 13.</w:t>
      </w:r>
      <w:r>
        <w:rPr>
          <w:rFonts w:ascii="Times New Roman" w:hAnsi="Times New Roman" w:cs="Times New Roman"/>
          <w:i/>
          <w:iCs/>
          <w:sz w:val="24"/>
          <w:szCs w:val="24"/>
          <w:lang w:val="de-DE"/>
        </w:rPr>
        <w:t xml:space="preserve"> </w:t>
      </w:r>
      <w:r w:rsidRPr="0031629B">
        <w:rPr>
          <w:rFonts w:ascii="Times New Roman" w:hAnsi="Times New Roman" w:cs="Times New Roman"/>
          <w:i/>
          <w:iCs/>
          <w:sz w:val="24"/>
          <w:szCs w:val="24"/>
          <w:lang w:val="de-DE"/>
        </w:rPr>
        <w:t>Key takeaways include: the need for inclusive public policies, ongoing professional training, the enabling role of technologies in reducing inequalities, and the strengthening of ethics in automation and intelligent decision-making.</w:t>
      </w:r>
      <w:r>
        <w:rPr>
          <w:rFonts w:ascii="Times New Roman" w:hAnsi="Times New Roman" w:cs="Times New Roman"/>
          <w:i/>
          <w:iCs/>
          <w:sz w:val="24"/>
          <w:szCs w:val="24"/>
          <w:lang w:val="de-DE"/>
        </w:rPr>
        <w:t xml:space="preserve"> </w:t>
      </w:r>
      <w:r w:rsidRPr="0031629B">
        <w:rPr>
          <w:rFonts w:ascii="Times New Roman" w:hAnsi="Times New Roman" w:cs="Times New Roman"/>
          <w:i/>
          <w:iCs/>
          <w:sz w:val="24"/>
          <w:szCs w:val="24"/>
          <w:lang w:val="de-DE"/>
        </w:rPr>
        <w:t>It is concluded that Industry 5.0 represents more than a technological advancement: it is a sociotechnical paradigm shift aimed at purposeful production, respecting environmental boundaries and promoting human well-being, provided there is multisectoral cooperation, social justice, and responsible innovation governance.</w:t>
      </w:r>
    </w:p>
    <w:p w14:paraId="65A8F21D" w14:textId="77777777" w:rsidR="00B470B5" w:rsidRPr="00785F29" w:rsidRDefault="00B470B5" w:rsidP="00B470B5">
      <w:pPr>
        <w:spacing w:line="240" w:lineRule="auto"/>
        <w:jc w:val="both"/>
        <w:rPr>
          <w:rFonts w:ascii="Times New Roman" w:hAnsi="Times New Roman" w:cs="Times New Roman"/>
          <w:sz w:val="24"/>
          <w:szCs w:val="24"/>
          <w:lang w:val="de-DE"/>
        </w:rPr>
      </w:pPr>
    </w:p>
    <w:p w14:paraId="1D5D40DE" w14:textId="77777777" w:rsidR="00B470B5" w:rsidRPr="00785F29" w:rsidRDefault="00B470B5" w:rsidP="00B470B5">
      <w:pPr>
        <w:spacing w:line="240" w:lineRule="auto"/>
        <w:jc w:val="both"/>
        <w:rPr>
          <w:rFonts w:ascii="Times New Roman" w:hAnsi="Times New Roman" w:cs="Times New Roman"/>
          <w:sz w:val="24"/>
          <w:szCs w:val="24"/>
        </w:rPr>
      </w:pPr>
      <w:r w:rsidRPr="00785F29">
        <w:rPr>
          <w:rFonts w:ascii="Times New Roman" w:hAnsi="Times New Roman" w:cs="Times New Roman"/>
          <w:b/>
          <w:bCs/>
          <w:sz w:val="24"/>
          <w:szCs w:val="24"/>
        </w:rPr>
        <w:t>Keywords</w:t>
      </w:r>
      <w:r w:rsidRPr="00785F29">
        <w:rPr>
          <w:rFonts w:ascii="Times New Roman" w:hAnsi="Times New Roman" w:cs="Times New Roman"/>
          <w:sz w:val="24"/>
          <w:szCs w:val="24"/>
        </w:rPr>
        <w:t xml:space="preserve">: </w:t>
      </w:r>
      <w:proofErr w:type="spellStart"/>
      <w:r w:rsidRPr="00785F29">
        <w:rPr>
          <w:rFonts w:ascii="Times New Roman" w:hAnsi="Times New Roman" w:cs="Times New Roman"/>
          <w:i/>
          <w:iCs/>
          <w:sz w:val="24"/>
          <w:szCs w:val="24"/>
        </w:rPr>
        <w:t>Knowledge</w:t>
      </w:r>
      <w:proofErr w:type="spellEnd"/>
      <w:r w:rsidRPr="00785F29">
        <w:rPr>
          <w:rFonts w:ascii="Times New Roman" w:hAnsi="Times New Roman" w:cs="Times New Roman"/>
          <w:i/>
          <w:iCs/>
          <w:sz w:val="24"/>
          <w:szCs w:val="24"/>
        </w:rPr>
        <w:t xml:space="preserve"> Management; </w:t>
      </w:r>
      <w:proofErr w:type="spellStart"/>
      <w:r w:rsidRPr="00785F29">
        <w:rPr>
          <w:rFonts w:ascii="Times New Roman" w:hAnsi="Times New Roman" w:cs="Times New Roman"/>
          <w:i/>
          <w:iCs/>
          <w:sz w:val="24"/>
          <w:szCs w:val="24"/>
        </w:rPr>
        <w:t>Industry</w:t>
      </w:r>
      <w:proofErr w:type="spellEnd"/>
      <w:r w:rsidRPr="00785F29">
        <w:rPr>
          <w:rFonts w:ascii="Times New Roman" w:hAnsi="Times New Roman" w:cs="Times New Roman"/>
          <w:i/>
          <w:iCs/>
          <w:sz w:val="24"/>
          <w:szCs w:val="24"/>
        </w:rPr>
        <w:t xml:space="preserve"> 5.0; Sustainability; SDG; </w:t>
      </w:r>
      <w:proofErr w:type="spellStart"/>
      <w:r w:rsidRPr="00785F29">
        <w:rPr>
          <w:rFonts w:ascii="Times New Roman" w:hAnsi="Times New Roman" w:cs="Times New Roman"/>
          <w:i/>
          <w:iCs/>
          <w:sz w:val="24"/>
          <w:szCs w:val="24"/>
        </w:rPr>
        <w:t>Collaborative</w:t>
      </w:r>
      <w:proofErr w:type="spellEnd"/>
      <w:r w:rsidRPr="00785F29">
        <w:rPr>
          <w:rFonts w:ascii="Times New Roman" w:hAnsi="Times New Roman" w:cs="Times New Roman"/>
          <w:i/>
          <w:iCs/>
          <w:sz w:val="24"/>
          <w:szCs w:val="24"/>
        </w:rPr>
        <w:t xml:space="preserve"> </w:t>
      </w:r>
      <w:proofErr w:type="spellStart"/>
      <w:r w:rsidRPr="00785F29">
        <w:rPr>
          <w:rFonts w:ascii="Times New Roman" w:hAnsi="Times New Roman" w:cs="Times New Roman"/>
          <w:i/>
          <w:iCs/>
          <w:sz w:val="24"/>
          <w:szCs w:val="24"/>
        </w:rPr>
        <w:t>Innovation</w:t>
      </w:r>
      <w:proofErr w:type="spellEnd"/>
      <w:r w:rsidRPr="00785F29">
        <w:rPr>
          <w:rFonts w:ascii="Times New Roman" w:hAnsi="Times New Roman" w:cs="Times New Roman"/>
          <w:i/>
          <w:iCs/>
          <w:sz w:val="24"/>
          <w:szCs w:val="24"/>
        </w:rPr>
        <w:t>.</w:t>
      </w:r>
    </w:p>
    <w:p w14:paraId="1D8E4191" w14:textId="77777777" w:rsidR="00B470B5" w:rsidRPr="00122253" w:rsidRDefault="00B470B5" w:rsidP="00B470B5">
      <w:pPr>
        <w:spacing w:line="240" w:lineRule="auto"/>
        <w:jc w:val="both"/>
        <w:rPr>
          <w:rFonts w:ascii="Times New Roman" w:hAnsi="Times New Roman" w:cs="Times New Roman"/>
          <w:b/>
          <w:bCs/>
          <w:sz w:val="20"/>
          <w:szCs w:val="20"/>
        </w:rPr>
      </w:pPr>
    </w:p>
    <w:p w14:paraId="75762500" w14:textId="77777777" w:rsidR="00B470B5" w:rsidRDefault="00B470B5" w:rsidP="00B470B5">
      <w:pPr>
        <w:numPr>
          <w:ilvl w:val="0"/>
          <w:numId w:val="8"/>
        </w:numPr>
        <w:pBdr>
          <w:top w:val="nil"/>
          <w:left w:val="nil"/>
          <w:bottom w:val="nil"/>
          <w:right w:val="nil"/>
          <w:between w:val="nil"/>
        </w:pBdr>
        <w:spacing w:line="360" w:lineRule="auto"/>
        <w:ind w:left="426" w:hanging="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50765C39" w14:textId="77777777" w:rsidR="00B470B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As revoluções industriais ao longo da história transformaram profundamente os modos de produção, consumo e organização social. A mais recente delas, a Indústria 4.0, introduziu tecnologias como a Internet das Coisas (IoT), Inteligência Artificial (IA), Big Data e automação avançada, promovendo ganhos significativos de eficiência, como apontam Ribeiro et al. (2019a). </w:t>
      </w:r>
    </w:p>
    <w:p w14:paraId="67BCCDD9" w14:textId="77777777" w:rsidR="00B470B5" w:rsidRDefault="00B470B5" w:rsidP="00B470B5">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 entanto, </w:t>
      </w:r>
      <w:r w:rsidRPr="00785F29">
        <w:rPr>
          <w:rFonts w:ascii="Times New Roman" w:hAnsi="Times New Roman" w:cs="Times New Roman"/>
          <w:color w:val="000000" w:themeColor="text1"/>
          <w:sz w:val="24"/>
          <w:szCs w:val="24"/>
        </w:rPr>
        <w:t>como uma transformação sociotécnica mais ampla, que exige o reposicionamento do conhecimento como recurso estratégico</w:t>
      </w:r>
      <w:r>
        <w:rPr>
          <w:rFonts w:ascii="Times New Roman" w:hAnsi="Times New Roman" w:cs="Times New Roman"/>
          <w:color w:val="000000" w:themeColor="text1"/>
          <w:sz w:val="24"/>
          <w:szCs w:val="24"/>
        </w:rPr>
        <w:t>, a</w:t>
      </w:r>
      <w:r w:rsidRPr="00785F29">
        <w:rPr>
          <w:rFonts w:ascii="Times New Roman" w:hAnsi="Times New Roman" w:cs="Times New Roman"/>
          <w:color w:val="000000" w:themeColor="text1"/>
          <w:sz w:val="24"/>
          <w:szCs w:val="24"/>
        </w:rPr>
        <w:t xml:space="preserve"> Indústria 5.0 propõe um modelo de produção centrado no ser humano, na sustentabilidade e na resiliência. Para que esse paradigma se torne viável, é essencial compreender como a gestão do conhecimento (GC) pode sustentar tal transformação, conectando inteligência tecnológica e saberes humanos com os desafios impostos pelos Objetivos de Desenvolvimento Sustentável (ODS).</w:t>
      </w:r>
    </w:p>
    <w:p w14:paraId="5131E130" w14:textId="77777777" w:rsidR="00B470B5" w:rsidRDefault="00B470B5" w:rsidP="00B470B5">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Essas reflexões são</w:t>
      </w:r>
      <w:r w:rsidRPr="006F04E5">
        <w:rPr>
          <w:rFonts w:ascii="Times New Roman" w:hAnsi="Times New Roman" w:cs="Times New Roman"/>
          <w:color w:val="000000" w:themeColor="text1"/>
          <w:sz w:val="24"/>
          <w:szCs w:val="24"/>
        </w:rPr>
        <w:t xml:space="preserve"> importantes </w:t>
      </w:r>
      <w:r>
        <w:rPr>
          <w:rFonts w:ascii="Times New Roman" w:hAnsi="Times New Roman" w:cs="Times New Roman"/>
          <w:color w:val="000000" w:themeColor="text1"/>
          <w:sz w:val="24"/>
          <w:szCs w:val="24"/>
        </w:rPr>
        <w:t>já que n</w:t>
      </w:r>
      <w:r w:rsidRPr="006F04E5">
        <w:rPr>
          <w:rFonts w:ascii="Times New Roman" w:hAnsi="Times New Roman" w:cs="Times New Roman"/>
          <w:color w:val="000000" w:themeColor="text1"/>
          <w:sz w:val="24"/>
          <w:szCs w:val="24"/>
        </w:rPr>
        <w:t xml:space="preserve">esse </w:t>
      </w:r>
      <w:r>
        <w:rPr>
          <w:rFonts w:ascii="Times New Roman" w:hAnsi="Times New Roman" w:cs="Times New Roman"/>
          <w:color w:val="000000" w:themeColor="text1"/>
          <w:sz w:val="24"/>
          <w:szCs w:val="24"/>
        </w:rPr>
        <w:t>novo cenário</w:t>
      </w:r>
      <w:r w:rsidRPr="006F04E5">
        <w:rPr>
          <w:rFonts w:ascii="Times New Roman" w:hAnsi="Times New Roman" w:cs="Times New Roman"/>
          <w:color w:val="000000" w:themeColor="text1"/>
          <w:sz w:val="24"/>
          <w:szCs w:val="24"/>
        </w:rPr>
        <w:t xml:space="preserve"> destacam</w:t>
      </w:r>
      <w:r>
        <w:rPr>
          <w:rFonts w:ascii="Times New Roman" w:hAnsi="Times New Roman" w:cs="Times New Roman"/>
          <w:color w:val="000000" w:themeColor="text1"/>
          <w:sz w:val="24"/>
          <w:szCs w:val="24"/>
        </w:rPr>
        <w:t>-se os</w:t>
      </w:r>
      <w:r w:rsidRPr="006F04E5">
        <w:rPr>
          <w:rFonts w:ascii="Times New Roman" w:hAnsi="Times New Roman" w:cs="Times New Roman"/>
          <w:color w:val="000000" w:themeColor="text1"/>
          <w:sz w:val="24"/>
          <w:szCs w:val="24"/>
        </w:rPr>
        <w:t xml:space="preserve"> efeitos colaterais</w:t>
      </w:r>
      <w:r>
        <w:rPr>
          <w:rFonts w:ascii="Times New Roman" w:hAnsi="Times New Roman" w:cs="Times New Roman"/>
          <w:color w:val="000000" w:themeColor="text1"/>
          <w:sz w:val="24"/>
          <w:szCs w:val="24"/>
        </w:rPr>
        <w:t xml:space="preserve"> dessa era</w:t>
      </w:r>
      <w:r w:rsidRPr="006F04E5">
        <w:rPr>
          <w:rFonts w:ascii="Times New Roman" w:hAnsi="Times New Roman" w:cs="Times New Roman"/>
          <w:color w:val="000000" w:themeColor="text1"/>
          <w:sz w:val="24"/>
          <w:szCs w:val="24"/>
        </w:rPr>
        <w:t>, como o desemprego tecnológico, o aumento da desigualdade e os impactos ambientais negativos. Esse panorama evidencia que o avanço tecnológico, embora promissor, não é isento de desafios éticos, sociais e ambientais (</w:t>
      </w:r>
      <w:proofErr w:type="spellStart"/>
      <w:r w:rsidRPr="006F04E5">
        <w:rPr>
          <w:rFonts w:ascii="Times New Roman" w:hAnsi="Times New Roman" w:cs="Times New Roman"/>
          <w:color w:val="000000" w:themeColor="text1"/>
          <w:sz w:val="24"/>
          <w:szCs w:val="24"/>
        </w:rPr>
        <w:t>Jefroy</w:t>
      </w:r>
      <w:proofErr w:type="spellEnd"/>
      <w:r w:rsidRPr="006F04E5">
        <w:rPr>
          <w:rFonts w:ascii="Times New Roman" w:hAnsi="Times New Roman" w:cs="Times New Roman"/>
          <w:color w:val="000000" w:themeColor="text1"/>
          <w:sz w:val="24"/>
          <w:szCs w:val="24"/>
        </w:rPr>
        <w:t xml:space="preserve">, </w:t>
      </w:r>
      <w:proofErr w:type="spellStart"/>
      <w:r w:rsidRPr="006F04E5">
        <w:rPr>
          <w:rFonts w:ascii="Times New Roman" w:hAnsi="Times New Roman" w:cs="Times New Roman"/>
          <w:color w:val="000000" w:themeColor="text1"/>
          <w:sz w:val="24"/>
          <w:szCs w:val="24"/>
        </w:rPr>
        <w:t>Azarian</w:t>
      </w:r>
      <w:proofErr w:type="spellEnd"/>
      <w:r w:rsidRPr="006F04E5">
        <w:rPr>
          <w:rFonts w:ascii="Times New Roman" w:hAnsi="Times New Roman" w:cs="Times New Roman"/>
          <w:color w:val="000000" w:themeColor="text1"/>
          <w:sz w:val="24"/>
          <w:szCs w:val="24"/>
        </w:rPr>
        <w:t xml:space="preserve"> &amp; Yu, 2022).</w:t>
      </w:r>
    </w:p>
    <w:p w14:paraId="0198C2BC"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Diante dessas limitações, emerge a Indústria 5.0 como uma proposta evolutiva que busca resgatar o protagonismo humano nas cadeias produtivas, sem renunciar à inovação tecnológica (</w:t>
      </w:r>
      <w:proofErr w:type="spellStart"/>
      <w:r w:rsidRPr="006F04E5">
        <w:rPr>
          <w:rFonts w:ascii="Times New Roman" w:hAnsi="Times New Roman" w:cs="Times New Roman"/>
          <w:color w:val="000000" w:themeColor="text1"/>
          <w:sz w:val="24"/>
          <w:szCs w:val="24"/>
        </w:rPr>
        <w:t>Zizic</w:t>
      </w:r>
      <w:proofErr w:type="spellEnd"/>
      <w:r w:rsidRPr="006F04E5">
        <w:rPr>
          <w:rFonts w:ascii="Times New Roman" w:hAnsi="Times New Roman" w:cs="Times New Roman"/>
          <w:color w:val="000000" w:themeColor="text1"/>
          <w:sz w:val="24"/>
          <w:szCs w:val="24"/>
        </w:rPr>
        <w:t xml:space="preserve"> et al., 2022). Essa nova abordagem transcende a automação típica da </w:t>
      </w:r>
      <w:r w:rsidRPr="006F04E5">
        <w:rPr>
          <w:rFonts w:ascii="Times New Roman" w:hAnsi="Times New Roman" w:cs="Times New Roman"/>
          <w:color w:val="000000" w:themeColor="text1"/>
          <w:sz w:val="24"/>
          <w:szCs w:val="24"/>
        </w:rPr>
        <w:lastRenderedPageBreak/>
        <w:t>Indústria 4.0 ao enfatizar a colaboração sinérgica entre pessoas e máquinas inteligentes, visando uma produção mais personalizada, sustentável e centrada no ser humano (Lu et al., 2022). A Indústria 5.0 propõe um modelo em que as capacidades humanas são potencializadas — e não substituídas — pela tecnologia, promovendo não apenas ganhos econômicos, mas também sustentabilidade ambiental, inclusão social e resiliência sistêmica (</w:t>
      </w:r>
      <w:proofErr w:type="spellStart"/>
      <w:r w:rsidRPr="006F04E5">
        <w:rPr>
          <w:rFonts w:ascii="Times New Roman" w:hAnsi="Times New Roman" w:cs="Times New Roman"/>
          <w:color w:val="000000" w:themeColor="text1"/>
          <w:sz w:val="24"/>
          <w:szCs w:val="24"/>
        </w:rPr>
        <w:t>European</w:t>
      </w:r>
      <w:proofErr w:type="spellEnd"/>
      <w:r w:rsidRPr="006F04E5">
        <w:rPr>
          <w:rFonts w:ascii="Times New Roman" w:hAnsi="Times New Roman" w:cs="Times New Roman"/>
          <w:color w:val="000000" w:themeColor="text1"/>
          <w:sz w:val="24"/>
          <w:szCs w:val="24"/>
        </w:rPr>
        <w:t xml:space="preserve"> Commission, 2021). Trata-se, portanto, de uma transição que não é apenas técnica, mas também política, ética e social (Farias, Martins </w:t>
      </w:r>
      <w:r>
        <w:rPr>
          <w:rFonts w:ascii="Times New Roman" w:hAnsi="Times New Roman" w:cs="Times New Roman"/>
          <w:color w:val="000000" w:themeColor="text1"/>
          <w:sz w:val="24"/>
          <w:szCs w:val="24"/>
        </w:rPr>
        <w:t>e</w:t>
      </w:r>
      <w:r w:rsidRPr="006F04E5">
        <w:rPr>
          <w:rFonts w:ascii="Times New Roman" w:hAnsi="Times New Roman" w:cs="Times New Roman"/>
          <w:color w:val="000000" w:themeColor="text1"/>
          <w:sz w:val="24"/>
          <w:szCs w:val="24"/>
        </w:rPr>
        <w:t xml:space="preserve"> Cândido (2021).</w:t>
      </w:r>
    </w:p>
    <w:p w14:paraId="5C736709" w14:textId="77777777" w:rsidR="00B470B5" w:rsidRDefault="00B470B5" w:rsidP="00B470B5">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E57787">
        <w:rPr>
          <w:rFonts w:ascii="Times New Roman" w:hAnsi="Times New Roman" w:cs="Times New Roman"/>
          <w:color w:val="000000" w:themeColor="text1"/>
          <w:sz w:val="24"/>
          <w:szCs w:val="24"/>
        </w:rPr>
        <w:t>pesar do interesse crescente, as redes de investigação continuam fragmentadas, limitando a transferência de conhecimento e a inovação colaborativa</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Rajeb</w:t>
      </w:r>
      <w:proofErr w:type="spellEnd"/>
      <w:r>
        <w:rPr>
          <w:rFonts w:ascii="Times New Roman" w:hAnsi="Times New Roman" w:cs="Times New Roman"/>
          <w:color w:val="000000" w:themeColor="text1"/>
          <w:sz w:val="24"/>
          <w:szCs w:val="24"/>
        </w:rPr>
        <w:t xml:space="preserve"> </w:t>
      </w:r>
      <w:r w:rsidRPr="00E57787">
        <w:rPr>
          <w:rFonts w:ascii="Times New Roman" w:hAnsi="Times New Roman" w:cs="Times New Roman"/>
          <w:i/>
          <w:iCs/>
          <w:color w:val="000000" w:themeColor="text1"/>
          <w:sz w:val="24"/>
          <w:szCs w:val="24"/>
        </w:rPr>
        <w:t>et al</w:t>
      </w:r>
      <w:r>
        <w:rPr>
          <w:rFonts w:ascii="Times New Roman" w:hAnsi="Times New Roman" w:cs="Times New Roman"/>
          <w:color w:val="000000" w:themeColor="text1"/>
          <w:sz w:val="24"/>
          <w:szCs w:val="24"/>
        </w:rPr>
        <w:t xml:space="preserve"> (2024),</w:t>
      </w:r>
      <w:r w:rsidRPr="00E57787">
        <w:rPr>
          <w:rFonts w:ascii="Times New Roman" w:hAnsi="Times New Roman" w:cs="Times New Roman"/>
          <w:color w:val="000000" w:themeColor="text1"/>
          <w:sz w:val="24"/>
          <w:szCs w:val="24"/>
        </w:rPr>
        <w:t xml:space="preserve"> observa que</w:t>
      </w:r>
      <w:r>
        <w:rPr>
          <w:rFonts w:ascii="Times New Roman" w:hAnsi="Times New Roman" w:cs="Times New Roman"/>
          <w:color w:val="000000" w:themeColor="text1"/>
          <w:sz w:val="24"/>
          <w:szCs w:val="24"/>
        </w:rPr>
        <w:t>, apesar das</w:t>
      </w:r>
      <w:r w:rsidRPr="00E57787">
        <w:rPr>
          <w:rFonts w:ascii="Times New Roman" w:hAnsi="Times New Roman" w:cs="Times New Roman"/>
          <w:color w:val="000000" w:themeColor="text1"/>
          <w:sz w:val="24"/>
          <w:szCs w:val="24"/>
        </w:rPr>
        <w:t xml:space="preserve"> principais instituições atua</w:t>
      </w:r>
      <w:r>
        <w:rPr>
          <w:rFonts w:ascii="Times New Roman" w:hAnsi="Times New Roman" w:cs="Times New Roman"/>
          <w:color w:val="000000" w:themeColor="text1"/>
          <w:sz w:val="24"/>
          <w:szCs w:val="24"/>
        </w:rPr>
        <w:t>rem</w:t>
      </w:r>
      <w:r w:rsidRPr="00E57787">
        <w:rPr>
          <w:rFonts w:ascii="Times New Roman" w:hAnsi="Times New Roman" w:cs="Times New Roman"/>
          <w:color w:val="000000" w:themeColor="text1"/>
          <w:sz w:val="24"/>
          <w:szCs w:val="24"/>
        </w:rPr>
        <w:t xml:space="preserve"> como "condutos vitais de conhecimento, facilitando o fluxo de informações"</w:t>
      </w:r>
      <w:r>
        <w:rPr>
          <w:rFonts w:ascii="Times New Roman" w:hAnsi="Times New Roman" w:cs="Times New Roman"/>
          <w:color w:val="000000" w:themeColor="text1"/>
          <w:sz w:val="24"/>
          <w:szCs w:val="24"/>
        </w:rPr>
        <w:t>, ainda há uma</w:t>
      </w:r>
      <w:r w:rsidRPr="00E44F01">
        <w:rPr>
          <w:rFonts w:ascii="Times New Roman" w:hAnsi="Times New Roman" w:cs="Times New Roman"/>
          <w:color w:val="000000" w:themeColor="text1"/>
          <w:sz w:val="24"/>
          <w:szCs w:val="24"/>
        </w:rPr>
        <w:t xml:space="preserve"> lacuna na colaboração entre países desenvolvidos e em desenvolvimento, o que pode "impedir a capacidade de participar em parcerias de pesquisa mais amplas e influentes", limitando o alcance global e a inclusão da pesquisa em I</w:t>
      </w:r>
      <w:r>
        <w:rPr>
          <w:rFonts w:ascii="Times New Roman" w:hAnsi="Times New Roman" w:cs="Times New Roman"/>
          <w:color w:val="000000" w:themeColor="text1"/>
          <w:sz w:val="24"/>
          <w:szCs w:val="24"/>
        </w:rPr>
        <w:t>ndústria 4.0.</w:t>
      </w:r>
    </w:p>
    <w:p w14:paraId="52449BB6" w14:textId="77777777" w:rsidR="00B470B5" w:rsidRDefault="00B470B5" w:rsidP="00B470B5">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Concomitante a esse cenário</w:t>
      </w:r>
      <w:r w:rsidRPr="006F04E5">
        <w:rPr>
          <w:rFonts w:ascii="Times New Roman" w:hAnsi="Times New Roman" w:cs="Times New Roman"/>
          <w:color w:val="000000" w:themeColor="text1"/>
          <w:sz w:val="24"/>
          <w:szCs w:val="24"/>
        </w:rPr>
        <w:t xml:space="preserve">, a Agenda 2030 da Organização das Nações Unidas (ONU), por meio dos Objetivos de Desenvolvimento Sustentável (ODS), estabeleceu um compromisso global para erradicar a pobreza, proteger o planeta e garantir prosperidade a todos (Organização das Nações Unidas [ONU], 2015). Considerando que a indústria é um vetor estratégico de desenvolvimento, torna-se essencial investigar como os princípios da Indústria 5.0 podem contribuir para a consecução dos ODS. O Pacto Global das Nações Unidas (2020) reforça esse entendimento ao afirmar que as empresas devem alinhar suas estratégias e operações aos objetivos globais de sustentabilidade. </w:t>
      </w:r>
    </w:p>
    <w:p w14:paraId="2D167973"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Desse modo, as organizações industriais que adotam práticas compatíveis com a Indústria 5.0 têm papel decisivo na construção de uma economia mais inclusiva e resiliente (</w:t>
      </w:r>
      <w:proofErr w:type="spellStart"/>
      <w:r w:rsidRPr="006F04E5">
        <w:rPr>
          <w:rFonts w:ascii="Times New Roman" w:hAnsi="Times New Roman" w:cs="Times New Roman"/>
          <w:color w:val="000000" w:themeColor="text1"/>
          <w:sz w:val="24"/>
          <w:szCs w:val="24"/>
        </w:rPr>
        <w:t>European</w:t>
      </w:r>
      <w:proofErr w:type="spellEnd"/>
      <w:r w:rsidRPr="006F04E5">
        <w:rPr>
          <w:rFonts w:ascii="Times New Roman" w:hAnsi="Times New Roman" w:cs="Times New Roman"/>
          <w:color w:val="000000" w:themeColor="text1"/>
          <w:sz w:val="24"/>
          <w:szCs w:val="24"/>
        </w:rPr>
        <w:t xml:space="preserve"> Commission, 2021).</w:t>
      </w:r>
    </w:p>
    <w:p w14:paraId="523DEC92" w14:textId="77777777" w:rsidR="00B470B5" w:rsidRPr="00260289" w:rsidRDefault="00B470B5" w:rsidP="00B470B5">
      <w:pPr>
        <w:spacing w:line="360" w:lineRule="auto"/>
        <w:ind w:firstLine="709"/>
        <w:jc w:val="both"/>
        <w:rPr>
          <w:rFonts w:ascii="Times New Roman" w:hAnsi="Times New Roman" w:cs="Times New Roman"/>
          <w:sz w:val="24"/>
          <w:szCs w:val="24"/>
        </w:rPr>
      </w:pPr>
      <w:r w:rsidRPr="00260289">
        <w:rPr>
          <w:rFonts w:ascii="Times New Roman" w:hAnsi="Times New Roman" w:cs="Times New Roman"/>
          <w:sz w:val="24"/>
          <w:szCs w:val="24"/>
        </w:rPr>
        <w:t>Diante deste contexto, este estudo, à Luz da GC, tem como objetivo analisar o papel da Indústria 5.0 na promoção dos Objetivos de Desenvolvimento Sustentável (ODS), propostos pela Agenda 2030. Parte-se da hipótese de que a GC é condição estruturante para sustentar a transformação digital com propósito, mediando a integração entre tecnologia, pessoas e sustentabilidade.</w:t>
      </w:r>
    </w:p>
    <w:p w14:paraId="2CA974EE" w14:textId="77777777" w:rsidR="00B470B5" w:rsidRPr="00DD4B0D" w:rsidRDefault="00B470B5" w:rsidP="00B470B5">
      <w:pPr>
        <w:spacing w:line="360" w:lineRule="auto"/>
        <w:ind w:firstLine="709"/>
        <w:jc w:val="both"/>
        <w:rPr>
          <w:rFonts w:ascii="Times New Roman" w:hAnsi="Times New Roman" w:cs="Times New Roman"/>
          <w:color w:val="000000" w:themeColor="text1"/>
          <w:sz w:val="24"/>
          <w:szCs w:val="24"/>
        </w:rPr>
      </w:pPr>
      <w:r w:rsidRPr="00DD4B0D">
        <w:rPr>
          <w:rFonts w:ascii="Times New Roman" w:hAnsi="Times New Roman" w:cs="Times New Roman"/>
          <w:color w:val="000000" w:themeColor="text1"/>
          <w:sz w:val="24"/>
          <w:szCs w:val="24"/>
        </w:rPr>
        <w:t xml:space="preserve">A delimitação da presente pesquisa às conexões entre os princípios da Indústria 5.0 e os Objetivos de Desenvolvimento Sustentável (ODS) justifica-se, em primeiro lugar, pela novidade e pela ainda incipiente consolidação teórica do tema. </w:t>
      </w:r>
      <w:r>
        <w:rPr>
          <w:rFonts w:ascii="Times New Roman" w:hAnsi="Times New Roman" w:cs="Times New Roman"/>
          <w:color w:val="000000" w:themeColor="text1"/>
          <w:sz w:val="24"/>
          <w:szCs w:val="24"/>
        </w:rPr>
        <w:t xml:space="preserve">Como já discutido </w:t>
      </w:r>
      <w:r>
        <w:rPr>
          <w:rFonts w:ascii="Times New Roman" w:hAnsi="Times New Roman" w:cs="Times New Roman"/>
          <w:color w:val="000000" w:themeColor="text1"/>
          <w:sz w:val="24"/>
          <w:szCs w:val="24"/>
        </w:rPr>
        <w:lastRenderedPageBreak/>
        <w:t>anteriormente, a</w:t>
      </w:r>
      <w:r w:rsidRPr="00DD4B0D">
        <w:rPr>
          <w:rFonts w:ascii="Times New Roman" w:hAnsi="Times New Roman" w:cs="Times New Roman"/>
          <w:color w:val="000000" w:themeColor="text1"/>
          <w:sz w:val="24"/>
          <w:szCs w:val="24"/>
        </w:rPr>
        <w:t xml:space="preserve"> Indústria 5.0, enquanto paradigma emergente, vem sendo discutida de forma fragmentada na literatura, com predominância de estudos exploratórios, conceituais ou centrados em áreas técnicas como engenharia, automação e sustentabilidade. Ao mesmo tempo, os vínculos diretos entre esse novo modelo industrial e os ODS ainda estão em construção, exigindo investigações que mapeiem fundamentos, práticas e possíveis contribuições.</w:t>
      </w:r>
    </w:p>
    <w:p w14:paraId="7BF7AAC5" w14:textId="77777777" w:rsidR="00B470B5" w:rsidRPr="00DD4B0D" w:rsidRDefault="00B470B5" w:rsidP="00B470B5">
      <w:pPr>
        <w:spacing w:line="360" w:lineRule="auto"/>
        <w:ind w:firstLine="709"/>
        <w:jc w:val="both"/>
        <w:rPr>
          <w:rFonts w:ascii="Times New Roman" w:hAnsi="Times New Roman" w:cs="Times New Roman"/>
          <w:color w:val="000000" w:themeColor="text1"/>
          <w:sz w:val="24"/>
          <w:szCs w:val="24"/>
        </w:rPr>
      </w:pPr>
      <w:r w:rsidRPr="00DD4B0D">
        <w:rPr>
          <w:rFonts w:ascii="Times New Roman" w:hAnsi="Times New Roman" w:cs="Times New Roman"/>
          <w:color w:val="000000" w:themeColor="text1"/>
          <w:sz w:val="24"/>
          <w:szCs w:val="24"/>
        </w:rPr>
        <w:t>Nesse contexto, a inclusão de uma terceira variável — a gestão do conhecimento — embora pertinente e conceitualmente conectada ao tema, implicaria em um recorte excessivamente restritivo, o que reduziria de forma significativa a quantidade e a diversidade de estudos disponíveis nas bases consultadas. O mesmo raciocínio aplica-se à etapa empírica: ao invés de restringir as entrevistas ao campo específico da GC, optou-se por explorar a percepção de especialistas de diversas áreas (industrial, pública, acadêmica e de inovação social) sobre a Indústria 5.0 e sua relação com os ODS, permitindo maior riqueza interpretativa.</w:t>
      </w:r>
    </w:p>
    <w:p w14:paraId="675F3F60" w14:textId="77777777" w:rsidR="00B470B5" w:rsidRPr="00DD4B0D" w:rsidRDefault="00B470B5" w:rsidP="00B470B5">
      <w:pPr>
        <w:spacing w:line="360" w:lineRule="auto"/>
        <w:ind w:firstLine="709"/>
        <w:jc w:val="both"/>
        <w:rPr>
          <w:rFonts w:ascii="Times New Roman" w:hAnsi="Times New Roman" w:cs="Times New Roman"/>
          <w:color w:val="000000" w:themeColor="text1"/>
          <w:sz w:val="24"/>
          <w:szCs w:val="24"/>
        </w:rPr>
      </w:pPr>
      <w:r w:rsidRPr="00DD4B0D">
        <w:rPr>
          <w:rFonts w:ascii="Times New Roman" w:hAnsi="Times New Roman" w:cs="Times New Roman"/>
          <w:color w:val="000000" w:themeColor="text1"/>
          <w:sz w:val="24"/>
          <w:szCs w:val="24"/>
        </w:rPr>
        <w:t>Ademais, parte-se do entendimento de que a gestão do conhecimento permeia transversalmente os processos analisados — seja na requalificação da força de trabalho, na colaboração homem-máquina, no compartilhamento de práticas sustentáveis ou na construção de ecossistemas de inovação orientados por propósito. Assim, mesmo sem ser uma categoria explicitamente destacada nas perguntas de pesquisa, a GC se manifesta de forma estrutural nas soluções apontadas e nas reflexões apresentadas, configurando-se como eixo latente da análise, ainda que não isolado conceitualmente desde o início.</w:t>
      </w:r>
    </w:p>
    <w:p w14:paraId="4C0F30CC" w14:textId="77777777" w:rsidR="00B470B5" w:rsidRPr="004835B9" w:rsidRDefault="00B470B5" w:rsidP="00B470B5">
      <w:pPr>
        <w:spacing w:line="360" w:lineRule="auto"/>
        <w:ind w:firstLine="709"/>
        <w:jc w:val="both"/>
        <w:rPr>
          <w:rFonts w:ascii="Times New Roman" w:hAnsi="Times New Roman" w:cs="Times New Roman"/>
          <w:sz w:val="24"/>
          <w:szCs w:val="24"/>
        </w:rPr>
      </w:pPr>
      <w:r w:rsidRPr="004835B9">
        <w:rPr>
          <w:rFonts w:ascii="Times New Roman" w:hAnsi="Times New Roman" w:cs="Times New Roman"/>
          <w:sz w:val="24"/>
          <w:szCs w:val="24"/>
        </w:rPr>
        <w:t xml:space="preserve">O restante do artigo está estruturado da seguinte forma. A seção apresenta a Fundamentação teórica. A seção 3, fornece uma visão geral dos procedimentos metodológicos. Já a seção </w:t>
      </w:r>
      <w:proofErr w:type="gramStart"/>
      <w:r w:rsidRPr="004835B9">
        <w:rPr>
          <w:rFonts w:ascii="Times New Roman" w:hAnsi="Times New Roman" w:cs="Times New Roman"/>
          <w:sz w:val="24"/>
          <w:szCs w:val="24"/>
        </w:rPr>
        <w:t>4  apresenta</w:t>
      </w:r>
      <w:proofErr w:type="gramEnd"/>
      <w:r w:rsidRPr="004835B9">
        <w:rPr>
          <w:rFonts w:ascii="Times New Roman" w:hAnsi="Times New Roman" w:cs="Times New Roman"/>
          <w:sz w:val="24"/>
          <w:szCs w:val="24"/>
        </w:rPr>
        <w:t xml:space="preserve"> os resultados e discussões. Finalmente a seção 5 conclui o artigo destacando contribuições, limitações e sugestões para pesquisas futuras.</w:t>
      </w:r>
    </w:p>
    <w:p w14:paraId="7DCFE3AA" w14:textId="77777777" w:rsidR="00B470B5" w:rsidRPr="006F04E5" w:rsidRDefault="00B470B5" w:rsidP="00B470B5">
      <w:pPr>
        <w:spacing w:line="240" w:lineRule="auto"/>
        <w:jc w:val="both"/>
        <w:rPr>
          <w:rFonts w:ascii="Times New Roman" w:hAnsi="Times New Roman" w:cs="Times New Roman"/>
          <w:color w:val="000000" w:themeColor="text1"/>
          <w:sz w:val="24"/>
          <w:szCs w:val="24"/>
        </w:rPr>
      </w:pPr>
    </w:p>
    <w:p w14:paraId="2B5DDDA1" w14:textId="77777777" w:rsidR="00B470B5" w:rsidRDefault="00B470B5" w:rsidP="00B470B5">
      <w:pPr>
        <w:numPr>
          <w:ilvl w:val="0"/>
          <w:numId w:val="8"/>
        </w:numPr>
        <w:pBdr>
          <w:top w:val="nil"/>
          <w:left w:val="nil"/>
          <w:bottom w:val="nil"/>
          <w:right w:val="nil"/>
          <w:between w:val="nil"/>
        </w:pBdr>
        <w:spacing w:line="360" w:lineRule="auto"/>
        <w:ind w:left="426" w:hanging="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4B0C407B" w14:textId="77777777" w:rsidR="00B470B5" w:rsidRDefault="00B470B5" w:rsidP="00B470B5">
      <w:pPr>
        <w:pBdr>
          <w:top w:val="nil"/>
          <w:left w:val="nil"/>
          <w:bottom w:val="nil"/>
          <w:right w:val="nil"/>
          <w:between w:val="nil"/>
        </w:pBdr>
        <w:tabs>
          <w:tab w:val="left" w:pos="993"/>
        </w:tabs>
        <w:spacing w:line="360" w:lineRule="auto"/>
        <w:jc w:val="both"/>
        <w:rPr>
          <w:rFonts w:ascii="Times New Roman" w:eastAsia="Times New Roman" w:hAnsi="Times New Roman" w:cs="Times New Roman"/>
          <w:bCs/>
          <w:sz w:val="24"/>
          <w:szCs w:val="24"/>
        </w:rPr>
      </w:pPr>
      <w:r w:rsidRPr="00C9794D">
        <w:rPr>
          <w:rFonts w:ascii="Times New Roman" w:eastAsia="Times New Roman" w:hAnsi="Times New Roman" w:cs="Times New Roman"/>
          <w:bCs/>
          <w:sz w:val="24"/>
          <w:szCs w:val="24"/>
        </w:rPr>
        <w:t>2.1    INDÚSTRIA 5.0</w:t>
      </w:r>
      <w:r>
        <w:rPr>
          <w:rFonts w:ascii="Times New Roman" w:eastAsia="Times New Roman" w:hAnsi="Times New Roman" w:cs="Times New Roman"/>
          <w:bCs/>
          <w:sz w:val="24"/>
          <w:szCs w:val="24"/>
        </w:rPr>
        <w:t xml:space="preserve"> E OS ODS</w:t>
      </w:r>
      <w:r w:rsidRPr="00C9794D">
        <w:rPr>
          <w:rFonts w:ascii="Times New Roman" w:eastAsia="Times New Roman" w:hAnsi="Times New Roman" w:cs="Times New Roman"/>
          <w:bCs/>
          <w:sz w:val="24"/>
          <w:szCs w:val="24"/>
        </w:rPr>
        <w:t>: CONCEITO E EVOLUÇÃO</w:t>
      </w:r>
    </w:p>
    <w:p w14:paraId="3012841A"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A Indústria 5.0 é um paradigma emergente que visa </w:t>
      </w:r>
      <w:proofErr w:type="spellStart"/>
      <w:r w:rsidRPr="006F04E5">
        <w:rPr>
          <w:rFonts w:ascii="Times New Roman" w:hAnsi="Times New Roman" w:cs="Times New Roman"/>
          <w:color w:val="000000" w:themeColor="text1"/>
          <w:sz w:val="24"/>
          <w:szCs w:val="24"/>
        </w:rPr>
        <w:t>re-humanizar</w:t>
      </w:r>
      <w:proofErr w:type="spellEnd"/>
      <w:r w:rsidRPr="006F04E5">
        <w:rPr>
          <w:rFonts w:ascii="Times New Roman" w:hAnsi="Times New Roman" w:cs="Times New Roman"/>
          <w:color w:val="000000" w:themeColor="text1"/>
          <w:sz w:val="24"/>
          <w:szCs w:val="24"/>
        </w:rPr>
        <w:t xml:space="preserve"> a produção industrial, promovendo a colaboração entre humanos e máquinas inteligentes. Essa colaboração resulta em soluções personalizadas, sustentáveis e socialmente orientadas (</w:t>
      </w:r>
      <w:proofErr w:type="spellStart"/>
      <w:r w:rsidRPr="006F04E5">
        <w:rPr>
          <w:rFonts w:ascii="Times New Roman" w:hAnsi="Times New Roman" w:cs="Times New Roman"/>
          <w:color w:val="000000" w:themeColor="text1"/>
          <w:sz w:val="24"/>
          <w:szCs w:val="24"/>
        </w:rPr>
        <w:t>Nahavandi</w:t>
      </w:r>
      <w:proofErr w:type="spellEnd"/>
      <w:r w:rsidRPr="006F04E5">
        <w:rPr>
          <w:rFonts w:ascii="Times New Roman" w:hAnsi="Times New Roman" w:cs="Times New Roman"/>
          <w:color w:val="000000" w:themeColor="text1"/>
          <w:sz w:val="24"/>
          <w:szCs w:val="24"/>
        </w:rPr>
        <w:t xml:space="preserve">, 2019). Diferente da 4.0, que focava na automação total, a 5.0 valoriza a inteligência emocional, criatividade e julgamento humano </w:t>
      </w:r>
      <w:bookmarkStart w:id="0" w:name="_Hlk203378550"/>
      <w:r w:rsidRPr="006F04E5">
        <w:rPr>
          <w:rFonts w:ascii="Times New Roman" w:hAnsi="Times New Roman" w:cs="Times New Roman"/>
          <w:color w:val="000000" w:themeColor="text1"/>
          <w:sz w:val="24"/>
          <w:szCs w:val="24"/>
        </w:rPr>
        <w:t>(</w:t>
      </w:r>
      <w:proofErr w:type="spellStart"/>
      <w:r w:rsidRPr="006F04E5">
        <w:rPr>
          <w:rFonts w:ascii="Times New Roman" w:hAnsi="Times New Roman" w:cs="Times New Roman"/>
          <w:color w:val="000000" w:themeColor="text1"/>
          <w:sz w:val="24"/>
          <w:szCs w:val="24"/>
        </w:rPr>
        <w:t>Monferdini</w:t>
      </w:r>
      <w:proofErr w:type="spellEnd"/>
      <w:r w:rsidRPr="006F04E5">
        <w:rPr>
          <w:rFonts w:ascii="Times New Roman" w:hAnsi="Times New Roman" w:cs="Times New Roman"/>
          <w:color w:val="000000" w:themeColor="text1"/>
          <w:sz w:val="24"/>
          <w:szCs w:val="24"/>
        </w:rPr>
        <w:t xml:space="preserve">, Tebaldi &amp; </w:t>
      </w:r>
      <w:proofErr w:type="spellStart"/>
      <w:r w:rsidRPr="006F04E5">
        <w:rPr>
          <w:rFonts w:ascii="Times New Roman" w:hAnsi="Times New Roman" w:cs="Times New Roman"/>
          <w:color w:val="000000" w:themeColor="text1"/>
          <w:sz w:val="24"/>
          <w:szCs w:val="24"/>
        </w:rPr>
        <w:t>Bottani</w:t>
      </w:r>
      <w:proofErr w:type="spellEnd"/>
      <w:r w:rsidRPr="006F04E5">
        <w:rPr>
          <w:rFonts w:ascii="Times New Roman" w:hAnsi="Times New Roman" w:cs="Times New Roman"/>
          <w:color w:val="000000" w:themeColor="text1"/>
          <w:sz w:val="24"/>
          <w:szCs w:val="24"/>
        </w:rPr>
        <w:t>, 2025).</w:t>
      </w:r>
      <w:bookmarkEnd w:id="0"/>
      <w:r>
        <w:rPr>
          <w:rFonts w:ascii="Times New Roman" w:hAnsi="Times New Roman" w:cs="Times New Roman"/>
          <w:color w:val="000000" w:themeColor="text1"/>
          <w:sz w:val="24"/>
          <w:szCs w:val="24"/>
        </w:rPr>
        <w:t xml:space="preserve"> </w:t>
      </w:r>
      <w:r w:rsidRPr="00E44F01">
        <w:rPr>
          <w:rFonts w:ascii="Times New Roman" w:eastAsia="Times New Roman" w:hAnsi="Times New Roman" w:cs="Times New Roman"/>
          <w:bCs/>
          <w:sz w:val="24"/>
          <w:szCs w:val="24"/>
        </w:rPr>
        <w:t>Tais princípios convergem com vários ODS, como trabalho decente (ODS 8), inovação (ODS 9), redução das desigualdades (ODS 10) e consumo responsável (ODS 12)</w:t>
      </w:r>
      <w:r>
        <w:rPr>
          <w:rFonts w:ascii="Times New Roman" w:eastAsia="Times New Roman" w:hAnsi="Times New Roman" w:cs="Times New Roman"/>
          <w:bCs/>
          <w:sz w:val="24"/>
          <w:szCs w:val="24"/>
        </w:rPr>
        <w:t>, (PNUD, online).</w:t>
      </w:r>
    </w:p>
    <w:p w14:paraId="5162B5FB"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lastRenderedPageBreak/>
        <w:t xml:space="preserve">Conforme Lu et al. (2022) e </w:t>
      </w:r>
      <w:proofErr w:type="spellStart"/>
      <w:r w:rsidRPr="006F04E5">
        <w:rPr>
          <w:rFonts w:ascii="Times New Roman" w:hAnsi="Times New Roman" w:cs="Times New Roman"/>
          <w:color w:val="000000" w:themeColor="text1"/>
          <w:sz w:val="24"/>
          <w:szCs w:val="24"/>
        </w:rPr>
        <w:t>Xu</w:t>
      </w:r>
      <w:proofErr w:type="spellEnd"/>
      <w:r w:rsidRPr="006F04E5">
        <w:rPr>
          <w:rFonts w:ascii="Times New Roman" w:hAnsi="Times New Roman" w:cs="Times New Roman"/>
          <w:color w:val="000000" w:themeColor="text1"/>
          <w:sz w:val="24"/>
          <w:szCs w:val="24"/>
        </w:rPr>
        <w:t xml:space="preserve"> et al. (2021), a Indústria 5.0 é caracterizada pela: Integração de tecnologias habilitadoras (IA, IoT, 5G, robótica colaborativa); Ênfase em valores humanos (bem-estar, ética, diversidade); Adoção de modelos sustentáveis (energia limpa, economia circular). A Indústria 5.0 busca resgatar o protagonismo humano na produção industrial por meio da colaboração entre pessoas e tecnologias inteligentes. Seus pilares incluem: Colaboração humano-máquina: tecnologias como </w:t>
      </w:r>
      <w:proofErr w:type="spellStart"/>
      <w:r w:rsidRPr="006F04E5">
        <w:rPr>
          <w:rFonts w:ascii="Times New Roman" w:hAnsi="Times New Roman" w:cs="Times New Roman"/>
          <w:color w:val="000000" w:themeColor="text1"/>
          <w:sz w:val="24"/>
          <w:szCs w:val="24"/>
        </w:rPr>
        <w:t>cobots</w:t>
      </w:r>
      <w:proofErr w:type="spellEnd"/>
      <w:r w:rsidRPr="006F04E5">
        <w:rPr>
          <w:rFonts w:ascii="Times New Roman" w:hAnsi="Times New Roman" w:cs="Times New Roman"/>
          <w:color w:val="000000" w:themeColor="text1"/>
          <w:sz w:val="24"/>
          <w:szCs w:val="24"/>
        </w:rPr>
        <w:t xml:space="preserve"> (robôs colaborativos) que interagem com trabalhadores (</w:t>
      </w:r>
      <w:proofErr w:type="spellStart"/>
      <w:r w:rsidRPr="006F04E5">
        <w:rPr>
          <w:rFonts w:ascii="Times New Roman" w:hAnsi="Times New Roman" w:cs="Times New Roman"/>
          <w:color w:val="000000" w:themeColor="text1"/>
          <w:sz w:val="24"/>
          <w:szCs w:val="24"/>
        </w:rPr>
        <w:t>Tubis</w:t>
      </w:r>
      <w:proofErr w:type="spellEnd"/>
      <w:r w:rsidRPr="006F04E5">
        <w:rPr>
          <w:rFonts w:ascii="Times New Roman" w:hAnsi="Times New Roman" w:cs="Times New Roman"/>
          <w:color w:val="000000" w:themeColor="text1"/>
          <w:sz w:val="24"/>
          <w:szCs w:val="24"/>
        </w:rPr>
        <w:t xml:space="preserve">, </w:t>
      </w:r>
      <w:proofErr w:type="spellStart"/>
      <w:r w:rsidRPr="006F04E5">
        <w:rPr>
          <w:rFonts w:ascii="Times New Roman" w:hAnsi="Times New Roman" w:cs="Times New Roman"/>
          <w:color w:val="000000" w:themeColor="text1"/>
          <w:sz w:val="24"/>
          <w:szCs w:val="24"/>
        </w:rPr>
        <w:t>Poturaj</w:t>
      </w:r>
      <w:proofErr w:type="spellEnd"/>
      <w:r w:rsidRPr="006F04E5">
        <w:rPr>
          <w:rFonts w:ascii="Times New Roman" w:hAnsi="Times New Roman" w:cs="Times New Roman"/>
          <w:color w:val="000000" w:themeColor="text1"/>
          <w:sz w:val="24"/>
          <w:szCs w:val="24"/>
        </w:rPr>
        <w:t xml:space="preserve">, &amp; </w:t>
      </w:r>
      <w:proofErr w:type="spellStart"/>
      <w:r w:rsidRPr="006F04E5">
        <w:rPr>
          <w:rFonts w:ascii="Times New Roman" w:hAnsi="Times New Roman" w:cs="Times New Roman"/>
          <w:color w:val="000000" w:themeColor="text1"/>
          <w:sz w:val="24"/>
          <w:szCs w:val="24"/>
        </w:rPr>
        <w:t>Smok</w:t>
      </w:r>
      <w:proofErr w:type="spellEnd"/>
      <w:r w:rsidRPr="006F04E5">
        <w:rPr>
          <w:rFonts w:ascii="Times New Roman" w:hAnsi="Times New Roman" w:cs="Times New Roman"/>
          <w:color w:val="000000" w:themeColor="text1"/>
          <w:sz w:val="24"/>
          <w:szCs w:val="24"/>
        </w:rPr>
        <w:t>, 2024); Customização em massa: produção flexível adaptada às necessidades específicas dos consumidores (Fraga-Lamas, Lopes &amp; Fernández-</w:t>
      </w:r>
      <w:proofErr w:type="spellStart"/>
      <w:r w:rsidRPr="006F04E5">
        <w:rPr>
          <w:rFonts w:ascii="Times New Roman" w:hAnsi="Times New Roman" w:cs="Times New Roman"/>
          <w:color w:val="000000" w:themeColor="text1"/>
          <w:sz w:val="24"/>
          <w:szCs w:val="24"/>
        </w:rPr>
        <w:t>Caramés</w:t>
      </w:r>
      <w:proofErr w:type="spellEnd"/>
      <w:r w:rsidRPr="006F04E5">
        <w:rPr>
          <w:rFonts w:ascii="Times New Roman" w:hAnsi="Times New Roman" w:cs="Times New Roman"/>
          <w:color w:val="000000" w:themeColor="text1"/>
          <w:sz w:val="24"/>
          <w:szCs w:val="24"/>
        </w:rPr>
        <w:t>, 2021); Sustentabilidade ambiental e social: design circular, economia regenerativa e responsabilidade corporativa (</w:t>
      </w:r>
      <w:proofErr w:type="spellStart"/>
      <w:r w:rsidRPr="006F04E5">
        <w:rPr>
          <w:rFonts w:ascii="Times New Roman" w:hAnsi="Times New Roman" w:cs="Times New Roman"/>
          <w:color w:val="000000" w:themeColor="text1"/>
          <w:sz w:val="24"/>
          <w:szCs w:val="24"/>
        </w:rPr>
        <w:t>Rame</w:t>
      </w:r>
      <w:proofErr w:type="spellEnd"/>
      <w:r w:rsidRPr="006F04E5">
        <w:rPr>
          <w:rFonts w:ascii="Times New Roman" w:hAnsi="Times New Roman" w:cs="Times New Roman"/>
          <w:color w:val="000000" w:themeColor="text1"/>
          <w:sz w:val="24"/>
          <w:szCs w:val="24"/>
        </w:rPr>
        <w:t xml:space="preserve">, </w:t>
      </w:r>
      <w:proofErr w:type="spellStart"/>
      <w:r w:rsidRPr="006F04E5">
        <w:rPr>
          <w:rFonts w:ascii="Times New Roman" w:hAnsi="Times New Roman" w:cs="Times New Roman"/>
          <w:color w:val="000000" w:themeColor="text1"/>
          <w:sz w:val="24"/>
          <w:szCs w:val="24"/>
        </w:rPr>
        <w:t>Purwanto</w:t>
      </w:r>
      <w:proofErr w:type="spellEnd"/>
      <w:r w:rsidRPr="006F04E5">
        <w:rPr>
          <w:rFonts w:ascii="Times New Roman" w:hAnsi="Times New Roman" w:cs="Times New Roman"/>
          <w:color w:val="000000" w:themeColor="text1"/>
          <w:sz w:val="24"/>
          <w:szCs w:val="24"/>
        </w:rPr>
        <w:t xml:space="preserve"> &amp; </w:t>
      </w:r>
      <w:proofErr w:type="spellStart"/>
      <w:r w:rsidRPr="006F04E5">
        <w:rPr>
          <w:rFonts w:ascii="Times New Roman" w:hAnsi="Times New Roman" w:cs="Times New Roman"/>
          <w:color w:val="000000" w:themeColor="text1"/>
          <w:sz w:val="24"/>
          <w:szCs w:val="24"/>
        </w:rPr>
        <w:t>Sudarno</w:t>
      </w:r>
      <w:proofErr w:type="spellEnd"/>
      <w:r w:rsidRPr="006F04E5">
        <w:rPr>
          <w:rFonts w:ascii="Times New Roman" w:hAnsi="Times New Roman" w:cs="Times New Roman"/>
          <w:color w:val="000000" w:themeColor="text1"/>
          <w:sz w:val="24"/>
          <w:szCs w:val="24"/>
        </w:rPr>
        <w:t>, 2024) ; Ética e inclusão digital: desenvolvimento de tecnologias respeitando direitos humanos e acesso equitativo (Santos, Costa &amp; Santos, 2024). A Comissão Europeia (2021) define a Indústria 5.0 como centrada em resiliência, sustentabilidade e humanização dos sistemas produtivos.</w:t>
      </w:r>
    </w:p>
    <w:p w14:paraId="52EC4489" w14:textId="77777777" w:rsidR="00B470B5" w:rsidRPr="006F04E5" w:rsidRDefault="00B470B5" w:rsidP="00B470B5">
      <w:pPr>
        <w:spacing w:line="240" w:lineRule="auto"/>
        <w:jc w:val="both"/>
        <w:rPr>
          <w:rFonts w:ascii="Times New Roman" w:hAnsi="Times New Roman" w:cs="Times New Roman"/>
          <w:color w:val="000000" w:themeColor="text1"/>
          <w:sz w:val="24"/>
          <w:szCs w:val="24"/>
        </w:rPr>
      </w:pPr>
    </w:p>
    <w:p w14:paraId="4D0E1A41" w14:textId="77777777" w:rsidR="00B470B5" w:rsidRPr="00C9794D" w:rsidRDefault="00B470B5" w:rsidP="00B470B5">
      <w:pPr>
        <w:pBdr>
          <w:top w:val="nil"/>
          <w:left w:val="nil"/>
          <w:bottom w:val="nil"/>
          <w:right w:val="nil"/>
          <w:between w:val="nil"/>
        </w:pBdr>
        <w:tabs>
          <w:tab w:val="left" w:pos="993"/>
        </w:tabs>
        <w:spacing w:line="360" w:lineRule="auto"/>
        <w:jc w:val="both"/>
        <w:rPr>
          <w:rFonts w:ascii="Times New Roman" w:eastAsia="Times New Roman" w:hAnsi="Times New Roman" w:cs="Times New Roman"/>
          <w:bCs/>
          <w:sz w:val="24"/>
          <w:szCs w:val="24"/>
        </w:rPr>
      </w:pPr>
      <w:r w:rsidRPr="00C9794D">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 xml:space="preserve">  </w:t>
      </w:r>
      <w:r w:rsidRPr="00C9794D">
        <w:rPr>
          <w:rFonts w:ascii="Times New Roman" w:eastAsia="Times New Roman" w:hAnsi="Times New Roman" w:cs="Times New Roman"/>
          <w:bCs/>
          <w:sz w:val="24"/>
          <w:szCs w:val="24"/>
        </w:rPr>
        <w:t>PILARES DA INDÚSTRIA 5.0</w:t>
      </w:r>
      <w:r>
        <w:rPr>
          <w:rFonts w:ascii="Times New Roman" w:eastAsia="Times New Roman" w:hAnsi="Times New Roman" w:cs="Times New Roman"/>
          <w:bCs/>
          <w:sz w:val="24"/>
          <w:szCs w:val="24"/>
        </w:rPr>
        <w:t xml:space="preserve"> E A GESTÃO DO CONHECIMENTO (GC)</w:t>
      </w:r>
    </w:p>
    <w:p w14:paraId="31120B54" w14:textId="77777777" w:rsidR="00B470B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A Indústria 5.0 representa uma evolução estratégica da manufatura moderna, indo além da digitalização e automação promovidas pela Indústria 4.0, ao integrar valores sociais e ambientais à transformação tecnológica. De acordo com o relatório da Comissão Europeia (Breque, De </w:t>
      </w:r>
      <w:proofErr w:type="spellStart"/>
      <w:r w:rsidRPr="006F04E5">
        <w:rPr>
          <w:rFonts w:ascii="Times New Roman" w:hAnsi="Times New Roman" w:cs="Times New Roman"/>
          <w:color w:val="000000" w:themeColor="text1"/>
          <w:sz w:val="24"/>
          <w:szCs w:val="24"/>
        </w:rPr>
        <w:t>Nul</w:t>
      </w:r>
      <w:proofErr w:type="spellEnd"/>
      <w:r w:rsidRPr="006F04E5">
        <w:rPr>
          <w:rFonts w:ascii="Times New Roman" w:hAnsi="Times New Roman" w:cs="Times New Roman"/>
          <w:color w:val="000000" w:themeColor="text1"/>
          <w:sz w:val="24"/>
          <w:szCs w:val="24"/>
        </w:rPr>
        <w:t xml:space="preserve"> &amp; </w:t>
      </w:r>
      <w:proofErr w:type="spellStart"/>
      <w:r w:rsidRPr="006F04E5">
        <w:rPr>
          <w:rFonts w:ascii="Times New Roman" w:hAnsi="Times New Roman" w:cs="Times New Roman"/>
          <w:color w:val="000000" w:themeColor="text1"/>
          <w:sz w:val="24"/>
          <w:szCs w:val="24"/>
        </w:rPr>
        <w:t>Petridis</w:t>
      </w:r>
      <w:proofErr w:type="spellEnd"/>
      <w:r w:rsidRPr="006F04E5">
        <w:rPr>
          <w:rFonts w:ascii="Times New Roman" w:hAnsi="Times New Roman" w:cs="Times New Roman"/>
          <w:color w:val="000000" w:themeColor="text1"/>
          <w:sz w:val="24"/>
          <w:szCs w:val="24"/>
        </w:rPr>
        <w:t>, 2021), a proposta da Indústria 5.0 está fundamentada em três pilares centrais: centralidade no ser humano</w:t>
      </w:r>
      <w:r>
        <w:rPr>
          <w:rFonts w:ascii="Times New Roman" w:hAnsi="Times New Roman" w:cs="Times New Roman"/>
          <w:color w:val="000000" w:themeColor="text1"/>
          <w:sz w:val="24"/>
          <w:szCs w:val="24"/>
        </w:rPr>
        <w:t xml:space="preserve"> (humanização</w:t>
      </w:r>
      <w:r w:rsidRPr="006F04E5">
        <w:rPr>
          <w:rFonts w:ascii="Times New Roman" w:hAnsi="Times New Roman" w:cs="Times New Roman"/>
          <w:color w:val="000000" w:themeColor="text1"/>
          <w:sz w:val="24"/>
          <w:szCs w:val="24"/>
        </w:rPr>
        <w:t>, sustentabilidade e resiliência</w:t>
      </w:r>
      <w:r>
        <w:rPr>
          <w:rFonts w:ascii="Times New Roman" w:hAnsi="Times New Roman" w:cs="Times New Roman"/>
          <w:color w:val="000000" w:themeColor="text1"/>
          <w:sz w:val="24"/>
          <w:szCs w:val="24"/>
        </w:rPr>
        <w:t>)</w:t>
      </w:r>
      <w:r w:rsidRPr="006F04E5">
        <w:rPr>
          <w:rFonts w:ascii="Times New Roman" w:hAnsi="Times New Roman" w:cs="Times New Roman"/>
          <w:color w:val="000000" w:themeColor="text1"/>
          <w:sz w:val="24"/>
          <w:szCs w:val="24"/>
        </w:rPr>
        <w:t>.</w:t>
      </w:r>
    </w:p>
    <w:p w14:paraId="1C495595" w14:textId="77777777" w:rsidR="00B470B5" w:rsidRPr="00E171ED" w:rsidRDefault="00B470B5" w:rsidP="00B470B5">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Já a </w:t>
      </w:r>
      <w:r w:rsidRPr="00E171ED">
        <w:rPr>
          <w:rFonts w:ascii="Times New Roman" w:hAnsi="Times New Roman" w:cs="Times New Roman"/>
          <w:color w:val="000000" w:themeColor="text1"/>
          <w:sz w:val="24"/>
          <w:szCs w:val="24"/>
        </w:rPr>
        <w:t>GC compreende processos de criação, armazenamento, compartilhamento e aplicação do conhecimento nas organizações (</w:t>
      </w:r>
      <w:proofErr w:type="spellStart"/>
      <w:r w:rsidRPr="00E171ED">
        <w:rPr>
          <w:rFonts w:ascii="Times New Roman" w:hAnsi="Times New Roman" w:cs="Times New Roman"/>
          <w:color w:val="000000" w:themeColor="text1"/>
          <w:sz w:val="24"/>
          <w:szCs w:val="24"/>
        </w:rPr>
        <w:t>Nonaka</w:t>
      </w:r>
      <w:proofErr w:type="spellEnd"/>
      <w:r w:rsidRPr="00E171ED">
        <w:rPr>
          <w:rFonts w:ascii="Times New Roman" w:hAnsi="Times New Roman" w:cs="Times New Roman"/>
          <w:color w:val="000000" w:themeColor="text1"/>
          <w:sz w:val="24"/>
          <w:szCs w:val="24"/>
        </w:rPr>
        <w:t xml:space="preserve"> &amp; </w:t>
      </w:r>
      <w:proofErr w:type="spellStart"/>
      <w:r w:rsidRPr="00E171ED">
        <w:rPr>
          <w:rFonts w:ascii="Times New Roman" w:hAnsi="Times New Roman" w:cs="Times New Roman"/>
          <w:color w:val="000000" w:themeColor="text1"/>
          <w:sz w:val="24"/>
          <w:szCs w:val="24"/>
        </w:rPr>
        <w:t>Takeuchi</w:t>
      </w:r>
      <w:proofErr w:type="spellEnd"/>
      <w:r w:rsidRPr="00E171ED">
        <w:rPr>
          <w:rFonts w:ascii="Times New Roman" w:hAnsi="Times New Roman" w:cs="Times New Roman"/>
          <w:color w:val="000000" w:themeColor="text1"/>
          <w:sz w:val="24"/>
          <w:szCs w:val="24"/>
        </w:rPr>
        <w:t xml:space="preserve">, 1995; </w:t>
      </w:r>
      <w:proofErr w:type="spellStart"/>
      <w:r w:rsidRPr="00E171ED">
        <w:rPr>
          <w:rFonts w:ascii="Times New Roman" w:hAnsi="Times New Roman" w:cs="Times New Roman"/>
          <w:color w:val="000000" w:themeColor="text1"/>
          <w:sz w:val="24"/>
          <w:szCs w:val="24"/>
        </w:rPr>
        <w:t>Alavi</w:t>
      </w:r>
      <w:proofErr w:type="spellEnd"/>
      <w:r w:rsidRPr="00E171ED">
        <w:rPr>
          <w:rFonts w:ascii="Times New Roman" w:hAnsi="Times New Roman" w:cs="Times New Roman"/>
          <w:color w:val="000000" w:themeColor="text1"/>
          <w:sz w:val="24"/>
          <w:szCs w:val="24"/>
        </w:rPr>
        <w:t xml:space="preserve"> &amp; </w:t>
      </w:r>
      <w:proofErr w:type="spellStart"/>
      <w:r w:rsidRPr="00E171ED">
        <w:rPr>
          <w:rFonts w:ascii="Times New Roman" w:hAnsi="Times New Roman" w:cs="Times New Roman"/>
          <w:color w:val="000000" w:themeColor="text1"/>
          <w:sz w:val="24"/>
          <w:szCs w:val="24"/>
        </w:rPr>
        <w:t>Leidner</w:t>
      </w:r>
      <w:proofErr w:type="spellEnd"/>
      <w:r w:rsidRPr="00E171ED">
        <w:rPr>
          <w:rFonts w:ascii="Times New Roman" w:hAnsi="Times New Roman" w:cs="Times New Roman"/>
          <w:color w:val="000000" w:themeColor="text1"/>
          <w:sz w:val="24"/>
          <w:szCs w:val="24"/>
        </w:rPr>
        <w:t>, 2001). No contexto da Indústria 5.0, seu papel ganha dimensão estratégica, pois viabiliza o aprendizado contínuo, a inovação colaborativa, a inclusão digital e a ética informacional. A GC também sustenta a integração entre conhecimento tácito e explícito, entre saberes locais e sistemas digitais, mediando tensões entre automação e humanização.</w:t>
      </w:r>
    </w:p>
    <w:p w14:paraId="4464F438" w14:textId="77777777" w:rsidR="00B470B5" w:rsidRPr="00E171ED" w:rsidRDefault="00B470B5" w:rsidP="00B470B5">
      <w:pPr>
        <w:spacing w:line="360" w:lineRule="auto"/>
        <w:ind w:firstLine="709"/>
        <w:jc w:val="both"/>
        <w:rPr>
          <w:rFonts w:ascii="Times New Roman" w:hAnsi="Times New Roman" w:cs="Times New Roman"/>
          <w:color w:val="000000" w:themeColor="text1"/>
          <w:sz w:val="24"/>
          <w:szCs w:val="24"/>
        </w:rPr>
      </w:pPr>
      <w:r w:rsidRPr="00E171ED">
        <w:rPr>
          <w:rFonts w:ascii="Times New Roman" w:hAnsi="Times New Roman" w:cs="Times New Roman"/>
          <w:color w:val="000000" w:themeColor="text1"/>
          <w:sz w:val="24"/>
          <w:szCs w:val="24"/>
        </w:rPr>
        <w:t xml:space="preserve">Autores como Davenport &amp; </w:t>
      </w:r>
      <w:proofErr w:type="spellStart"/>
      <w:r w:rsidRPr="00E171ED">
        <w:rPr>
          <w:rFonts w:ascii="Times New Roman" w:hAnsi="Times New Roman" w:cs="Times New Roman"/>
          <w:color w:val="000000" w:themeColor="text1"/>
          <w:sz w:val="24"/>
          <w:szCs w:val="24"/>
        </w:rPr>
        <w:t>Prusak</w:t>
      </w:r>
      <w:proofErr w:type="spellEnd"/>
      <w:r w:rsidRPr="00E171ED">
        <w:rPr>
          <w:rFonts w:ascii="Times New Roman" w:hAnsi="Times New Roman" w:cs="Times New Roman"/>
          <w:color w:val="000000" w:themeColor="text1"/>
          <w:sz w:val="24"/>
          <w:szCs w:val="24"/>
        </w:rPr>
        <w:t xml:space="preserve"> (1998) reforçam que a criação de valor está diretamente ligada à capacidade organizacional de capturar, transformar e aplicar o conhecimento em processos decisórios. Já Firestone </w:t>
      </w:r>
      <w:r>
        <w:rPr>
          <w:rFonts w:ascii="Times New Roman" w:hAnsi="Times New Roman" w:cs="Times New Roman"/>
          <w:color w:val="000000" w:themeColor="text1"/>
          <w:sz w:val="24"/>
          <w:szCs w:val="24"/>
        </w:rPr>
        <w:t>&amp;</w:t>
      </w:r>
      <w:r w:rsidRPr="00E171ED">
        <w:rPr>
          <w:rFonts w:ascii="Times New Roman" w:hAnsi="Times New Roman" w:cs="Times New Roman"/>
          <w:color w:val="000000" w:themeColor="text1"/>
          <w:sz w:val="24"/>
          <w:szCs w:val="24"/>
        </w:rPr>
        <w:t xml:space="preserve"> </w:t>
      </w:r>
      <w:proofErr w:type="spellStart"/>
      <w:r w:rsidRPr="00E171ED">
        <w:rPr>
          <w:rFonts w:ascii="Times New Roman" w:hAnsi="Times New Roman" w:cs="Times New Roman"/>
          <w:color w:val="000000" w:themeColor="text1"/>
          <w:sz w:val="24"/>
          <w:szCs w:val="24"/>
        </w:rPr>
        <w:t>McElroy</w:t>
      </w:r>
      <w:proofErr w:type="spellEnd"/>
      <w:r w:rsidRPr="00E171ED">
        <w:rPr>
          <w:rFonts w:ascii="Times New Roman" w:hAnsi="Times New Roman" w:cs="Times New Roman"/>
          <w:color w:val="000000" w:themeColor="text1"/>
          <w:sz w:val="24"/>
          <w:szCs w:val="24"/>
        </w:rPr>
        <w:t xml:space="preserve"> (2003) propõem a GC de segunda geração, pautada na governança do conhecimento e na sustentabilidade. Isso amplia o papel da GC como infraestrutura intangível para a transformação industrial, tornando-a condição para o alcance dos ODS.</w:t>
      </w:r>
    </w:p>
    <w:p w14:paraId="6FF9DFEF"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p>
    <w:p w14:paraId="6010BAA0" w14:textId="77777777" w:rsidR="00B470B5" w:rsidRPr="00C9794D" w:rsidRDefault="00B470B5" w:rsidP="00B470B5">
      <w:pPr>
        <w:pBdr>
          <w:top w:val="nil"/>
          <w:left w:val="nil"/>
          <w:bottom w:val="nil"/>
          <w:right w:val="nil"/>
          <w:between w:val="nil"/>
        </w:pBdr>
        <w:tabs>
          <w:tab w:val="left" w:pos="993"/>
        </w:tabs>
        <w:spacing w:line="360" w:lineRule="auto"/>
        <w:jc w:val="both"/>
        <w:rPr>
          <w:rFonts w:ascii="Times New Roman" w:eastAsia="Times New Roman" w:hAnsi="Times New Roman" w:cs="Times New Roman"/>
          <w:bCs/>
          <w:sz w:val="24"/>
          <w:szCs w:val="24"/>
        </w:rPr>
      </w:pPr>
      <w:r w:rsidRPr="00C9794D">
        <w:rPr>
          <w:rFonts w:ascii="Times New Roman" w:eastAsia="Times New Roman" w:hAnsi="Times New Roman" w:cs="Times New Roman"/>
          <w:bCs/>
          <w:sz w:val="24"/>
          <w:szCs w:val="24"/>
        </w:rPr>
        <w:lastRenderedPageBreak/>
        <w:t xml:space="preserve">2.3 </w:t>
      </w:r>
      <w:r>
        <w:rPr>
          <w:rFonts w:ascii="Times New Roman" w:eastAsia="Times New Roman" w:hAnsi="Times New Roman" w:cs="Times New Roman"/>
          <w:bCs/>
          <w:sz w:val="24"/>
          <w:szCs w:val="24"/>
        </w:rPr>
        <w:t xml:space="preserve">   </w:t>
      </w:r>
      <w:r w:rsidRPr="00C9794D">
        <w:rPr>
          <w:rFonts w:ascii="Times New Roman" w:eastAsia="Times New Roman" w:hAnsi="Times New Roman" w:cs="Times New Roman"/>
          <w:bCs/>
          <w:sz w:val="24"/>
          <w:szCs w:val="24"/>
        </w:rPr>
        <w:t>CONTRIBUIÇÕES DA INDÚSTRIA 5.0 PARA OS ODS</w:t>
      </w:r>
    </w:p>
    <w:p w14:paraId="7CD46E0E"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A seguir, apresentam-se os principais Objetivos de Desenvolvimento Sustentável (ODS) com os quais a Indústria 5.0 pode contribuir de forma significativa, considerando sua proposta centrada no ser humano, aliada à inovação ética na era digital e sustentabilidade:</w:t>
      </w:r>
    </w:p>
    <w:p w14:paraId="7C8EF86F" w14:textId="77777777" w:rsidR="00B470B5" w:rsidRPr="005F19FA" w:rsidRDefault="00B470B5" w:rsidP="00B470B5">
      <w:pPr>
        <w:pStyle w:val="PargrafodaLista"/>
        <w:numPr>
          <w:ilvl w:val="0"/>
          <w:numId w:val="6"/>
        </w:numPr>
        <w:tabs>
          <w:tab w:val="left" w:pos="993"/>
        </w:tabs>
        <w:spacing w:line="360" w:lineRule="auto"/>
        <w:ind w:left="709" w:firstLine="0"/>
        <w:jc w:val="both"/>
        <w:rPr>
          <w:rFonts w:ascii="Times New Roman" w:hAnsi="Times New Roman" w:cs="Times New Roman"/>
          <w:color w:val="000000" w:themeColor="text1"/>
          <w:sz w:val="24"/>
          <w:szCs w:val="24"/>
        </w:rPr>
      </w:pPr>
      <w:r w:rsidRPr="005F19FA">
        <w:rPr>
          <w:rFonts w:ascii="Times New Roman" w:hAnsi="Times New Roman" w:cs="Times New Roman"/>
          <w:color w:val="000000" w:themeColor="text1"/>
          <w:sz w:val="24"/>
          <w:szCs w:val="24"/>
        </w:rPr>
        <w:t>ODS 3 – Saúde e Bem-estar: A Indústria 5.0 promove avanços expressivos na área da saúde por meio da personalização de tratamentos, uso de inteligência artificial (IA) na medicina diagnóstica, cirurgia robótica assistida, impressão 3D de próteses e órgãos, além do monitoramento remoto por meio de dispositivos vestíveis e sensores biométricos. Esses recursos tecnológicos favorecem a prevenção, o cuidado contínuo e a precisão terapêutica. Topol (2019) destaca que a chamada "medicina profunda", habilitada por IA, tem o potencial de tornar os cuidados em saúde mais humanos, eficientes e personalizados.</w:t>
      </w:r>
    </w:p>
    <w:p w14:paraId="13DDA327" w14:textId="77777777" w:rsidR="00B470B5" w:rsidRPr="005F19FA" w:rsidRDefault="00B470B5" w:rsidP="00B470B5">
      <w:pPr>
        <w:pStyle w:val="PargrafodaLista"/>
        <w:numPr>
          <w:ilvl w:val="0"/>
          <w:numId w:val="6"/>
        </w:numPr>
        <w:tabs>
          <w:tab w:val="left" w:pos="993"/>
        </w:tabs>
        <w:spacing w:line="360" w:lineRule="auto"/>
        <w:ind w:left="709" w:firstLine="0"/>
        <w:jc w:val="both"/>
        <w:rPr>
          <w:rFonts w:ascii="Times New Roman" w:hAnsi="Times New Roman" w:cs="Times New Roman"/>
          <w:color w:val="000000" w:themeColor="text1"/>
          <w:sz w:val="24"/>
          <w:szCs w:val="24"/>
        </w:rPr>
      </w:pPr>
      <w:r w:rsidRPr="005F19FA">
        <w:rPr>
          <w:rFonts w:ascii="Times New Roman" w:hAnsi="Times New Roman" w:cs="Times New Roman"/>
          <w:color w:val="000000" w:themeColor="text1"/>
          <w:sz w:val="24"/>
          <w:szCs w:val="24"/>
        </w:rPr>
        <w:t>ODS 4 – Educação de Qualidade: A nova revolução industrial exige uma reconfiguração educacional, com foco em competências técnicas e socioemocionais. A aprendizagem contínua, o pensamento crítico, a ética digital e a formação transdisciplinar passam a ser essenciais. Programas de capacitação voltados à robótica colaborativa, sustentabilidade e inovação tecnológica tornam-se centrais para preparar os trabalhadores do futuro (</w:t>
      </w:r>
      <w:r w:rsidRPr="005F19FA">
        <w:rPr>
          <w:rFonts w:ascii="Times New Roman" w:hAnsi="Times New Roman" w:cs="Times New Roman"/>
          <w:i/>
          <w:iCs/>
          <w:color w:val="000000" w:themeColor="text1"/>
          <w:sz w:val="24"/>
          <w:szCs w:val="24"/>
        </w:rPr>
        <w:t xml:space="preserve">World Economic </w:t>
      </w:r>
      <w:proofErr w:type="spellStart"/>
      <w:r w:rsidRPr="005F19FA">
        <w:rPr>
          <w:rFonts w:ascii="Times New Roman" w:hAnsi="Times New Roman" w:cs="Times New Roman"/>
          <w:i/>
          <w:iCs/>
          <w:color w:val="000000" w:themeColor="text1"/>
          <w:sz w:val="24"/>
          <w:szCs w:val="24"/>
        </w:rPr>
        <w:t>Forum</w:t>
      </w:r>
      <w:proofErr w:type="spellEnd"/>
      <w:r w:rsidRPr="005F19FA">
        <w:rPr>
          <w:rFonts w:ascii="Times New Roman" w:hAnsi="Times New Roman" w:cs="Times New Roman"/>
          <w:color w:val="000000" w:themeColor="text1"/>
          <w:sz w:val="24"/>
          <w:szCs w:val="24"/>
        </w:rPr>
        <w:t xml:space="preserve"> [WEF], 2023).</w:t>
      </w:r>
    </w:p>
    <w:p w14:paraId="38C8C724" w14:textId="77777777" w:rsidR="00B470B5" w:rsidRPr="005F19FA" w:rsidRDefault="00B470B5" w:rsidP="00B470B5">
      <w:pPr>
        <w:pStyle w:val="PargrafodaLista"/>
        <w:numPr>
          <w:ilvl w:val="0"/>
          <w:numId w:val="6"/>
        </w:numPr>
        <w:tabs>
          <w:tab w:val="left" w:pos="993"/>
        </w:tabs>
        <w:spacing w:line="360" w:lineRule="auto"/>
        <w:ind w:left="709" w:firstLine="0"/>
        <w:jc w:val="both"/>
        <w:rPr>
          <w:rFonts w:ascii="Times New Roman" w:hAnsi="Times New Roman" w:cs="Times New Roman"/>
          <w:color w:val="000000" w:themeColor="text1"/>
          <w:sz w:val="24"/>
          <w:szCs w:val="24"/>
        </w:rPr>
      </w:pPr>
      <w:r w:rsidRPr="005F19FA">
        <w:rPr>
          <w:rFonts w:ascii="Times New Roman" w:hAnsi="Times New Roman" w:cs="Times New Roman"/>
          <w:color w:val="000000" w:themeColor="text1"/>
          <w:sz w:val="24"/>
          <w:szCs w:val="24"/>
        </w:rPr>
        <w:t>ODS 5 – Igualdade de Gênero: A Indústria 5.0 incentiva ambientes inclusivos e práticas organizacionais que promovem a diversidade de gênero, especialmente em áreas técnicas e cargos de liderança. Iniciativas voltadas à equidade de acesso às tecnologias e capacitação profissional têm papel relevante nesse contexto (</w:t>
      </w:r>
      <w:r w:rsidRPr="005F19FA">
        <w:rPr>
          <w:rFonts w:ascii="Times New Roman" w:hAnsi="Times New Roman" w:cs="Times New Roman"/>
          <w:i/>
          <w:iCs/>
          <w:color w:val="000000" w:themeColor="text1"/>
          <w:sz w:val="24"/>
          <w:szCs w:val="24"/>
        </w:rPr>
        <w:t xml:space="preserve">United </w:t>
      </w:r>
      <w:proofErr w:type="spellStart"/>
      <w:r w:rsidRPr="005F19FA">
        <w:rPr>
          <w:rFonts w:ascii="Times New Roman" w:hAnsi="Times New Roman" w:cs="Times New Roman"/>
          <w:i/>
          <w:iCs/>
          <w:color w:val="000000" w:themeColor="text1"/>
          <w:sz w:val="24"/>
          <w:szCs w:val="24"/>
        </w:rPr>
        <w:t>Nations</w:t>
      </w:r>
      <w:proofErr w:type="spellEnd"/>
      <w:r w:rsidRPr="005F19FA">
        <w:rPr>
          <w:rFonts w:ascii="Times New Roman" w:hAnsi="Times New Roman" w:cs="Times New Roman"/>
          <w:i/>
          <w:iCs/>
          <w:color w:val="000000" w:themeColor="text1"/>
          <w:sz w:val="24"/>
          <w:szCs w:val="24"/>
        </w:rPr>
        <w:t xml:space="preserve"> Industrial </w:t>
      </w:r>
      <w:proofErr w:type="spellStart"/>
      <w:r w:rsidRPr="005F19FA">
        <w:rPr>
          <w:rFonts w:ascii="Times New Roman" w:hAnsi="Times New Roman" w:cs="Times New Roman"/>
          <w:i/>
          <w:iCs/>
          <w:color w:val="000000" w:themeColor="text1"/>
          <w:sz w:val="24"/>
          <w:szCs w:val="24"/>
        </w:rPr>
        <w:t>Development</w:t>
      </w:r>
      <w:proofErr w:type="spellEnd"/>
      <w:r w:rsidRPr="005F19FA">
        <w:rPr>
          <w:rFonts w:ascii="Times New Roman" w:hAnsi="Times New Roman" w:cs="Times New Roman"/>
          <w:i/>
          <w:iCs/>
          <w:color w:val="000000" w:themeColor="text1"/>
          <w:sz w:val="24"/>
          <w:szCs w:val="24"/>
        </w:rPr>
        <w:t xml:space="preserve"> </w:t>
      </w:r>
      <w:proofErr w:type="spellStart"/>
      <w:r w:rsidRPr="005F19FA">
        <w:rPr>
          <w:rFonts w:ascii="Times New Roman" w:hAnsi="Times New Roman" w:cs="Times New Roman"/>
          <w:i/>
          <w:iCs/>
          <w:color w:val="000000" w:themeColor="text1"/>
          <w:sz w:val="24"/>
          <w:szCs w:val="24"/>
        </w:rPr>
        <w:t>Organization</w:t>
      </w:r>
      <w:proofErr w:type="spellEnd"/>
      <w:r w:rsidRPr="005F19FA">
        <w:rPr>
          <w:rFonts w:ascii="Times New Roman" w:hAnsi="Times New Roman" w:cs="Times New Roman"/>
          <w:i/>
          <w:iCs/>
          <w:color w:val="000000" w:themeColor="text1"/>
          <w:sz w:val="24"/>
          <w:szCs w:val="24"/>
        </w:rPr>
        <w:t xml:space="preserve"> </w:t>
      </w:r>
      <w:r w:rsidRPr="005F19FA">
        <w:rPr>
          <w:rFonts w:ascii="Times New Roman" w:hAnsi="Times New Roman" w:cs="Times New Roman"/>
          <w:color w:val="000000" w:themeColor="text1"/>
          <w:sz w:val="24"/>
          <w:szCs w:val="24"/>
        </w:rPr>
        <w:t>[UNIDO], 2020).</w:t>
      </w:r>
    </w:p>
    <w:p w14:paraId="098C7DDB" w14:textId="77777777" w:rsidR="00B470B5" w:rsidRPr="005F19FA" w:rsidRDefault="00B470B5" w:rsidP="00B470B5">
      <w:pPr>
        <w:pStyle w:val="PargrafodaLista"/>
        <w:numPr>
          <w:ilvl w:val="0"/>
          <w:numId w:val="6"/>
        </w:numPr>
        <w:tabs>
          <w:tab w:val="left" w:pos="993"/>
        </w:tabs>
        <w:spacing w:line="360" w:lineRule="auto"/>
        <w:ind w:left="709" w:firstLine="0"/>
        <w:jc w:val="both"/>
        <w:rPr>
          <w:rFonts w:ascii="Times New Roman" w:hAnsi="Times New Roman" w:cs="Times New Roman"/>
          <w:color w:val="000000" w:themeColor="text1"/>
          <w:sz w:val="24"/>
          <w:szCs w:val="24"/>
        </w:rPr>
      </w:pPr>
      <w:r w:rsidRPr="005F19FA">
        <w:rPr>
          <w:rFonts w:ascii="Times New Roman" w:hAnsi="Times New Roman" w:cs="Times New Roman"/>
          <w:color w:val="000000" w:themeColor="text1"/>
          <w:sz w:val="24"/>
          <w:szCs w:val="24"/>
        </w:rPr>
        <w:t xml:space="preserve">ODS 8 – Trabalho Decente e Crescimento Econômico: Com a introdução dos </w:t>
      </w:r>
      <w:proofErr w:type="spellStart"/>
      <w:r w:rsidRPr="005F19FA">
        <w:rPr>
          <w:rFonts w:ascii="Times New Roman" w:hAnsi="Times New Roman" w:cs="Times New Roman"/>
          <w:color w:val="000000" w:themeColor="text1"/>
          <w:sz w:val="24"/>
          <w:szCs w:val="24"/>
        </w:rPr>
        <w:t>cobots</w:t>
      </w:r>
      <w:proofErr w:type="spellEnd"/>
      <w:r w:rsidRPr="005F19FA">
        <w:rPr>
          <w:rFonts w:ascii="Times New Roman" w:hAnsi="Times New Roman" w:cs="Times New Roman"/>
          <w:color w:val="000000" w:themeColor="text1"/>
          <w:sz w:val="24"/>
          <w:szCs w:val="24"/>
        </w:rPr>
        <w:t xml:space="preserve"> (robôs colaborativos) e da automação centrada no ser humano, a Indústria 5.0 possibilita a criação de empregos com maior valor agregado, ambientes mais seguros e a valorização de habilidades criativas. Segundo Lu et al. (2022), haverá uma reconfiguração do papel do trabalho humano, que passará a concentrar-se em atividades mais complexas e menos repetitivas. </w:t>
      </w:r>
      <w:proofErr w:type="spellStart"/>
      <w:r w:rsidRPr="005F19FA">
        <w:rPr>
          <w:rFonts w:ascii="Times New Roman" w:hAnsi="Times New Roman" w:cs="Times New Roman"/>
          <w:color w:val="000000" w:themeColor="text1"/>
          <w:sz w:val="24"/>
          <w:szCs w:val="24"/>
        </w:rPr>
        <w:t>Monferdini</w:t>
      </w:r>
      <w:proofErr w:type="spellEnd"/>
      <w:r w:rsidRPr="005F19FA">
        <w:rPr>
          <w:rFonts w:ascii="Times New Roman" w:hAnsi="Times New Roman" w:cs="Times New Roman"/>
          <w:color w:val="000000" w:themeColor="text1"/>
          <w:sz w:val="24"/>
          <w:szCs w:val="24"/>
        </w:rPr>
        <w:t xml:space="preserve">, Tebaldi e </w:t>
      </w:r>
      <w:proofErr w:type="spellStart"/>
      <w:r w:rsidRPr="005F19FA">
        <w:rPr>
          <w:rFonts w:ascii="Times New Roman" w:hAnsi="Times New Roman" w:cs="Times New Roman"/>
          <w:color w:val="000000" w:themeColor="text1"/>
          <w:sz w:val="24"/>
          <w:szCs w:val="24"/>
        </w:rPr>
        <w:t>Bottani</w:t>
      </w:r>
      <w:proofErr w:type="spellEnd"/>
      <w:r w:rsidRPr="005F19FA">
        <w:rPr>
          <w:rFonts w:ascii="Times New Roman" w:hAnsi="Times New Roman" w:cs="Times New Roman"/>
          <w:color w:val="000000" w:themeColor="text1"/>
          <w:sz w:val="24"/>
          <w:szCs w:val="24"/>
        </w:rPr>
        <w:t xml:space="preserve"> (2025) reforçam que a tecnologia deve ser aliada da inclusão produtiva, não da substituição do trabalho humano.</w:t>
      </w:r>
    </w:p>
    <w:p w14:paraId="6DC502DD" w14:textId="77777777" w:rsidR="00B470B5" w:rsidRPr="005F19FA" w:rsidRDefault="00B470B5" w:rsidP="00B470B5">
      <w:pPr>
        <w:pStyle w:val="PargrafodaLista"/>
        <w:numPr>
          <w:ilvl w:val="0"/>
          <w:numId w:val="6"/>
        </w:numPr>
        <w:tabs>
          <w:tab w:val="left" w:pos="993"/>
        </w:tabs>
        <w:spacing w:line="360" w:lineRule="auto"/>
        <w:ind w:left="709" w:firstLine="0"/>
        <w:jc w:val="both"/>
        <w:rPr>
          <w:rFonts w:ascii="Times New Roman" w:hAnsi="Times New Roman" w:cs="Times New Roman"/>
          <w:color w:val="000000" w:themeColor="text1"/>
          <w:sz w:val="24"/>
          <w:szCs w:val="24"/>
        </w:rPr>
      </w:pPr>
      <w:r w:rsidRPr="005F19FA">
        <w:rPr>
          <w:rFonts w:ascii="Times New Roman" w:hAnsi="Times New Roman" w:cs="Times New Roman"/>
          <w:color w:val="000000" w:themeColor="text1"/>
          <w:sz w:val="24"/>
          <w:szCs w:val="24"/>
        </w:rPr>
        <w:t xml:space="preserve">ODS 9 – Indústria, Inovação e Infraestrutura: A Indústria 5.0 promove uma transformação digital sustentável com o desenvolvimento de infraestruturas </w:t>
      </w:r>
      <w:r w:rsidRPr="005F19FA">
        <w:rPr>
          <w:rFonts w:ascii="Times New Roman" w:hAnsi="Times New Roman" w:cs="Times New Roman"/>
          <w:color w:val="000000" w:themeColor="text1"/>
          <w:sz w:val="24"/>
          <w:szCs w:val="24"/>
        </w:rPr>
        <w:lastRenderedPageBreak/>
        <w:t>inteligentes, redes descentralizadas de energia e processos produtivos regenerativos. A Comissão Europeia (</w:t>
      </w:r>
      <w:proofErr w:type="spellStart"/>
      <w:r w:rsidRPr="005F19FA">
        <w:rPr>
          <w:rFonts w:ascii="Times New Roman" w:hAnsi="Times New Roman" w:cs="Times New Roman"/>
          <w:i/>
          <w:iCs/>
          <w:color w:val="000000" w:themeColor="text1"/>
          <w:sz w:val="24"/>
          <w:szCs w:val="24"/>
        </w:rPr>
        <w:t>European</w:t>
      </w:r>
      <w:proofErr w:type="spellEnd"/>
      <w:r w:rsidRPr="005F19FA">
        <w:rPr>
          <w:rFonts w:ascii="Times New Roman" w:hAnsi="Times New Roman" w:cs="Times New Roman"/>
          <w:i/>
          <w:iCs/>
          <w:color w:val="000000" w:themeColor="text1"/>
          <w:sz w:val="24"/>
          <w:szCs w:val="24"/>
        </w:rPr>
        <w:t xml:space="preserve"> Commission</w:t>
      </w:r>
      <w:r w:rsidRPr="005F19FA">
        <w:rPr>
          <w:rFonts w:ascii="Times New Roman" w:hAnsi="Times New Roman" w:cs="Times New Roman"/>
          <w:color w:val="000000" w:themeColor="text1"/>
          <w:sz w:val="24"/>
          <w:szCs w:val="24"/>
        </w:rPr>
        <w:t>, 2021) destaca que essas mudanças favorecem a construção de sistemas industriais mais resilientes, conectados e centrados nas pessoas, contribuindo para a redução das desigualdades regionais e o fortalecimento da economia digital.</w:t>
      </w:r>
    </w:p>
    <w:p w14:paraId="3A0BBCFD" w14:textId="77777777" w:rsidR="00B470B5" w:rsidRPr="005F19FA" w:rsidRDefault="00B470B5" w:rsidP="00B470B5">
      <w:pPr>
        <w:pStyle w:val="PargrafodaLista"/>
        <w:numPr>
          <w:ilvl w:val="0"/>
          <w:numId w:val="6"/>
        </w:numPr>
        <w:tabs>
          <w:tab w:val="left" w:pos="993"/>
        </w:tabs>
        <w:spacing w:line="360" w:lineRule="auto"/>
        <w:ind w:left="709" w:firstLine="0"/>
        <w:jc w:val="both"/>
        <w:rPr>
          <w:rFonts w:ascii="Times New Roman" w:hAnsi="Times New Roman" w:cs="Times New Roman"/>
          <w:color w:val="000000" w:themeColor="text1"/>
          <w:sz w:val="24"/>
          <w:szCs w:val="24"/>
        </w:rPr>
      </w:pPr>
      <w:r w:rsidRPr="005F19FA">
        <w:rPr>
          <w:rFonts w:ascii="Times New Roman" w:hAnsi="Times New Roman" w:cs="Times New Roman"/>
          <w:color w:val="000000" w:themeColor="text1"/>
          <w:sz w:val="24"/>
          <w:szCs w:val="24"/>
        </w:rPr>
        <w:t xml:space="preserve">ODS 10 – Redução das Desigualdades: Ao integrar inclusão digital, personalização de produtos e valorização da diversidade humana nos processos industriais, a Indústria 5.0 contribui diretamente para a diminuição das desigualdades. Segundo Lu et al. (2022), o acesso a tecnologias mais acessíveis e colaborativas pode reduzir disparidades socioeconômicas. </w:t>
      </w:r>
      <w:proofErr w:type="spellStart"/>
      <w:r w:rsidRPr="005F19FA">
        <w:rPr>
          <w:rFonts w:ascii="Times New Roman" w:hAnsi="Times New Roman" w:cs="Times New Roman"/>
          <w:color w:val="000000" w:themeColor="text1"/>
          <w:sz w:val="24"/>
          <w:szCs w:val="24"/>
        </w:rPr>
        <w:t>Panza</w:t>
      </w:r>
      <w:proofErr w:type="spellEnd"/>
      <w:r w:rsidRPr="005F19FA">
        <w:rPr>
          <w:rFonts w:ascii="Times New Roman" w:hAnsi="Times New Roman" w:cs="Times New Roman"/>
          <w:color w:val="000000" w:themeColor="text1"/>
          <w:sz w:val="24"/>
          <w:szCs w:val="24"/>
        </w:rPr>
        <w:t xml:space="preserve">, Bruno e Lombardi (2023) apontam que a </w:t>
      </w:r>
      <w:proofErr w:type="spellStart"/>
      <w:r w:rsidRPr="005F19FA">
        <w:rPr>
          <w:rFonts w:ascii="Times New Roman" w:hAnsi="Times New Roman" w:cs="Times New Roman"/>
          <w:color w:val="000000" w:themeColor="text1"/>
          <w:sz w:val="24"/>
          <w:szCs w:val="24"/>
        </w:rPr>
        <w:t>co-criação</w:t>
      </w:r>
      <w:proofErr w:type="spellEnd"/>
      <w:r w:rsidRPr="005F19FA">
        <w:rPr>
          <w:rFonts w:ascii="Times New Roman" w:hAnsi="Times New Roman" w:cs="Times New Roman"/>
          <w:color w:val="000000" w:themeColor="text1"/>
          <w:sz w:val="24"/>
          <w:szCs w:val="24"/>
        </w:rPr>
        <w:t xml:space="preserve"> e estratégias de capacitação inclusiva fortalecem a justiça social e ampliam oportunidades para populações marginalizadas.</w:t>
      </w:r>
    </w:p>
    <w:p w14:paraId="6F5E148B" w14:textId="77777777" w:rsidR="00B470B5" w:rsidRPr="005F19FA" w:rsidRDefault="00B470B5" w:rsidP="00B470B5">
      <w:pPr>
        <w:pStyle w:val="PargrafodaLista"/>
        <w:numPr>
          <w:ilvl w:val="0"/>
          <w:numId w:val="6"/>
        </w:numPr>
        <w:tabs>
          <w:tab w:val="left" w:pos="993"/>
        </w:tabs>
        <w:spacing w:line="360" w:lineRule="auto"/>
        <w:ind w:left="709" w:firstLine="0"/>
        <w:jc w:val="both"/>
        <w:rPr>
          <w:rFonts w:ascii="Times New Roman" w:hAnsi="Times New Roman" w:cs="Times New Roman"/>
          <w:color w:val="000000" w:themeColor="text1"/>
          <w:sz w:val="24"/>
          <w:szCs w:val="24"/>
        </w:rPr>
      </w:pPr>
      <w:r w:rsidRPr="005F19FA">
        <w:rPr>
          <w:rFonts w:ascii="Times New Roman" w:hAnsi="Times New Roman" w:cs="Times New Roman"/>
          <w:color w:val="000000" w:themeColor="text1"/>
          <w:sz w:val="24"/>
          <w:szCs w:val="24"/>
        </w:rPr>
        <w:t xml:space="preserve">ODS 12 – Consumo e Produção Responsáveis: A personalização em massa, viabilizada por tecnologias como manufatura aditiva e </w:t>
      </w:r>
      <w:r w:rsidRPr="005F19FA">
        <w:rPr>
          <w:rFonts w:ascii="Times New Roman" w:hAnsi="Times New Roman" w:cs="Times New Roman"/>
          <w:i/>
          <w:iCs/>
          <w:color w:val="000000" w:themeColor="text1"/>
          <w:sz w:val="24"/>
          <w:szCs w:val="24"/>
        </w:rPr>
        <w:t xml:space="preserve">digital </w:t>
      </w:r>
      <w:proofErr w:type="spellStart"/>
      <w:r w:rsidRPr="005F19FA">
        <w:rPr>
          <w:rFonts w:ascii="Times New Roman" w:hAnsi="Times New Roman" w:cs="Times New Roman"/>
          <w:i/>
          <w:iCs/>
          <w:color w:val="000000" w:themeColor="text1"/>
          <w:sz w:val="24"/>
          <w:szCs w:val="24"/>
        </w:rPr>
        <w:t>twins</w:t>
      </w:r>
      <w:proofErr w:type="spellEnd"/>
      <w:r w:rsidRPr="005F19FA">
        <w:rPr>
          <w:rFonts w:ascii="Times New Roman" w:hAnsi="Times New Roman" w:cs="Times New Roman"/>
          <w:color w:val="000000" w:themeColor="text1"/>
          <w:sz w:val="24"/>
          <w:szCs w:val="24"/>
        </w:rPr>
        <w:t xml:space="preserve">, permite uma produção sob demanda, mais eficiente e com menor geração de resíduos. </w:t>
      </w:r>
      <w:proofErr w:type="spellStart"/>
      <w:r w:rsidRPr="005F19FA">
        <w:rPr>
          <w:rFonts w:ascii="Times New Roman" w:hAnsi="Times New Roman" w:cs="Times New Roman"/>
          <w:color w:val="000000" w:themeColor="text1"/>
          <w:sz w:val="24"/>
          <w:szCs w:val="24"/>
        </w:rPr>
        <w:t>Xu</w:t>
      </w:r>
      <w:proofErr w:type="spellEnd"/>
      <w:r w:rsidRPr="005F19FA">
        <w:rPr>
          <w:rFonts w:ascii="Times New Roman" w:hAnsi="Times New Roman" w:cs="Times New Roman"/>
          <w:color w:val="000000" w:themeColor="text1"/>
          <w:sz w:val="24"/>
          <w:szCs w:val="24"/>
        </w:rPr>
        <w:t xml:space="preserve"> et al. (2021) destacam o papel da rastreabilidade baseada em blockchain e do design sustentável como práticas fundamentais para cadeias de suprimentos éticas e circulares. </w:t>
      </w:r>
      <w:bookmarkStart w:id="1" w:name="_Hlk203379099"/>
      <w:r w:rsidRPr="005F19FA">
        <w:rPr>
          <w:rFonts w:ascii="Times New Roman" w:hAnsi="Times New Roman" w:cs="Times New Roman"/>
          <w:color w:val="000000" w:themeColor="text1"/>
          <w:sz w:val="24"/>
          <w:szCs w:val="24"/>
        </w:rPr>
        <w:t>Fraga-Lamas, Lopes e Fernández-</w:t>
      </w:r>
      <w:proofErr w:type="spellStart"/>
      <w:r w:rsidRPr="005F19FA">
        <w:rPr>
          <w:rFonts w:ascii="Times New Roman" w:hAnsi="Times New Roman" w:cs="Times New Roman"/>
          <w:color w:val="000000" w:themeColor="text1"/>
          <w:sz w:val="24"/>
          <w:szCs w:val="24"/>
        </w:rPr>
        <w:t>Caramés</w:t>
      </w:r>
      <w:proofErr w:type="spellEnd"/>
      <w:r w:rsidRPr="005F19FA">
        <w:rPr>
          <w:rFonts w:ascii="Times New Roman" w:hAnsi="Times New Roman" w:cs="Times New Roman"/>
          <w:color w:val="000000" w:themeColor="text1"/>
          <w:sz w:val="24"/>
          <w:szCs w:val="24"/>
        </w:rPr>
        <w:t xml:space="preserve"> (2021)</w:t>
      </w:r>
      <w:bookmarkEnd w:id="1"/>
      <w:r w:rsidRPr="005F19FA">
        <w:rPr>
          <w:rFonts w:ascii="Times New Roman" w:hAnsi="Times New Roman" w:cs="Times New Roman"/>
          <w:color w:val="000000" w:themeColor="text1"/>
          <w:sz w:val="24"/>
          <w:szCs w:val="24"/>
        </w:rPr>
        <w:t xml:space="preserve"> acrescentam que o uso de materiais recicláveis e a redução do desperdício são essenciais para alcançar modelos produtivos mais sustentáveis.</w:t>
      </w:r>
    </w:p>
    <w:p w14:paraId="07470226" w14:textId="77777777" w:rsidR="00B470B5" w:rsidRPr="005F19FA" w:rsidRDefault="00B470B5" w:rsidP="00B470B5">
      <w:pPr>
        <w:pStyle w:val="PargrafodaLista"/>
        <w:numPr>
          <w:ilvl w:val="0"/>
          <w:numId w:val="6"/>
        </w:numPr>
        <w:tabs>
          <w:tab w:val="left" w:pos="993"/>
        </w:tabs>
        <w:spacing w:line="360" w:lineRule="auto"/>
        <w:ind w:left="709" w:firstLine="0"/>
        <w:jc w:val="both"/>
        <w:rPr>
          <w:rFonts w:ascii="Times New Roman" w:hAnsi="Times New Roman" w:cs="Times New Roman"/>
          <w:color w:val="000000" w:themeColor="text1"/>
          <w:sz w:val="24"/>
          <w:szCs w:val="24"/>
        </w:rPr>
      </w:pPr>
      <w:r w:rsidRPr="005F19FA">
        <w:rPr>
          <w:rFonts w:ascii="Times New Roman" w:hAnsi="Times New Roman" w:cs="Times New Roman"/>
          <w:color w:val="000000" w:themeColor="text1"/>
          <w:sz w:val="24"/>
          <w:szCs w:val="24"/>
        </w:rPr>
        <w:t>ODS 13 – Ação Contra a Mudança Global do Clima: Com o uso de tecnologias inteligentes, a Indústria 5.0 contribui para a mitigação dos efeitos das mudanças climáticas, por meio de maior eficiência energética, automação verde, captura de carbono e descentralização energética. A Internet das Coisas (IoT) pode ajudar a pavimentar o caminho para a economia circular e para um mundo mais sustentável, permitindo a digitalização de muitas operações e processos, como distribuição de água, manutenção preventiva ou manufatura inteligente (Fraga-Lamas, Lopes &amp; Fernández-</w:t>
      </w:r>
      <w:proofErr w:type="spellStart"/>
      <w:r w:rsidRPr="005F19FA">
        <w:rPr>
          <w:rFonts w:ascii="Times New Roman" w:hAnsi="Times New Roman" w:cs="Times New Roman"/>
          <w:color w:val="000000" w:themeColor="text1"/>
          <w:sz w:val="24"/>
          <w:szCs w:val="24"/>
        </w:rPr>
        <w:t>Caramés</w:t>
      </w:r>
      <w:proofErr w:type="spellEnd"/>
      <w:r w:rsidRPr="005F19FA">
        <w:rPr>
          <w:rFonts w:ascii="Times New Roman" w:hAnsi="Times New Roman" w:cs="Times New Roman"/>
          <w:color w:val="000000" w:themeColor="text1"/>
          <w:sz w:val="24"/>
          <w:szCs w:val="24"/>
        </w:rPr>
        <w:t xml:space="preserve"> (2021).  A tecnologia móvel tem o maior impacto na sustentabilidade em todas as indústrias, e a nanotecnologia, a tecnologia móvel, a simulação e os drones têm o maior impacto na sustentabilidade nas indústrias automotiva, eletrônica, de alimentos e bebidas e têxtil, vestuário e calçados, respectivamente; promovendo uma economia de baixo carbono e sustentável (</w:t>
      </w:r>
      <w:proofErr w:type="spellStart"/>
      <w:r w:rsidRPr="005F19FA">
        <w:rPr>
          <w:rFonts w:ascii="Times New Roman" w:hAnsi="Times New Roman" w:cs="Times New Roman"/>
          <w:color w:val="000000" w:themeColor="text1"/>
          <w:sz w:val="24"/>
          <w:szCs w:val="24"/>
        </w:rPr>
        <w:t>Bai</w:t>
      </w:r>
      <w:proofErr w:type="spellEnd"/>
      <w:r w:rsidRPr="005F19FA">
        <w:rPr>
          <w:rFonts w:ascii="Times New Roman" w:hAnsi="Times New Roman" w:cs="Times New Roman"/>
          <w:color w:val="000000" w:themeColor="text1"/>
          <w:sz w:val="24"/>
          <w:szCs w:val="24"/>
        </w:rPr>
        <w:t xml:space="preserve"> et al., 2020).</w:t>
      </w:r>
    </w:p>
    <w:p w14:paraId="4A2A23C7" w14:textId="77777777" w:rsidR="00B470B5" w:rsidRPr="006F04E5" w:rsidRDefault="00B470B5" w:rsidP="00B470B5">
      <w:pPr>
        <w:spacing w:line="240" w:lineRule="auto"/>
        <w:jc w:val="both"/>
        <w:rPr>
          <w:rFonts w:ascii="Times New Roman" w:hAnsi="Times New Roman" w:cs="Times New Roman"/>
          <w:color w:val="000000" w:themeColor="text1"/>
          <w:sz w:val="24"/>
          <w:szCs w:val="24"/>
        </w:rPr>
      </w:pPr>
    </w:p>
    <w:p w14:paraId="4DAB5711" w14:textId="77777777" w:rsidR="00B470B5" w:rsidRPr="006F04E5" w:rsidRDefault="00B470B5" w:rsidP="00B470B5">
      <w:pPr>
        <w:spacing w:line="240" w:lineRule="auto"/>
        <w:jc w:val="both"/>
        <w:rPr>
          <w:rFonts w:ascii="Times New Roman" w:hAnsi="Times New Roman" w:cs="Times New Roman"/>
          <w:b/>
          <w:bCs/>
          <w:color w:val="000000" w:themeColor="text1"/>
          <w:sz w:val="24"/>
          <w:szCs w:val="24"/>
        </w:rPr>
      </w:pPr>
    </w:p>
    <w:p w14:paraId="413815D8" w14:textId="77777777" w:rsidR="00B470B5" w:rsidRPr="00C9794D" w:rsidRDefault="00B470B5" w:rsidP="00B470B5">
      <w:pPr>
        <w:numPr>
          <w:ilvl w:val="0"/>
          <w:numId w:val="8"/>
        </w:numPr>
        <w:pBdr>
          <w:top w:val="nil"/>
          <w:left w:val="nil"/>
          <w:bottom w:val="nil"/>
          <w:right w:val="nil"/>
          <w:between w:val="nil"/>
        </w:pBdr>
        <w:spacing w:line="360" w:lineRule="auto"/>
        <w:ind w:left="426" w:hanging="284"/>
        <w:jc w:val="both"/>
        <w:rPr>
          <w:rFonts w:ascii="Times New Roman" w:eastAsia="Times New Roman" w:hAnsi="Times New Roman" w:cs="Times New Roman"/>
          <w:b/>
          <w:sz w:val="28"/>
          <w:szCs w:val="28"/>
        </w:rPr>
      </w:pPr>
      <w:r w:rsidRPr="00C9794D">
        <w:rPr>
          <w:rFonts w:ascii="Times New Roman" w:eastAsia="Times New Roman" w:hAnsi="Times New Roman" w:cs="Times New Roman"/>
          <w:b/>
          <w:sz w:val="28"/>
          <w:szCs w:val="28"/>
        </w:rPr>
        <w:t>METODOLÓGIA</w:t>
      </w:r>
    </w:p>
    <w:p w14:paraId="1FAAE42D"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A presente pesquisa adota uma abordagem qualitativa, exploratória e descritiva, com o objetivo de compreender as conexões entre os princípios da Indústria 5.0 e os Objetivos de Desenvolvimento Sustentável (ODS). Para isso, foi desenvolvida uma estratégia metodológica mista, composta por:</w:t>
      </w:r>
    </w:p>
    <w:p w14:paraId="7A004A9E" w14:textId="77777777" w:rsidR="00B470B5" w:rsidRPr="006F04E5" w:rsidRDefault="00B470B5" w:rsidP="00B470B5">
      <w:pPr>
        <w:pStyle w:val="PargrafodaLista"/>
        <w:numPr>
          <w:ilvl w:val="0"/>
          <w:numId w:val="4"/>
        </w:numPr>
        <w:spacing w:line="360" w:lineRule="auto"/>
        <w:ind w:left="1066" w:hanging="357"/>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Revisão sistemática de literatura, com o intuito de mapear conceitos-chave, fundamentos teóricos e casos de aplicação prática da Indústria 5.0 em relação aos ODS. A presente pesquisa adotou o método de revisão sistemática da literatura, com o objetivo de mapear conceitos-chave, fundamentos teóricos e casos de aplicação prática relacionados à Indústria 5.0 e sua interface com os Objetivos de Desenvolvimento Sustentável (ODS). A seleção resultou </w:t>
      </w:r>
      <w:proofErr w:type="gramStart"/>
      <w:r w:rsidRPr="006F04E5">
        <w:rPr>
          <w:rFonts w:ascii="Times New Roman" w:hAnsi="Times New Roman" w:cs="Times New Roman"/>
          <w:color w:val="000000" w:themeColor="text1"/>
          <w:sz w:val="24"/>
          <w:szCs w:val="24"/>
        </w:rPr>
        <w:t>inicialmente  em</w:t>
      </w:r>
      <w:proofErr w:type="gramEnd"/>
      <w:r w:rsidRPr="006F04E5">
        <w:rPr>
          <w:rFonts w:ascii="Times New Roman" w:hAnsi="Times New Roman" w:cs="Times New Roman"/>
          <w:color w:val="000000" w:themeColor="text1"/>
          <w:sz w:val="24"/>
          <w:szCs w:val="24"/>
        </w:rPr>
        <w:t xml:space="preserve"> 42 documentos e após leitura de todos, foram selecionados 20 documentos que compuseram o corpus final e que embasaram o referencial teórico e o instrumento das entrevistas.</w:t>
      </w:r>
    </w:p>
    <w:p w14:paraId="783B790B" w14:textId="77777777" w:rsidR="00B470B5" w:rsidRPr="006F04E5" w:rsidRDefault="00B470B5" w:rsidP="00B470B5">
      <w:pPr>
        <w:pStyle w:val="PargrafodaLista"/>
        <w:numPr>
          <w:ilvl w:val="0"/>
          <w:numId w:val="4"/>
        </w:numPr>
        <w:spacing w:line="360" w:lineRule="auto"/>
        <w:ind w:left="1066" w:hanging="357"/>
        <w:contextualSpacing w:val="0"/>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Entrevistas semiestruturadas, realizadas com 10 especialistas de diferentes áreas, para compreender percepções, experiências e projeções sobre a aplicabilidade da Indústria 5.0 nos contextos social, ambiental e econômico.</w:t>
      </w:r>
    </w:p>
    <w:p w14:paraId="1C9F9FB2" w14:textId="77777777" w:rsidR="00B470B5" w:rsidRPr="006F04E5" w:rsidRDefault="00B470B5" w:rsidP="00B470B5">
      <w:pPr>
        <w:spacing w:line="240" w:lineRule="auto"/>
        <w:jc w:val="both"/>
        <w:rPr>
          <w:rFonts w:ascii="Times New Roman" w:hAnsi="Times New Roman" w:cs="Times New Roman"/>
          <w:color w:val="000000" w:themeColor="text1"/>
          <w:sz w:val="24"/>
          <w:szCs w:val="24"/>
        </w:rPr>
      </w:pPr>
    </w:p>
    <w:p w14:paraId="32BE3D84" w14:textId="77777777" w:rsidR="00B470B5" w:rsidRPr="009A6CDD" w:rsidRDefault="00B470B5" w:rsidP="00B470B5">
      <w:pPr>
        <w:pBdr>
          <w:top w:val="nil"/>
          <w:left w:val="nil"/>
          <w:bottom w:val="nil"/>
          <w:right w:val="nil"/>
          <w:between w:val="nil"/>
        </w:pBdr>
        <w:spacing w:line="360" w:lineRule="auto"/>
        <w:ind w:left="425" w:hanging="425"/>
        <w:jc w:val="both"/>
        <w:rPr>
          <w:rFonts w:ascii="Times New Roman" w:eastAsia="Times New Roman" w:hAnsi="Times New Roman" w:cs="Times New Roman"/>
          <w:sz w:val="24"/>
          <w:szCs w:val="24"/>
        </w:rPr>
      </w:pPr>
      <w:r w:rsidRPr="009A6CDD">
        <w:rPr>
          <w:rFonts w:ascii="Times New Roman" w:eastAsia="Times New Roman" w:hAnsi="Times New Roman" w:cs="Times New Roman"/>
          <w:sz w:val="24"/>
          <w:szCs w:val="24"/>
        </w:rPr>
        <w:t>3.1 REVISÃO SISTEMÁTICA DE LITERATURA</w:t>
      </w:r>
    </w:p>
    <w:p w14:paraId="474AC03A"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A revisão sistemática de literatura (RSL) adotou o método PRISMA e foi conduzida entre janeiro e março de 2025, nas bases Scopus, Web </w:t>
      </w:r>
      <w:proofErr w:type="spellStart"/>
      <w:r w:rsidRPr="006F04E5">
        <w:rPr>
          <w:rFonts w:ascii="Times New Roman" w:hAnsi="Times New Roman" w:cs="Times New Roman"/>
          <w:color w:val="000000" w:themeColor="text1"/>
          <w:sz w:val="24"/>
          <w:szCs w:val="24"/>
        </w:rPr>
        <w:t>of</w:t>
      </w:r>
      <w:proofErr w:type="spellEnd"/>
      <w:r w:rsidRPr="006F04E5">
        <w:rPr>
          <w:rFonts w:ascii="Times New Roman" w:hAnsi="Times New Roman" w:cs="Times New Roman"/>
          <w:color w:val="000000" w:themeColor="text1"/>
          <w:sz w:val="24"/>
          <w:szCs w:val="24"/>
        </w:rPr>
        <w:t xml:space="preserve"> Science e SciELO. Os critérios de inclusão foram: i- Publicações entre 2019 e 2024; </w:t>
      </w:r>
      <w:proofErr w:type="spellStart"/>
      <w:r w:rsidRPr="006F04E5">
        <w:rPr>
          <w:rFonts w:ascii="Times New Roman" w:hAnsi="Times New Roman" w:cs="Times New Roman"/>
          <w:color w:val="000000" w:themeColor="text1"/>
          <w:sz w:val="24"/>
          <w:szCs w:val="24"/>
        </w:rPr>
        <w:t>ii</w:t>
      </w:r>
      <w:proofErr w:type="spellEnd"/>
      <w:r w:rsidRPr="006F04E5">
        <w:rPr>
          <w:rFonts w:ascii="Times New Roman" w:hAnsi="Times New Roman" w:cs="Times New Roman"/>
          <w:color w:val="000000" w:themeColor="text1"/>
          <w:sz w:val="24"/>
          <w:szCs w:val="24"/>
        </w:rPr>
        <w:t xml:space="preserve">- Estudos em português, inglês e espanhol; </w:t>
      </w:r>
      <w:proofErr w:type="spellStart"/>
      <w:r w:rsidRPr="006F04E5">
        <w:rPr>
          <w:rFonts w:ascii="Times New Roman" w:hAnsi="Times New Roman" w:cs="Times New Roman"/>
          <w:color w:val="000000" w:themeColor="text1"/>
          <w:sz w:val="24"/>
          <w:szCs w:val="24"/>
        </w:rPr>
        <w:t>iii</w:t>
      </w:r>
      <w:proofErr w:type="spellEnd"/>
      <w:r w:rsidRPr="006F04E5">
        <w:rPr>
          <w:rFonts w:ascii="Times New Roman" w:hAnsi="Times New Roman" w:cs="Times New Roman"/>
          <w:color w:val="000000" w:themeColor="text1"/>
          <w:sz w:val="24"/>
          <w:szCs w:val="24"/>
        </w:rPr>
        <w:t xml:space="preserve">- Artigos, relatórios técnicos e documentos institucionais que abordassem Indústria 5.0, ODS, sustentabilidade, inovação tecnológica e transformação digital; </w:t>
      </w:r>
      <w:proofErr w:type="spellStart"/>
      <w:r w:rsidRPr="006F04E5">
        <w:rPr>
          <w:rFonts w:ascii="Times New Roman" w:hAnsi="Times New Roman" w:cs="Times New Roman"/>
          <w:color w:val="000000" w:themeColor="text1"/>
          <w:sz w:val="24"/>
          <w:szCs w:val="24"/>
        </w:rPr>
        <w:t>iv</w:t>
      </w:r>
      <w:proofErr w:type="spellEnd"/>
      <w:r w:rsidRPr="006F04E5">
        <w:rPr>
          <w:rFonts w:ascii="Times New Roman" w:hAnsi="Times New Roman" w:cs="Times New Roman"/>
          <w:color w:val="000000" w:themeColor="text1"/>
          <w:sz w:val="24"/>
          <w:szCs w:val="24"/>
        </w:rPr>
        <w:t xml:space="preserve">- Foram utilizadas combinações dos seguintes descritores: </w:t>
      </w:r>
      <w:r w:rsidRPr="006F04E5">
        <w:rPr>
          <w:rFonts w:ascii="Times New Roman" w:hAnsi="Times New Roman" w:cs="Times New Roman"/>
          <w:i/>
          <w:iCs/>
          <w:color w:val="000000" w:themeColor="text1"/>
          <w:sz w:val="24"/>
          <w:szCs w:val="24"/>
        </w:rPr>
        <w:t>“</w:t>
      </w:r>
      <w:proofErr w:type="spellStart"/>
      <w:r w:rsidRPr="006F04E5">
        <w:rPr>
          <w:rFonts w:ascii="Times New Roman" w:hAnsi="Times New Roman" w:cs="Times New Roman"/>
          <w:i/>
          <w:iCs/>
          <w:color w:val="000000" w:themeColor="text1"/>
          <w:sz w:val="24"/>
          <w:szCs w:val="24"/>
        </w:rPr>
        <w:t>Industry</w:t>
      </w:r>
      <w:proofErr w:type="spellEnd"/>
      <w:r w:rsidRPr="006F04E5">
        <w:rPr>
          <w:rFonts w:ascii="Times New Roman" w:hAnsi="Times New Roman" w:cs="Times New Roman"/>
          <w:i/>
          <w:iCs/>
          <w:color w:val="000000" w:themeColor="text1"/>
          <w:sz w:val="24"/>
          <w:szCs w:val="24"/>
        </w:rPr>
        <w:t xml:space="preserve"> 5.0”, “</w:t>
      </w:r>
      <w:proofErr w:type="spellStart"/>
      <w:r w:rsidRPr="006F04E5">
        <w:rPr>
          <w:rFonts w:ascii="Times New Roman" w:hAnsi="Times New Roman" w:cs="Times New Roman"/>
          <w:i/>
          <w:iCs/>
          <w:color w:val="000000" w:themeColor="text1"/>
          <w:sz w:val="24"/>
          <w:szCs w:val="24"/>
        </w:rPr>
        <w:t>Sustainable</w:t>
      </w:r>
      <w:proofErr w:type="spellEnd"/>
      <w:r w:rsidRPr="006F04E5">
        <w:rPr>
          <w:rFonts w:ascii="Times New Roman" w:hAnsi="Times New Roman" w:cs="Times New Roman"/>
          <w:i/>
          <w:iCs/>
          <w:color w:val="000000" w:themeColor="text1"/>
          <w:sz w:val="24"/>
          <w:szCs w:val="24"/>
        </w:rPr>
        <w:t xml:space="preserve"> </w:t>
      </w:r>
      <w:proofErr w:type="spellStart"/>
      <w:r w:rsidRPr="006F04E5">
        <w:rPr>
          <w:rFonts w:ascii="Times New Roman" w:hAnsi="Times New Roman" w:cs="Times New Roman"/>
          <w:i/>
          <w:iCs/>
          <w:color w:val="000000" w:themeColor="text1"/>
          <w:sz w:val="24"/>
          <w:szCs w:val="24"/>
        </w:rPr>
        <w:t>Development</w:t>
      </w:r>
      <w:proofErr w:type="spellEnd"/>
      <w:r w:rsidRPr="006F04E5">
        <w:rPr>
          <w:rFonts w:ascii="Times New Roman" w:hAnsi="Times New Roman" w:cs="Times New Roman"/>
          <w:i/>
          <w:iCs/>
          <w:color w:val="000000" w:themeColor="text1"/>
          <w:sz w:val="24"/>
          <w:szCs w:val="24"/>
        </w:rPr>
        <w:t xml:space="preserve"> </w:t>
      </w:r>
      <w:proofErr w:type="spellStart"/>
      <w:r w:rsidRPr="006F04E5">
        <w:rPr>
          <w:rFonts w:ascii="Times New Roman" w:hAnsi="Times New Roman" w:cs="Times New Roman"/>
          <w:i/>
          <w:iCs/>
          <w:color w:val="000000" w:themeColor="text1"/>
          <w:sz w:val="24"/>
          <w:szCs w:val="24"/>
        </w:rPr>
        <w:t>Goals</w:t>
      </w:r>
      <w:proofErr w:type="spellEnd"/>
      <w:r w:rsidRPr="006F04E5">
        <w:rPr>
          <w:rFonts w:ascii="Times New Roman" w:hAnsi="Times New Roman" w:cs="Times New Roman"/>
          <w:i/>
          <w:iCs/>
          <w:color w:val="000000" w:themeColor="text1"/>
          <w:sz w:val="24"/>
          <w:szCs w:val="24"/>
        </w:rPr>
        <w:t>”, “</w:t>
      </w:r>
      <w:proofErr w:type="spellStart"/>
      <w:r w:rsidRPr="006F04E5">
        <w:rPr>
          <w:rFonts w:ascii="Times New Roman" w:hAnsi="Times New Roman" w:cs="Times New Roman"/>
          <w:i/>
          <w:iCs/>
          <w:color w:val="000000" w:themeColor="text1"/>
          <w:sz w:val="24"/>
          <w:szCs w:val="24"/>
        </w:rPr>
        <w:t>SDGs</w:t>
      </w:r>
      <w:proofErr w:type="spellEnd"/>
      <w:r w:rsidRPr="006F04E5">
        <w:rPr>
          <w:rFonts w:ascii="Times New Roman" w:hAnsi="Times New Roman" w:cs="Times New Roman"/>
          <w:i/>
          <w:iCs/>
          <w:color w:val="000000" w:themeColor="text1"/>
          <w:sz w:val="24"/>
          <w:szCs w:val="24"/>
        </w:rPr>
        <w:t>”, “</w:t>
      </w:r>
      <w:proofErr w:type="spellStart"/>
      <w:r w:rsidRPr="006F04E5">
        <w:rPr>
          <w:rFonts w:ascii="Times New Roman" w:hAnsi="Times New Roman" w:cs="Times New Roman"/>
          <w:i/>
          <w:iCs/>
          <w:color w:val="000000" w:themeColor="text1"/>
          <w:sz w:val="24"/>
          <w:szCs w:val="24"/>
        </w:rPr>
        <w:t>human-centric</w:t>
      </w:r>
      <w:proofErr w:type="spellEnd"/>
      <w:r w:rsidRPr="006F04E5">
        <w:rPr>
          <w:rFonts w:ascii="Times New Roman" w:hAnsi="Times New Roman" w:cs="Times New Roman"/>
          <w:i/>
          <w:iCs/>
          <w:color w:val="000000" w:themeColor="text1"/>
          <w:sz w:val="24"/>
          <w:szCs w:val="24"/>
        </w:rPr>
        <w:t xml:space="preserve"> </w:t>
      </w:r>
      <w:proofErr w:type="spellStart"/>
      <w:r w:rsidRPr="006F04E5">
        <w:rPr>
          <w:rFonts w:ascii="Times New Roman" w:hAnsi="Times New Roman" w:cs="Times New Roman"/>
          <w:i/>
          <w:iCs/>
          <w:color w:val="000000" w:themeColor="text1"/>
          <w:sz w:val="24"/>
          <w:szCs w:val="24"/>
        </w:rPr>
        <w:t>manufacturing</w:t>
      </w:r>
      <w:proofErr w:type="spellEnd"/>
      <w:r w:rsidRPr="006F04E5">
        <w:rPr>
          <w:rFonts w:ascii="Times New Roman" w:hAnsi="Times New Roman" w:cs="Times New Roman"/>
          <w:i/>
          <w:iCs/>
          <w:color w:val="000000" w:themeColor="text1"/>
          <w:sz w:val="24"/>
          <w:szCs w:val="24"/>
        </w:rPr>
        <w:t xml:space="preserve">”, “digital </w:t>
      </w:r>
      <w:proofErr w:type="spellStart"/>
      <w:r w:rsidRPr="006F04E5">
        <w:rPr>
          <w:rFonts w:ascii="Times New Roman" w:hAnsi="Times New Roman" w:cs="Times New Roman"/>
          <w:i/>
          <w:iCs/>
          <w:color w:val="000000" w:themeColor="text1"/>
          <w:sz w:val="24"/>
          <w:szCs w:val="24"/>
        </w:rPr>
        <w:t>transformation</w:t>
      </w:r>
      <w:proofErr w:type="spellEnd"/>
      <w:r w:rsidRPr="006F04E5">
        <w:rPr>
          <w:rFonts w:ascii="Times New Roman" w:hAnsi="Times New Roman" w:cs="Times New Roman"/>
          <w:i/>
          <w:iCs/>
          <w:color w:val="000000" w:themeColor="text1"/>
          <w:sz w:val="24"/>
          <w:szCs w:val="24"/>
        </w:rPr>
        <w:t>”, “</w:t>
      </w:r>
      <w:proofErr w:type="spellStart"/>
      <w:r w:rsidRPr="006F04E5">
        <w:rPr>
          <w:rFonts w:ascii="Times New Roman" w:hAnsi="Times New Roman" w:cs="Times New Roman"/>
          <w:i/>
          <w:iCs/>
          <w:color w:val="000000" w:themeColor="text1"/>
          <w:sz w:val="24"/>
          <w:szCs w:val="24"/>
        </w:rPr>
        <w:t>green</w:t>
      </w:r>
      <w:proofErr w:type="spellEnd"/>
      <w:r w:rsidRPr="006F04E5">
        <w:rPr>
          <w:rFonts w:ascii="Times New Roman" w:hAnsi="Times New Roman" w:cs="Times New Roman"/>
          <w:i/>
          <w:iCs/>
          <w:color w:val="000000" w:themeColor="text1"/>
          <w:sz w:val="24"/>
          <w:szCs w:val="24"/>
        </w:rPr>
        <w:t xml:space="preserve"> </w:t>
      </w:r>
      <w:proofErr w:type="spellStart"/>
      <w:r w:rsidRPr="006F04E5">
        <w:rPr>
          <w:rFonts w:ascii="Times New Roman" w:hAnsi="Times New Roman" w:cs="Times New Roman"/>
          <w:i/>
          <w:iCs/>
          <w:color w:val="000000" w:themeColor="text1"/>
          <w:sz w:val="24"/>
          <w:szCs w:val="24"/>
        </w:rPr>
        <w:t>innovation</w:t>
      </w:r>
      <w:proofErr w:type="spellEnd"/>
      <w:r w:rsidRPr="006F04E5">
        <w:rPr>
          <w:rFonts w:ascii="Times New Roman" w:hAnsi="Times New Roman" w:cs="Times New Roman"/>
          <w:i/>
          <w:iCs/>
          <w:color w:val="000000" w:themeColor="text1"/>
          <w:sz w:val="24"/>
          <w:szCs w:val="24"/>
        </w:rPr>
        <w:t>”</w:t>
      </w:r>
      <w:r w:rsidRPr="006F04E5">
        <w:rPr>
          <w:rFonts w:ascii="Times New Roman" w:hAnsi="Times New Roman" w:cs="Times New Roman"/>
          <w:color w:val="000000" w:themeColor="text1"/>
          <w:sz w:val="24"/>
          <w:szCs w:val="24"/>
        </w:rPr>
        <w:t>.</w:t>
      </w:r>
    </w:p>
    <w:p w14:paraId="19BD51A8"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Embora a etapa inicial da revisão sistemática da literatura tenha identificado 42 artigos científicos publicados entre 2019 e 2024, a análise aprofundada concentrou-se em 20 desses estudos. A redução do corpus não se deu por meio de uma nova etapa de triagem, mas sim a partir da aplicação de critérios qualitativos de relevância analítica, com o intuito de assegurar maior profundidade interpretativa e coerência teórica à pesquisa.</w:t>
      </w:r>
    </w:p>
    <w:p w14:paraId="0EF252AE"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lastRenderedPageBreak/>
        <w:t>Foram priorizados os artigos que apresentavam uma articulação mais explícita entre os princípios da Indústria 5.0 e os Objetivos de Desenvolvimento Sustentável (ODS), especialmente aqueles que abordavam dimensões como centralidade humana, sustentabilidade sistêmica, inovação social, requalificação da força de trabalho e ética tecnológica. Além disso, considerou-se o nível de aprofundamento teórico, a qualidade metodológica empregada nos estudos e a originalidade das contribuições empíricas ou conceituais.</w:t>
      </w:r>
    </w:p>
    <w:p w14:paraId="015A9CFB"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Artigos que apenas mencionavam superficialmente a Indústria 5.0 ou os ODS, sem estabelecer vínculos analíticos consistentes entre ambos, foram mantidos no mapeamento geral, mas não integraram a etapa de análise interpretativa final. Essa estratégia visou garantir maior coerência e densidade teórica às discussões desenvolvidas, contribuindo para uma compreensão mais sólida da convergência entre a Indústria 5.0 e o desenvolvimento sustentável no contexto contemporâneo.</w:t>
      </w:r>
    </w:p>
    <w:p w14:paraId="0C44EC67" w14:textId="77777777" w:rsidR="00B470B5" w:rsidRPr="006F04E5" w:rsidRDefault="00B470B5" w:rsidP="00B470B5">
      <w:pPr>
        <w:spacing w:line="240" w:lineRule="auto"/>
        <w:jc w:val="both"/>
        <w:rPr>
          <w:rFonts w:ascii="Times New Roman" w:hAnsi="Times New Roman" w:cs="Times New Roman"/>
          <w:color w:val="000000" w:themeColor="text1"/>
          <w:sz w:val="24"/>
          <w:szCs w:val="24"/>
        </w:rPr>
      </w:pPr>
    </w:p>
    <w:p w14:paraId="4B2DED22" w14:textId="77777777" w:rsidR="00B470B5" w:rsidRPr="009A6CDD" w:rsidRDefault="00B470B5" w:rsidP="00B470B5">
      <w:pPr>
        <w:pBdr>
          <w:top w:val="nil"/>
          <w:left w:val="nil"/>
          <w:bottom w:val="nil"/>
          <w:right w:val="nil"/>
          <w:between w:val="nil"/>
        </w:pBdr>
        <w:spacing w:line="360" w:lineRule="auto"/>
        <w:ind w:left="425" w:hanging="425"/>
        <w:jc w:val="both"/>
        <w:rPr>
          <w:rFonts w:ascii="Times New Roman" w:eastAsia="Times New Roman" w:hAnsi="Times New Roman" w:cs="Times New Roman"/>
          <w:sz w:val="24"/>
          <w:szCs w:val="24"/>
        </w:rPr>
      </w:pPr>
      <w:r w:rsidRPr="009A6CDD">
        <w:rPr>
          <w:rFonts w:ascii="Times New Roman" w:eastAsia="Times New Roman" w:hAnsi="Times New Roman" w:cs="Times New Roman"/>
          <w:sz w:val="24"/>
          <w:szCs w:val="24"/>
        </w:rPr>
        <w:t>3.2 ENTREVISTAS SEMIESTRUTURADAS</w:t>
      </w:r>
    </w:p>
    <w:p w14:paraId="3BEEFBCB"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Com o objetivo de ampliar a profundidade analítica da pesquisa, foram realizadas 10 entrevistas semiestruturadas com especialistas que atuam em áreas interligadas à Indústria 5.0 e aos ODS. A amostra foi composta por profissionais de quatro categorias principais: Setor industrial; Academia; Setor público e organizações multilaterais e Sociedade civil e startups de impacto </w:t>
      </w:r>
    </w:p>
    <w:p w14:paraId="5A3E7303" w14:textId="77777777" w:rsidR="00B470B5" w:rsidRPr="006F04E5" w:rsidRDefault="00B470B5" w:rsidP="00B470B5">
      <w:pPr>
        <w:spacing w:line="240" w:lineRule="auto"/>
        <w:jc w:val="both"/>
        <w:rPr>
          <w:rFonts w:ascii="Times New Roman" w:hAnsi="Times New Roman" w:cs="Times New Roman"/>
          <w:b/>
          <w:bCs/>
          <w:color w:val="000000" w:themeColor="text1"/>
          <w:sz w:val="24"/>
          <w:szCs w:val="24"/>
        </w:rPr>
      </w:pPr>
    </w:p>
    <w:p w14:paraId="28CF12E2" w14:textId="77777777" w:rsidR="00B470B5" w:rsidRPr="009A6CDD" w:rsidRDefault="00B470B5" w:rsidP="00B470B5">
      <w:pPr>
        <w:pBdr>
          <w:top w:val="nil"/>
          <w:left w:val="nil"/>
          <w:bottom w:val="nil"/>
          <w:right w:val="nil"/>
          <w:between w:val="nil"/>
        </w:pBdr>
        <w:spacing w:line="360" w:lineRule="auto"/>
        <w:ind w:left="425" w:hanging="425"/>
        <w:jc w:val="both"/>
        <w:rPr>
          <w:rFonts w:ascii="Times New Roman" w:eastAsia="Times New Roman" w:hAnsi="Times New Roman" w:cs="Times New Roman"/>
          <w:sz w:val="24"/>
          <w:szCs w:val="24"/>
        </w:rPr>
      </w:pPr>
      <w:r w:rsidRPr="009A6CDD">
        <w:rPr>
          <w:rFonts w:ascii="Times New Roman" w:eastAsia="Times New Roman" w:hAnsi="Times New Roman" w:cs="Times New Roman"/>
          <w:sz w:val="24"/>
          <w:szCs w:val="24"/>
        </w:rPr>
        <w:t>3.2.1 Roteiro das Entrevistas</w:t>
      </w:r>
    </w:p>
    <w:p w14:paraId="2B1424F2"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As entrevistas seguiram um roteiro semiestruturado dividido em cinco eixos temáticos:</w:t>
      </w:r>
    </w:p>
    <w:p w14:paraId="3EDA1E46" w14:textId="77777777" w:rsidR="00B470B5" w:rsidRPr="006F04E5" w:rsidRDefault="00B470B5" w:rsidP="00B470B5">
      <w:pPr>
        <w:numPr>
          <w:ilvl w:val="0"/>
          <w:numId w:val="5"/>
        </w:numPr>
        <w:tabs>
          <w:tab w:val="left" w:pos="993"/>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b/>
          <w:bCs/>
          <w:color w:val="000000" w:themeColor="text1"/>
          <w:sz w:val="24"/>
          <w:szCs w:val="24"/>
        </w:rPr>
        <w:t>Compreensão da Indústria 5.0</w:t>
      </w:r>
      <w:r w:rsidRPr="006F04E5">
        <w:rPr>
          <w:rFonts w:ascii="Times New Roman" w:hAnsi="Times New Roman" w:cs="Times New Roman"/>
          <w:color w:val="000000" w:themeColor="text1"/>
          <w:sz w:val="24"/>
          <w:szCs w:val="24"/>
        </w:rPr>
        <w:t>: percepção sobre os fundamentos e distinções da Indústria 4.0;</w:t>
      </w:r>
    </w:p>
    <w:p w14:paraId="50C82C69" w14:textId="77777777" w:rsidR="00B470B5" w:rsidRPr="006F04E5" w:rsidRDefault="00B470B5" w:rsidP="00B470B5">
      <w:pPr>
        <w:numPr>
          <w:ilvl w:val="0"/>
          <w:numId w:val="5"/>
        </w:numPr>
        <w:tabs>
          <w:tab w:val="left" w:pos="993"/>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b/>
          <w:bCs/>
          <w:color w:val="000000" w:themeColor="text1"/>
          <w:sz w:val="24"/>
          <w:szCs w:val="24"/>
        </w:rPr>
        <w:t>Tecnologia e sustentabilidade</w:t>
      </w:r>
      <w:r w:rsidRPr="006F04E5">
        <w:rPr>
          <w:rFonts w:ascii="Times New Roman" w:hAnsi="Times New Roman" w:cs="Times New Roman"/>
          <w:color w:val="000000" w:themeColor="text1"/>
          <w:sz w:val="24"/>
          <w:szCs w:val="24"/>
        </w:rPr>
        <w:t>: experiências práticas ou perspectivas sobre como a Indústria 5.0 contribui para objetivos ambientais e sociais;</w:t>
      </w:r>
    </w:p>
    <w:p w14:paraId="2A5C8ED7" w14:textId="77777777" w:rsidR="00B470B5" w:rsidRPr="006F04E5" w:rsidRDefault="00B470B5" w:rsidP="00B470B5">
      <w:pPr>
        <w:numPr>
          <w:ilvl w:val="0"/>
          <w:numId w:val="5"/>
        </w:numPr>
        <w:tabs>
          <w:tab w:val="left" w:pos="993"/>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b/>
          <w:bCs/>
          <w:color w:val="000000" w:themeColor="text1"/>
          <w:sz w:val="24"/>
          <w:szCs w:val="24"/>
        </w:rPr>
        <w:t>Trabalho e inclusão</w:t>
      </w:r>
      <w:r w:rsidRPr="006F04E5">
        <w:rPr>
          <w:rFonts w:ascii="Times New Roman" w:hAnsi="Times New Roman" w:cs="Times New Roman"/>
          <w:color w:val="000000" w:themeColor="text1"/>
          <w:sz w:val="24"/>
          <w:szCs w:val="24"/>
        </w:rPr>
        <w:t>: impactos sobre o mercado de trabalho, educação e inclusão digital;</w:t>
      </w:r>
    </w:p>
    <w:p w14:paraId="3BE087A7" w14:textId="77777777" w:rsidR="00B470B5" w:rsidRPr="006F04E5" w:rsidRDefault="00B470B5" w:rsidP="00B470B5">
      <w:pPr>
        <w:numPr>
          <w:ilvl w:val="0"/>
          <w:numId w:val="5"/>
        </w:numPr>
        <w:tabs>
          <w:tab w:val="left" w:pos="993"/>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b/>
          <w:bCs/>
          <w:color w:val="000000" w:themeColor="text1"/>
          <w:sz w:val="24"/>
          <w:szCs w:val="24"/>
        </w:rPr>
        <w:t>Desafios e oportunidades</w:t>
      </w:r>
      <w:r w:rsidRPr="006F04E5">
        <w:rPr>
          <w:rFonts w:ascii="Times New Roman" w:hAnsi="Times New Roman" w:cs="Times New Roman"/>
          <w:color w:val="000000" w:themeColor="text1"/>
          <w:sz w:val="24"/>
          <w:szCs w:val="24"/>
        </w:rPr>
        <w:t>: barreiras enfrentadas para implementação e possíveis soluções;</w:t>
      </w:r>
    </w:p>
    <w:p w14:paraId="2FC0D854" w14:textId="77777777" w:rsidR="00B470B5" w:rsidRPr="006F04E5" w:rsidRDefault="00B470B5" w:rsidP="00B470B5">
      <w:pPr>
        <w:numPr>
          <w:ilvl w:val="0"/>
          <w:numId w:val="5"/>
        </w:numPr>
        <w:tabs>
          <w:tab w:val="left" w:pos="993"/>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b/>
          <w:bCs/>
          <w:color w:val="000000" w:themeColor="text1"/>
          <w:sz w:val="24"/>
          <w:szCs w:val="24"/>
        </w:rPr>
        <w:t>Relação com os ODS</w:t>
      </w:r>
      <w:r w:rsidRPr="006F04E5">
        <w:rPr>
          <w:rFonts w:ascii="Times New Roman" w:hAnsi="Times New Roman" w:cs="Times New Roman"/>
          <w:color w:val="000000" w:themeColor="text1"/>
          <w:sz w:val="24"/>
          <w:szCs w:val="24"/>
        </w:rPr>
        <w:t>: identificação dos ODS mais impactados positivamente (ou negativamente) pela Indústria 5.0.</w:t>
      </w:r>
    </w:p>
    <w:p w14:paraId="1437CD02" w14:textId="77777777" w:rsidR="00B470B5" w:rsidRPr="006F04E5" w:rsidRDefault="00B470B5" w:rsidP="00B470B5">
      <w:pPr>
        <w:spacing w:line="240" w:lineRule="auto"/>
        <w:jc w:val="both"/>
        <w:rPr>
          <w:rFonts w:ascii="Times New Roman" w:hAnsi="Times New Roman" w:cs="Times New Roman"/>
          <w:b/>
          <w:bCs/>
          <w:color w:val="000000" w:themeColor="text1"/>
          <w:sz w:val="24"/>
          <w:szCs w:val="24"/>
        </w:rPr>
      </w:pPr>
    </w:p>
    <w:p w14:paraId="3BC08BEF" w14:textId="77777777" w:rsidR="00B470B5" w:rsidRPr="009A6CDD" w:rsidRDefault="00B470B5" w:rsidP="00B470B5">
      <w:pPr>
        <w:pBdr>
          <w:top w:val="nil"/>
          <w:left w:val="nil"/>
          <w:bottom w:val="nil"/>
          <w:right w:val="nil"/>
          <w:between w:val="nil"/>
        </w:pBdr>
        <w:spacing w:line="360" w:lineRule="auto"/>
        <w:ind w:left="425" w:hanging="425"/>
        <w:jc w:val="both"/>
        <w:rPr>
          <w:rFonts w:ascii="Times New Roman" w:eastAsia="Times New Roman" w:hAnsi="Times New Roman" w:cs="Times New Roman"/>
          <w:sz w:val="24"/>
          <w:szCs w:val="24"/>
        </w:rPr>
      </w:pPr>
      <w:r w:rsidRPr="009A6CDD">
        <w:rPr>
          <w:rFonts w:ascii="Times New Roman" w:eastAsia="Times New Roman" w:hAnsi="Times New Roman" w:cs="Times New Roman"/>
          <w:sz w:val="24"/>
          <w:szCs w:val="24"/>
        </w:rPr>
        <w:t>3.2.2 Perfil Sintético dos Entrevistados</w:t>
      </w:r>
    </w:p>
    <w:p w14:paraId="64C5313B"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lastRenderedPageBreak/>
        <w:t xml:space="preserve">A seguir, apresenta-se o Quadro 1 com o perfil dos entrevistados, categorizados conforme sua área de atuação. </w:t>
      </w:r>
    </w:p>
    <w:p w14:paraId="7BFE835D" w14:textId="77777777" w:rsidR="00B470B5" w:rsidRPr="000E54CE" w:rsidRDefault="00B470B5" w:rsidP="00B470B5">
      <w:pPr>
        <w:spacing w:line="240" w:lineRule="auto"/>
        <w:jc w:val="center"/>
        <w:rPr>
          <w:rFonts w:ascii="Times New Roman" w:hAnsi="Times New Roman" w:cs="Times New Roman"/>
          <w:color w:val="000000" w:themeColor="text1"/>
          <w:sz w:val="20"/>
          <w:szCs w:val="20"/>
        </w:rPr>
      </w:pPr>
      <w:r w:rsidRPr="000E54CE">
        <w:rPr>
          <w:rFonts w:ascii="Times New Roman" w:hAnsi="Times New Roman" w:cs="Times New Roman"/>
          <w:color w:val="000000" w:themeColor="text1"/>
          <w:sz w:val="20"/>
          <w:szCs w:val="20"/>
        </w:rPr>
        <w:t>Quadro 1: Perfil dos entrevistados</w:t>
      </w:r>
    </w:p>
    <w:tbl>
      <w:tblPr>
        <w:tblW w:w="8926" w:type="dxa"/>
        <w:tblLayout w:type="fixed"/>
        <w:tblCellMar>
          <w:left w:w="70" w:type="dxa"/>
          <w:right w:w="70" w:type="dxa"/>
        </w:tblCellMar>
        <w:tblLook w:val="04A0" w:firstRow="1" w:lastRow="0" w:firstColumn="1" w:lastColumn="0" w:noHBand="0" w:noVBand="1"/>
      </w:tblPr>
      <w:tblGrid>
        <w:gridCol w:w="2405"/>
        <w:gridCol w:w="567"/>
        <w:gridCol w:w="5954"/>
      </w:tblGrid>
      <w:tr w:rsidR="00B470B5" w:rsidRPr="000E54CE" w14:paraId="5AF078AA" w14:textId="77777777" w:rsidTr="004B322D">
        <w:trPr>
          <w:trHeight w:val="298"/>
        </w:trPr>
        <w:tc>
          <w:tcPr>
            <w:tcW w:w="2405" w:type="dxa"/>
            <w:tcBorders>
              <w:top w:val="single" w:sz="4" w:space="0" w:color="auto"/>
              <w:left w:val="single" w:sz="4" w:space="0" w:color="auto"/>
              <w:bottom w:val="single" w:sz="4" w:space="0" w:color="auto"/>
              <w:right w:val="single" w:sz="4" w:space="0" w:color="auto"/>
            </w:tcBorders>
            <w:vAlign w:val="center"/>
            <w:hideMark/>
          </w:tcPr>
          <w:p w14:paraId="6E028C4E" w14:textId="77777777" w:rsidR="00B470B5" w:rsidRPr="000E54CE" w:rsidRDefault="00B470B5" w:rsidP="004B322D">
            <w:pPr>
              <w:spacing w:line="240" w:lineRule="auto"/>
              <w:jc w:val="center"/>
              <w:rPr>
                <w:rFonts w:ascii="Times New Roman" w:eastAsia="Times New Roman" w:hAnsi="Times New Roman" w:cs="Times New Roman"/>
                <w:b/>
                <w:bCs/>
                <w:color w:val="000000" w:themeColor="text1"/>
                <w:sz w:val="20"/>
                <w:szCs w:val="20"/>
              </w:rPr>
            </w:pPr>
            <w:r w:rsidRPr="000E54CE">
              <w:rPr>
                <w:rFonts w:ascii="Times New Roman" w:eastAsia="Times New Roman" w:hAnsi="Times New Roman" w:cs="Times New Roman"/>
                <w:b/>
                <w:bCs/>
                <w:color w:val="000000" w:themeColor="text1"/>
                <w:sz w:val="20"/>
                <w:szCs w:val="20"/>
              </w:rPr>
              <w:t>Categoria</w:t>
            </w:r>
          </w:p>
        </w:tc>
        <w:tc>
          <w:tcPr>
            <w:tcW w:w="567" w:type="dxa"/>
            <w:tcBorders>
              <w:top w:val="single" w:sz="4" w:space="0" w:color="auto"/>
              <w:left w:val="nil"/>
              <w:bottom w:val="single" w:sz="4" w:space="0" w:color="auto"/>
              <w:right w:val="single" w:sz="4" w:space="0" w:color="auto"/>
            </w:tcBorders>
            <w:vAlign w:val="center"/>
            <w:hideMark/>
          </w:tcPr>
          <w:p w14:paraId="72CD808C" w14:textId="77777777" w:rsidR="00B470B5" w:rsidRPr="000E54CE" w:rsidRDefault="00B470B5" w:rsidP="004B322D">
            <w:pPr>
              <w:spacing w:line="240" w:lineRule="auto"/>
              <w:jc w:val="center"/>
              <w:rPr>
                <w:rFonts w:ascii="Times New Roman" w:eastAsia="Times New Roman" w:hAnsi="Times New Roman" w:cs="Times New Roman"/>
                <w:b/>
                <w:bCs/>
                <w:color w:val="000000" w:themeColor="text1"/>
                <w:sz w:val="20"/>
                <w:szCs w:val="20"/>
              </w:rPr>
            </w:pPr>
            <w:proofErr w:type="spellStart"/>
            <w:r w:rsidRPr="000E54CE">
              <w:rPr>
                <w:rFonts w:ascii="Times New Roman" w:eastAsia="Times New Roman" w:hAnsi="Times New Roman" w:cs="Times New Roman"/>
                <w:b/>
                <w:bCs/>
                <w:color w:val="000000" w:themeColor="text1"/>
                <w:sz w:val="20"/>
                <w:szCs w:val="20"/>
              </w:rPr>
              <w:t>Qtde</w:t>
            </w:r>
            <w:proofErr w:type="spellEnd"/>
          </w:p>
        </w:tc>
        <w:tc>
          <w:tcPr>
            <w:tcW w:w="5954" w:type="dxa"/>
            <w:tcBorders>
              <w:top w:val="single" w:sz="4" w:space="0" w:color="auto"/>
              <w:left w:val="nil"/>
              <w:bottom w:val="single" w:sz="4" w:space="0" w:color="auto"/>
              <w:right w:val="single" w:sz="4" w:space="0" w:color="auto"/>
            </w:tcBorders>
            <w:vAlign w:val="center"/>
            <w:hideMark/>
          </w:tcPr>
          <w:p w14:paraId="50C97092" w14:textId="77777777" w:rsidR="00B470B5" w:rsidRPr="000E54CE" w:rsidRDefault="00B470B5" w:rsidP="004B322D">
            <w:pPr>
              <w:spacing w:line="240" w:lineRule="auto"/>
              <w:jc w:val="center"/>
              <w:rPr>
                <w:rFonts w:ascii="Times New Roman" w:eastAsia="Times New Roman" w:hAnsi="Times New Roman" w:cs="Times New Roman"/>
                <w:b/>
                <w:bCs/>
                <w:color w:val="000000" w:themeColor="text1"/>
                <w:sz w:val="20"/>
                <w:szCs w:val="20"/>
              </w:rPr>
            </w:pPr>
            <w:r w:rsidRPr="000E54CE">
              <w:rPr>
                <w:rFonts w:ascii="Times New Roman" w:eastAsia="Times New Roman" w:hAnsi="Times New Roman" w:cs="Times New Roman"/>
                <w:b/>
                <w:bCs/>
                <w:color w:val="000000" w:themeColor="text1"/>
                <w:sz w:val="20"/>
                <w:szCs w:val="20"/>
              </w:rPr>
              <w:t>Exemplos de Cargos/Funções</w:t>
            </w:r>
          </w:p>
        </w:tc>
      </w:tr>
      <w:tr w:rsidR="00B470B5" w:rsidRPr="000E54CE" w14:paraId="41D6E349" w14:textId="77777777" w:rsidTr="004B322D">
        <w:trPr>
          <w:trHeight w:val="58"/>
        </w:trPr>
        <w:tc>
          <w:tcPr>
            <w:tcW w:w="2405" w:type="dxa"/>
            <w:tcBorders>
              <w:top w:val="nil"/>
              <w:left w:val="single" w:sz="4" w:space="0" w:color="auto"/>
              <w:bottom w:val="single" w:sz="4" w:space="0" w:color="auto"/>
              <w:right w:val="single" w:sz="4" w:space="0" w:color="auto"/>
            </w:tcBorders>
            <w:vAlign w:val="center"/>
            <w:hideMark/>
          </w:tcPr>
          <w:p w14:paraId="5651F39D" w14:textId="77777777" w:rsidR="00B470B5" w:rsidRPr="000E54CE" w:rsidRDefault="00B470B5" w:rsidP="004B322D">
            <w:pPr>
              <w:spacing w:line="240" w:lineRule="auto"/>
              <w:jc w:val="both"/>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Setor industrial</w:t>
            </w:r>
          </w:p>
        </w:tc>
        <w:tc>
          <w:tcPr>
            <w:tcW w:w="567" w:type="dxa"/>
            <w:tcBorders>
              <w:top w:val="nil"/>
              <w:left w:val="nil"/>
              <w:bottom w:val="single" w:sz="4" w:space="0" w:color="auto"/>
              <w:right w:val="single" w:sz="4" w:space="0" w:color="auto"/>
            </w:tcBorders>
            <w:vAlign w:val="center"/>
            <w:hideMark/>
          </w:tcPr>
          <w:p w14:paraId="20FBB06B" w14:textId="77777777" w:rsidR="00B470B5" w:rsidRPr="000E54CE" w:rsidRDefault="00B470B5" w:rsidP="004B322D">
            <w:pPr>
              <w:spacing w:line="240" w:lineRule="auto"/>
              <w:jc w:val="center"/>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3</w:t>
            </w:r>
          </w:p>
        </w:tc>
        <w:tc>
          <w:tcPr>
            <w:tcW w:w="5954" w:type="dxa"/>
            <w:tcBorders>
              <w:top w:val="nil"/>
              <w:left w:val="nil"/>
              <w:bottom w:val="single" w:sz="4" w:space="0" w:color="auto"/>
              <w:right w:val="single" w:sz="4" w:space="0" w:color="auto"/>
            </w:tcBorders>
            <w:vAlign w:val="center"/>
            <w:hideMark/>
          </w:tcPr>
          <w:p w14:paraId="72ABBF4D" w14:textId="77777777" w:rsidR="00B470B5" w:rsidRPr="000E54CE" w:rsidRDefault="00B470B5" w:rsidP="004B322D">
            <w:pPr>
              <w:spacing w:line="240" w:lineRule="auto"/>
              <w:jc w:val="both"/>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Gerente de ESG, Engenheiro de inovação, Diretor industrial</w:t>
            </w:r>
          </w:p>
        </w:tc>
      </w:tr>
      <w:tr w:rsidR="00B470B5" w:rsidRPr="000E54CE" w14:paraId="66BC0EAC" w14:textId="77777777" w:rsidTr="004B322D">
        <w:trPr>
          <w:trHeight w:val="230"/>
        </w:trPr>
        <w:tc>
          <w:tcPr>
            <w:tcW w:w="2405" w:type="dxa"/>
            <w:tcBorders>
              <w:top w:val="nil"/>
              <w:left w:val="single" w:sz="4" w:space="0" w:color="auto"/>
              <w:bottom w:val="single" w:sz="4" w:space="0" w:color="auto"/>
              <w:right w:val="single" w:sz="4" w:space="0" w:color="auto"/>
            </w:tcBorders>
            <w:vAlign w:val="center"/>
            <w:hideMark/>
          </w:tcPr>
          <w:p w14:paraId="6BDA3A2A" w14:textId="77777777" w:rsidR="00B470B5" w:rsidRPr="000E54CE" w:rsidRDefault="00B470B5" w:rsidP="004B322D">
            <w:pPr>
              <w:spacing w:line="240" w:lineRule="auto"/>
              <w:jc w:val="both"/>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Academia</w:t>
            </w:r>
          </w:p>
        </w:tc>
        <w:tc>
          <w:tcPr>
            <w:tcW w:w="567" w:type="dxa"/>
            <w:tcBorders>
              <w:top w:val="nil"/>
              <w:left w:val="nil"/>
              <w:bottom w:val="single" w:sz="4" w:space="0" w:color="auto"/>
              <w:right w:val="single" w:sz="4" w:space="0" w:color="auto"/>
            </w:tcBorders>
            <w:vAlign w:val="center"/>
            <w:hideMark/>
          </w:tcPr>
          <w:p w14:paraId="2DF64483" w14:textId="77777777" w:rsidR="00B470B5" w:rsidRPr="000E54CE" w:rsidRDefault="00B470B5" w:rsidP="004B322D">
            <w:pPr>
              <w:spacing w:line="240" w:lineRule="auto"/>
              <w:jc w:val="center"/>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3</w:t>
            </w:r>
          </w:p>
        </w:tc>
        <w:tc>
          <w:tcPr>
            <w:tcW w:w="5954" w:type="dxa"/>
            <w:tcBorders>
              <w:top w:val="nil"/>
              <w:left w:val="nil"/>
              <w:bottom w:val="single" w:sz="4" w:space="0" w:color="auto"/>
              <w:right w:val="single" w:sz="4" w:space="0" w:color="auto"/>
            </w:tcBorders>
            <w:vAlign w:val="center"/>
            <w:hideMark/>
          </w:tcPr>
          <w:p w14:paraId="5BAF14C1" w14:textId="77777777" w:rsidR="00B470B5" w:rsidRPr="000E54CE" w:rsidRDefault="00B470B5" w:rsidP="004B322D">
            <w:pPr>
              <w:spacing w:line="240" w:lineRule="auto"/>
              <w:jc w:val="both"/>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Professor doutor, pesquisador em IA, coordenador de laboratório</w:t>
            </w:r>
          </w:p>
        </w:tc>
      </w:tr>
      <w:tr w:rsidR="00B470B5" w:rsidRPr="000E54CE" w14:paraId="61EE9B25" w14:textId="77777777" w:rsidTr="004B322D">
        <w:trPr>
          <w:trHeight w:val="121"/>
        </w:trPr>
        <w:tc>
          <w:tcPr>
            <w:tcW w:w="2405" w:type="dxa"/>
            <w:tcBorders>
              <w:top w:val="nil"/>
              <w:left w:val="single" w:sz="4" w:space="0" w:color="auto"/>
              <w:bottom w:val="single" w:sz="4" w:space="0" w:color="auto"/>
              <w:right w:val="single" w:sz="4" w:space="0" w:color="auto"/>
            </w:tcBorders>
            <w:vAlign w:val="center"/>
            <w:hideMark/>
          </w:tcPr>
          <w:p w14:paraId="578BBF2A" w14:textId="77777777" w:rsidR="00B470B5" w:rsidRPr="000E54CE" w:rsidRDefault="00B470B5" w:rsidP="004B322D">
            <w:pPr>
              <w:spacing w:line="240" w:lineRule="auto"/>
              <w:jc w:val="both"/>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Setor público/organizações</w:t>
            </w:r>
          </w:p>
        </w:tc>
        <w:tc>
          <w:tcPr>
            <w:tcW w:w="567" w:type="dxa"/>
            <w:tcBorders>
              <w:top w:val="nil"/>
              <w:left w:val="nil"/>
              <w:bottom w:val="single" w:sz="4" w:space="0" w:color="auto"/>
              <w:right w:val="single" w:sz="4" w:space="0" w:color="auto"/>
            </w:tcBorders>
            <w:vAlign w:val="center"/>
            <w:hideMark/>
          </w:tcPr>
          <w:p w14:paraId="27319091" w14:textId="77777777" w:rsidR="00B470B5" w:rsidRPr="000E54CE" w:rsidRDefault="00B470B5" w:rsidP="004B322D">
            <w:pPr>
              <w:spacing w:line="240" w:lineRule="auto"/>
              <w:jc w:val="center"/>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2</w:t>
            </w:r>
          </w:p>
        </w:tc>
        <w:tc>
          <w:tcPr>
            <w:tcW w:w="5954" w:type="dxa"/>
            <w:tcBorders>
              <w:top w:val="nil"/>
              <w:left w:val="nil"/>
              <w:bottom w:val="single" w:sz="4" w:space="0" w:color="auto"/>
              <w:right w:val="single" w:sz="4" w:space="0" w:color="auto"/>
            </w:tcBorders>
            <w:vAlign w:val="center"/>
            <w:hideMark/>
          </w:tcPr>
          <w:p w14:paraId="3383CA24" w14:textId="77777777" w:rsidR="00B470B5" w:rsidRPr="000E54CE" w:rsidRDefault="00B470B5" w:rsidP="004B322D">
            <w:pPr>
              <w:spacing w:line="240" w:lineRule="auto"/>
              <w:jc w:val="both"/>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Analista de políticas públicas, representante da ONU</w:t>
            </w:r>
          </w:p>
        </w:tc>
      </w:tr>
      <w:tr w:rsidR="00B470B5" w:rsidRPr="000E54CE" w14:paraId="33637424" w14:textId="77777777" w:rsidTr="004B322D">
        <w:trPr>
          <w:trHeight w:val="58"/>
        </w:trPr>
        <w:tc>
          <w:tcPr>
            <w:tcW w:w="2405" w:type="dxa"/>
            <w:tcBorders>
              <w:top w:val="nil"/>
              <w:left w:val="single" w:sz="4" w:space="0" w:color="auto"/>
              <w:bottom w:val="single" w:sz="4" w:space="0" w:color="auto"/>
              <w:right w:val="single" w:sz="4" w:space="0" w:color="auto"/>
            </w:tcBorders>
            <w:vAlign w:val="center"/>
            <w:hideMark/>
          </w:tcPr>
          <w:p w14:paraId="19C2D301" w14:textId="77777777" w:rsidR="00B470B5" w:rsidRPr="000E54CE" w:rsidRDefault="00B470B5" w:rsidP="004B322D">
            <w:pPr>
              <w:spacing w:line="240" w:lineRule="auto"/>
              <w:jc w:val="both"/>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Sociedade civil/startups</w:t>
            </w:r>
          </w:p>
        </w:tc>
        <w:tc>
          <w:tcPr>
            <w:tcW w:w="567" w:type="dxa"/>
            <w:tcBorders>
              <w:top w:val="nil"/>
              <w:left w:val="nil"/>
              <w:bottom w:val="single" w:sz="4" w:space="0" w:color="auto"/>
              <w:right w:val="single" w:sz="4" w:space="0" w:color="auto"/>
            </w:tcBorders>
            <w:vAlign w:val="center"/>
            <w:hideMark/>
          </w:tcPr>
          <w:p w14:paraId="62258ACD" w14:textId="77777777" w:rsidR="00B470B5" w:rsidRPr="000E54CE" w:rsidRDefault="00B470B5" w:rsidP="004B322D">
            <w:pPr>
              <w:spacing w:line="240" w:lineRule="auto"/>
              <w:jc w:val="center"/>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2</w:t>
            </w:r>
          </w:p>
        </w:tc>
        <w:tc>
          <w:tcPr>
            <w:tcW w:w="5954" w:type="dxa"/>
            <w:tcBorders>
              <w:top w:val="nil"/>
              <w:left w:val="nil"/>
              <w:bottom w:val="single" w:sz="4" w:space="0" w:color="auto"/>
              <w:right w:val="single" w:sz="4" w:space="0" w:color="auto"/>
            </w:tcBorders>
            <w:vAlign w:val="center"/>
            <w:hideMark/>
          </w:tcPr>
          <w:p w14:paraId="554AD893" w14:textId="77777777" w:rsidR="00B470B5" w:rsidRPr="000E54CE" w:rsidRDefault="00B470B5" w:rsidP="004B322D">
            <w:pPr>
              <w:spacing w:line="240" w:lineRule="auto"/>
              <w:jc w:val="both"/>
              <w:rPr>
                <w:rFonts w:ascii="Times New Roman" w:eastAsia="Times New Roman" w:hAnsi="Times New Roman" w:cs="Times New Roman"/>
                <w:color w:val="000000" w:themeColor="text1"/>
                <w:sz w:val="20"/>
                <w:szCs w:val="20"/>
              </w:rPr>
            </w:pPr>
            <w:r w:rsidRPr="000E54CE">
              <w:rPr>
                <w:rFonts w:ascii="Times New Roman" w:eastAsia="Times New Roman" w:hAnsi="Times New Roman" w:cs="Times New Roman"/>
                <w:color w:val="000000" w:themeColor="text1"/>
                <w:sz w:val="20"/>
                <w:szCs w:val="20"/>
              </w:rPr>
              <w:t>Fundador de startup verde, coordenador de ONG tecnológica</w:t>
            </w:r>
          </w:p>
        </w:tc>
      </w:tr>
    </w:tbl>
    <w:p w14:paraId="096B62C5" w14:textId="77777777" w:rsidR="00B470B5" w:rsidRPr="000E54CE" w:rsidRDefault="00B470B5" w:rsidP="00B470B5">
      <w:pPr>
        <w:spacing w:line="240" w:lineRule="auto"/>
        <w:jc w:val="center"/>
        <w:rPr>
          <w:rFonts w:ascii="Times New Roman" w:hAnsi="Times New Roman" w:cs="Times New Roman"/>
          <w:color w:val="000000" w:themeColor="text1"/>
          <w:sz w:val="20"/>
          <w:szCs w:val="20"/>
        </w:rPr>
      </w:pPr>
      <w:r w:rsidRPr="000E54CE">
        <w:rPr>
          <w:rFonts w:ascii="Times New Roman" w:hAnsi="Times New Roman" w:cs="Times New Roman"/>
          <w:color w:val="000000" w:themeColor="text1"/>
          <w:sz w:val="20"/>
          <w:szCs w:val="20"/>
        </w:rPr>
        <w:t>Fonte: Elaborados pelos autores, 2025.</w:t>
      </w:r>
    </w:p>
    <w:p w14:paraId="77B8E34C" w14:textId="77777777" w:rsidR="00B470B5" w:rsidRPr="006F04E5" w:rsidRDefault="00B470B5" w:rsidP="00B470B5">
      <w:pPr>
        <w:spacing w:line="240" w:lineRule="auto"/>
        <w:jc w:val="center"/>
        <w:rPr>
          <w:rFonts w:ascii="Times New Roman" w:hAnsi="Times New Roman" w:cs="Times New Roman"/>
          <w:color w:val="000000" w:themeColor="text1"/>
          <w:sz w:val="24"/>
          <w:szCs w:val="24"/>
        </w:rPr>
      </w:pPr>
    </w:p>
    <w:p w14:paraId="0AF4E29C"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Essa abordagem metodológica reforça o caráter interdisciplinar e aplicado do estudo, permitindo integrar teoria e prática, perspectivas institucionais e experiências locais, consolidando uma base empírica sólida para as análises subsequentes.</w:t>
      </w:r>
    </w:p>
    <w:p w14:paraId="6FA621DB" w14:textId="77777777" w:rsidR="00B470B5" w:rsidRPr="006F04E5" w:rsidRDefault="00B470B5" w:rsidP="00B470B5">
      <w:pPr>
        <w:spacing w:line="240" w:lineRule="auto"/>
        <w:jc w:val="both"/>
        <w:rPr>
          <w:rFonts w:ascii="Times New Roman" w:hAnsi="Times New Roman" w:cs="Times New Roman"/>
          <w:b/>
          <w:bCs/>
          <w:color w:val="000000" w:themeColor="text1"/>
          <w:sz w:val="24"/>
          <w:szCs w:val="24"/>
        </w:rPr>
      </w:pPr>
    </w:p>
    <w:p w14:paraId="536DCEAF" w14:textId="77777777" w:rsidR="00B470B5" w:rsidRPr="009A6CDD" w:rsidRDefault="00B470B5" w:rsidP="00B470B5">
      <w:pPr>
        <w:pBdr>
          <w:top w:val="nil"/>
          <w:left w:val="nil"/>
          <w:bottom w:val="nil"/>
          <w:right w:val="nil"/>
          <w:between w:val="nil"/>
        </w:pBdr>
        <w:spacing w:line="360" w:lineRule="auto"/>
        <w:ind w:left="425" w:hanging="425"/>
        <w:jc w:val="both"/>
        <w:rPr>
          <w:rFonts w:ascii="Times New Roman" w:eastAsia="Times New Roman" w:hAnsi="Times New Roman" w:cs="Times New Roman"/>
          <w:sz w:val="24"/>
          <w:szCs w:val="24"/>
        </w:rPr>
      </w:pPr>
      <w:r w:rsidRPr="009A6CDD">
        <w:rPr>
          <w:rFonts w:ascii="Times New Roman" w:eastAsia="Times New Roman" w:hAnsi="Times New Roman" w:cs="Times New Roman"/>
          <w:sz w:val="24"/>
          <w:szCs w:val="24"/>
        </w:rPr>
        <w:t>3.2.3 Coleta de Dados</w:t>
      </w:r>
    </w:p>
    <w:p w14:paraId="369F00CB"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As entrevistas foram realizadas entre fevereiro e março de 2025, com duração média de 30 minutos, por videoconferência. Todos os participantes foram previamente informados sobre os objetivos da pesquisa, com garantia de anonimato e sigilo das informações e assinaram o Termo de Consentimento Livre e Esclarecido (TCLE), em conformidade com os princípios éticos da pesquisa científica. As conversas foram gravadas (com autorização) e posteriormente transcritas na íntegra.</w:t>
      </w:r>
    </w:p>
    <w:p w14:paraId="0CEE30D5" w14:textId="77777777" w:rsidR="00B470B5" w:rsidRPr="006F04E5" w:rsidRDefault="00B470B5" w:rsidP="00B470B5">
      <w:pPr>
        <w:spacing w:line="240" w:lineRule="auto"/>
        <w:jc w:val="both"/>
        <w:rPr>
          <w:rFonts w:ascii="Times New Roman" w:hAnsi="Times New Roman" w:cs="Times New Roman"/>
          <w:color w:val="000000" w:themeColor="text1"/>
          <w:sz w:val="24"/>
          <w:szCs w:val="24"/>
        </w:rPr>
      </w:pPr>
    </w:p>
    <w:p w14:paraId="28D420FD" w14:textId="77777777" w:rsidR="00B470B5" w:rsidRPr="009A6CDD" w:rsidRDefault="00B470B5" w:rsidP="00B470B5">
      <w:pPr>
        <w:pBdr>
          <w:top w:val="nil"/>
          <w:left w:val="nil"/>
          <w:bottom w:val="nil"/>
          <w:right w:val="nil"/>
          <w:between w:val="nil"/>
        </w:pBdr>
        <w:spacing w:line="360" w:lineRule="auto"/>
        <w:ind w:left="425" w:hanging="425"/>
        <w:jc w:val="both"/>
        <w:rPr>
          <w:rFonts w:ascii="Times New Roman" w:eastAsia="Times New Roman" w:hAnsi="Times New Roman" w:cs="Times New Roman"/>
          <w:sz w:val="24"/>
          <w:szCs w:val="24"/>
        </w:rPr>
      </w:pPr>
      <w:r w:rsidRPr="009A6CDD">
        <w:rPr>
          <w:rFonts w:ascii="Times New Roman" w:eastAsia="Times New Roman" w:hAnsi="Times New Roman" w:cs="Times New Roman"/>
          <w:sz w:val="24"/>
          <w:szCs w:val="24"/>
        </w:rPr>
        <w:t>3.2.4 Análise dos Dados</w:t>
      </w:r>
    </w:p>
    <w:p w14:paraId="6D0259EE"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Para a análise dos dados qualitativos, adotou-se a técnica de análise de conteúdo conforme proposta por Bardin (2016), com o suporte do software </w:t>
      </w:r>
      <w:proofErr w:type="spellStart"/>
      <w:r w:rsidRPr="006F04E5">
        <w:rPr>
          <w:rFonts w:ascii="Times New Roman" w:hAnsi="Times New Roman" w:cs="Times New Roman"/>
          <w:color w:val="000000" w:themeColor="text1"/>
          <w:sz w:val="24"/>
          <w:szCs w:val="24"/>
        </w:rPr>
        <w:t>NVivo</w:t>
      </w:r>
      <w:proofErr w:type="spellEnd"/>
      <w:r w:rsidRPr="006F04E5">
        <w:rPr>
          <w:rFonts w:ascii="Times New Roman" w:hAnsi="Times New Roman" w:cs="Times New Roman"/>
          <w:color w:val="000000" w:themeColor="text1"/>
          <w:sz w:val="24"/>
          <w:szCs w:val="24"/>
        </w:rPr>
        <w:t>. As transcrições das entrevistas foram codificadas com base em categorias previamente estabelecidas, sendo também consideradas categorias emergentes identificadas a partir da leitura exaustiva do material.</w:t>
      </w:r>
    </w:p>
    <w:p w14:paraId="0E40FF5E" w14:textId="77777777" w:rsidR="00B470B5" w:rsidRPr="006F04E5" w:rsidRDefault="00B470B5" w:rsidP="00B470B5">
      <w:pPr>
        <w:spacing w:line="240" w:lineRule="auto"/>
        <w:jc w:val="both"/>
        <w:rPr>
          <w:rFonts w:ascii="Times New Roman" w:hAnsi="Times New Roman" w:cs="Times New Roman"/>
          <w:b/>
          <w:bCs/>
          <w:color w:val="000000" w:themeColor="text1"/>
          <w:sz w:val="24"/>
          <w:szCs w:val="24"/>
        </w:rPr>
      </w:pPr>
    </w:p>
    <w:p w14:paraId="6E916F05" w14:textId="77777777" w:rsidR="00B470B5" w:rsidRPr="006F04E5" w:rsidRDefault="00B470B5" w:rsidP="00B470B5">
      <w:pPr>
        <w:spacing w:line="240" w:lineRule="auto"/>
        <w:jc w:val="both"/>
        <w:rPr>
          <w:rFonts w:ascii="Times New Roman" w:hAnsi="Times New Roman" w:cs="Times New Roman"/>
          <w:b/>
          <w:bCs/>
          <w:color w:val="000000" w:themeColor="text1"/>
          <w:sz w:val="24"/>
          <w:szCs w:val="24"/>
        </w:rPr>
      </w:pPr>
    </w:p>
    <w:p w14:paraId="5C5D03A8" w14:textId="77777777" w:rsidR="00B470B5" w:rsidRPr="00C9794D" w:rsidRDefault="00B470B5" w:rsidP="00B470B5">
      <w:pPr>
        <w:numPr>
          <w:ilvl w:val="0"/>
          <w:numId w:val="8"/>
        </w:numPr>
        <w:pBdr>
          <w:top w:val="nil"/>
          <w:left w:val="nil"/>
          <w:bottom w:val="nil"/>
          <w:right w:val="nil"/>
          <w:between w:val="nil"/>
        </w:pBdr>
        <w:spacing w:line="360" w:lineRule="auto"/>
        <w:ind w:left="426" w:hanging="284"/>
        <w:jc w:val="both"/>
        <w:rPr>
          <w:rFonts w:ascii="Times New Roman" w:eastAsia="Times New Roman" w:hAnsi="Times New Roman" w:cs="Times New Roman"/>
          <w:b/>
          <w:sz w:val="28"/>
          <w:szCs w:val="28"/>
        </w:rPr>
      </w:pPr>
      <w:r w:rsidRPr="00C9794D">
        <w:rPr>
          <w:rFonts w:ascii="Times New Roman" w:eastAsia="Times New Roman" w:hAnsi="Times New Roman" w:cs="Times New Roman"/>
          <w:b/>
          <w:sz w:val="28"/>
          <w:szCs w:val="28"/>
        </w:rPr>
        <w:t>RESULTADOS E DISCUSSÃO</w:t>
      </w:r>
    </w:p>
    <w:p w14:paraId="77623326" w14:textId="77777777" w:rsidR="00B470B5" w:rsidRPr="00C9794D" w:rsidRDefault="00B470B5" w:rsidP="00B470B5">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roofErr w:type="gramStart"/>
      <w:r w:rsidRPr="00C9794D">
        <w:rPr>
          <w:rFonts w:ascii="Times New Roman" w:eastAsia="Times New Roman" w:hAnsi="Times New Roman" w:cs="Times New Roman"/>
          <w:bCs/>
          <w:sz w:val="24"/>
          <w:szCs w:val="24"/>
        </w:rPr>
        <w:t>4.1  PRINCIPAIS</w:t>
      </w:r>
      <w:proofErr w:type="gramEnd"/>
      <w:r w:rsidRPr="00C9794D">
        <w:rPr>
          <w:rFonts w:ascii="Times New Roman" w:eastAsia="Times New Roman" w:hAnsi="Times New Roman" w:cs="Times New Roman"/>
          <w:bCs/>
          <w:sz w:val="24"/>
          <w:szCs w:val="24"/>
        </w:rPr>
        <w:t xml:space="preserve"> INSIGHTS DA LITERATURA: CONVERGÊNCIAS ENTRE INDÚSTRIA 5.0 E OS ODS</w:t>
      </w:r>
    </w:p>
    <w:p w14:paraId="0D5120F5"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A análise dos 20 artigos permitiu identificar dez categorias temáticas </w:t>
      </w:r>
      <w:proofErr w:type="gramStart"/>
      <w:r w:rsidRPr="006F04E5">
        <w:rPr>
          <w:rFonts w:ascii="Times New Roman" w:hAnsi="Times New Roman" w:cs="Times New Roman"/>
          <w:color w:val="000000" w:themeColor="text1"/>
          <w:sz w:val="24"/>
          <w:szCs w:val="24"/>
        </w:rPr>
        <w:t>centrais,  apresentadas</w:t>
      </w:r>
      <w:proofErr w:type="gramEnd"/>
      <w:r w:rsidRPr="006F04E5">
        <w:rPr>
          <w:rFonts w:ascii="Times New Roman" w:hAnsi="Times New Roman" w:cs="Times New Roman"/>
          <w:color w:val="000000" w:themeColor="text1"/>
          <w:sz w:val="24"/>
          <w:szCs w:val="24"/>
        </w:rPr>
        <w:t xml:space="preserve">  no Quadro 2, representando as dimensões mais discutidas da Indústria 5.0 em articulação com os Objetivos de Desenvolvimento Sustentável (ODS). A definição dessas categorias seguiu os princípios metodológicos da análise de conteúdo, nos quais a </w:t>
      </w:r>
      <w:r w:rsidRPr="006F04E5">
        <w:rPr>
          <w:rFonts w:ascii="Times New Roman" w:hAnsi="Times New Roman" w:cs="Times New Roman"/>
          <w:color w:val="000000" w:themeColor="text1"/>
          <w:sz w:val="24"/>
          <w:szCs w:val="24"/>
        </w:rPr>
        <w:lastRenderedPageBreak/>
        <w:t>categorização representa uma etapa central para a organização e interpretação dos dados qualitativos de forma sistemática (Bardin, 2016). Assim, foram utilizadas categorias a priori, construídas com base nos objetivos da pesquisa e na revisão da literatura sobre a Indústria 5.0 e sua interface com os Objetivos de Desenvolvimento Sustentável (ODS). Paralelamente, conforme orienta a autora, manteve-se abertura para a identificação de categorias emergentes durante o processo de leitura flutuante e análise detalhada das transcrições.</w:t>
      </w:r>
    </w:p>
    <w:p w14:paraId="7C6A1D0F"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A centralidade no ser humano, por exemplo, é destacada por autores como </w:t>
      </w:r>
      <w:proofErr w:type="spellStart"/>
      <w:r w:rsidRPr="006F04E5">
        <w:rPr>
          <w:rFonts w:ascii="Times New Roman" w:hAnsi="Times New Roman" w:cs="Times New Roman"/>
          <w:color w:val="000000" w:themeColor="text1"/>
          <w:sz w:val="24"/>
          <w:szCs w:val="24"/>
        </w:rPr>
        <w:t>Zizic</w:t>
      </w:r>
      <w:proofErr w:type="spellEnd"/>
      <w:r w:rsidRPr="006F04E5">
        <w:rPr>
          <w:rFonts w:ascii="Times New Roman" w:hAnsi="Times New Roman" w:cs="Times New Roman"/>
          <w:color w:val="000000" w:themeColor="text1"/>
          <w:sz w:val="24"/>
          <w:szCs w:val="24"/>
        </w:rPr>
        <w:t xml:space="preserve"> et al. (2022), ao abordar a ressignificação do papel do trabalhador, e por Silva e Rech (2024), ao explorar o papel da empatia e da cocriação no setor da moda. A sustentabilidade ambiental aparece nos estudos de </w:t>
      </w:r>
      <w:bookmarkStart w:id="2" w:name="_Hlk203339859"/>
      <w:r w:rsidRPr="006F04E5">
        <w:rPr>
          <w:rFonts w:ascii="Times New Roman" w:hAnsi="Times New Roman" w:cs="Times New Roman"/>
          <w:i/>
          <w:iCs/>
          <w:color w:val="000000" w:themeColor="text1"/>
          <w:sz w:val="24"/>
          <w:szCs w:val="24"/>
        </w:rPr>
        <w:t>Farias, Martins e Cândido (2021),</w:t>
      </w:r>
      <w:bookmarkEnd w:id="2"/>
      <w:r w:rsidRPr="006F04E5">
        <w:rPr>
          <w:rFonts w:ascii="Times New Roman" w:hAnsi="Times New Roman" w:cs="Times New Roman"/>
          <w:color w:val="000000" w:themeColor="text1"/>
          <w:sz w:val="24"/>
          <w:szCs w:val="24"/>
        </w:rPr>
        <w:t xml:space="preserve"> que relacionam a importância das práticas de energias renováveis com a falta de políticas públicas para incentivo destas e nos estudos de automação verde de</w:t>
      </w:r>
      <w:bookmarkStart w:id="3" w:name="_Hlk203338283"/>
      <w:r w:rsidRPr="006F04E5">
        <w:rPr>
          <w:rFonts w:ascii="Times New Roman" w:hAnsi="Times New Roman" w:cs="Times New Roman"/>
          <w:color w:val="000000" w:themeColor="text1"/>
          <w:sz w:val="24"/>
          <w:szCs w:val="24"/>
        </w:rPr>
        <w:t xml:space="preserve"> Fraga-Lamas, Lopes e Fernández-</w:t>
      </w:r>
      <w:proofErr w:type="spellStart"/>
      <w:r w:rsidRPr="006F04E5">
        <w:rPr>
          <w:rFonts w:ascii="Times New Roman" w:hAnsi="Times New Roman" w:cs="Times New Roman"/>
          <w:color w:val="000000" w:themeColor="text1"/>
          <w:sz w:val="24"/>
          <w:szCs w:val="24"/>
        </w:rPr>
        <w:t>Caramés</w:t>
      </w:r>
      <w:proofErr w:type="spellEnd"/>
      <w:r w:rsidRPr="006F04E5">
        <w:rPr>
          <w:rFonts w:ascii="Times New Roman" w:hAnsi="Times New Roman" w:cs="Times New Roman"/>
          <w:color w:val="000000" w:themeColor="text1"/>
          <w:sz w:val="24"/>
          <w:szCs w:val="24"/>
        </w:rPr>
        <w:t xml:space="preserve"> (2021)</w:t>
      </w:r>
      <w:bookmarkEnd w:id="3"/>
      <w:r w:rsidRPr="006F04E5">
        <w:rPr>
          <w:rFonts w:ascii="Times New Roman" w:hAnsi="Times New Roman" w:cs="Times New Roman"/>
          <w:color w:val="000000" w:themeColor="text1"/>
          <w:sz w:val="24"/>
          <w:szCs w:val="24"/>
        </w:rPr>
        <w:t>.</w:t>
      </w:r>
    </w:p>
    <w:p w14:paraId="0DE9C249" w14:textId="77777777" w:rsidR="00B470B5" w:rsidRPr="006F04E5" w:rsidRDefault="00B470B5" w:rsidP="00B470B5">
      <w:pPr>
        <w:spacing w:line="360" w:lineRule="auto"/>
        <w:ind w:firstLine="709"/>
        <w:jc w:val="both"/>
        <w:rPr>
          <w:rFonts w:ascii="Times New Roman" w:hAnsi="Times New Roman" w:cs="Times New Roman"/>
          <w:color w:val="943634" w:themeColor="accent2" w:themeShade="BF"/>
          <w:sz w:val="24"/>
          <w:szCs w:val="24"/>
        </w:rPr>
      </w:pPr>
      <w:r w:rsidRPr="006F04E5">
        <w:rPr>
          <w:rFonts w:ascii="Times New Roman" w:hAnsi="Times New Roman" w:cs="Times New Roman"/>
          <w:color w:val="000000" w:themeColor="text1"/>
          <w:sz w:val="24"/>
          <w:szCs w:val="24"/>
        </w:rPr>
        <w:t xml:space="preserve">Já a ética no uso de tecnologias e a inclusão digital são discutidas por </w:t>
      </w:r>
      <w:proofErr w:type="spellStart"/>
      <w:proofErr w:type="gramStart"/>
      <w:r w:rsidRPr="006F04E5">
        <w:rPr>
          <w:rFonts w:ascii="Times New Roman" w:hAnsi="Times New Roman" w:cs="Times New Roman"/>
          <w:color w:val="000000" w:themeColor="text1"/>
          <w:sz w:val="24"/>
          <w:szCs w:val="24"/>
        </w:rPr>
        <w:t>Dossou</w:t>
      </w:r>
      <w:proofErr w:type="spellEnd"/>
      <w:r w:rsidRPr="006F04E5">
        <w:rPr>
          <w:rFonts w:ascii="Times New Roman" w:hAnsi="Times New Roman" w:cs="Times New Roman"/>
          <w:color w:val="000000" w:themeColor="text1"/>
          <w:sz w:val="24"/>
          <w:szCs w:val="24"/>
        </w:rPr>
        <w:t>,  Alvarez</w:t>
      </w:r>
      <w:proofErr w:type="gramEnd"/>
      <w:r w:rsidRPr="006F04E5">
        <w:rPr>
          <w:rFonts w:ascii="Times New Roman" w:hAnsi="Times New Roman" w:cs="Times New Roman"/>
          <w:color w:val="000000" w:themeColor="text1"/>
          <w:sz w:val="24"/>
          <w:szCs w:val="24"/>
        </w:rPr>
        <w:t>-de-</w:t>
      </w:r>
      <w:proofErr w:type="spellStart"/>
      <w:r w:rsidRPr="006F04E5">
        <w:rPr>
          <w:rFonts w:ascii="Times New Roman" w:hAnsi="Times New Roman" w:cs="Times New Roman"/>
          <w:color w:val="000000" w:themeColor="text1"/>
          <w:sz w:val="24"/>
          <w:szCs w:val="24"/>
        </w:rPr>
        <w:t>los</w:t>
      </w:r>
      <w:proofErr w:type="spellEnd"/>
      <w:r w:rsidRPr="006F04E5">
        <w:rPr>
          <w:rFonts w:ascii="Times New Roman" w:hAnsi="Times New Roman" w:cs="Times New Roman"/>
          <w:color w:val="000000" w:themeColor="text1"/>
          <w:sz w:val="24"/>
          <w:szCs w:val="24"/>
        </w:rPr>
        <w:t>-</w:t>
      </w:r>
      <w:proofErr w:type="spellStart"/>
      <w:r w:rsidRPr="006F04E5">
        <w:rPr>
          <w:rFonts w:ascii="Times New Roman" w:hAnsi="Times New Roman" w:cs="Times New Roman"/>
          <w:color w:val="000000" w:themeColor="text1"/>
          <w:sz w:val="24"/>
          <w:szCs w:val="24"/>
        </w:rPr>
        <w:t>Mozos</w:t>
      </w:r>
      <w:proofErr w:type="spellEnd"/>
      <w:r w:rsidRPr="006F04E5">
        <w:rPr>
          <w:rFonts w:ascii="Times New Roman" w:hAnsi="Times New Roman" w:cs="Times New Roman"/>
          <w:color w:val="000000" w:themeColor="text1"/>
          <w:sz w:val="24"/>
          <w:szCs w:val="24"/>
        </w:rPr>
        <w:t xml:space="preserve"> e </w:t>
      </w:r>
      <w:proofErr w:type="spellStart"/>
      <w:r w:rsidRPr="006F04E5">
        <w:rPr>
          <w:rFonts w:ascii="Times New Roman" w:hAnsi="Times New Roman" w:cs="Times New Roman"/>
          <w:color w:val="000000" w:themeColor="text1"/>
          <w:sz w:val="24"/>
          <w:szCs w:val="24"/>
        </w:rPr>
        <w:t>Pawlewski</w:t>
      </w:r>
      <w:proofErr w:type="spellEnd"/>
      <w:r w:rsidRPr="006F04E5">
        <w:rPr>
          <w:rFonts w:ascii="Times New Roman" w:hAnsi="Times New Roman" w:cs="Times New Roman"/>
          <w:color w:val="000000" w:themeColor="text1"/>
          <w:sz w:val="24"/>
          <w:szCs w:val="24"/>
        </w:rPr>
        <w:t xml:space="preserve"> (2024) e Gamboa-Rosales e López-Robles (2022), que tratam da transição responsável da Indústria 4.0 para a 5.0, e por </w:t>
      </w:r>
      <w:proofErr w:type="spellStart"/>
      <w:r w:rsidRPr="006F04E5">
        <w:rPr>
          <w:rFonts w:ascii="Times New Roman" w:hAnsi="Times New Roman" w:cs="Times New Roman"/>
          <w:color w:val="000000" w:themeColor="text1"/>
          <w:sz w:val="24"/>
          <w:szCs w:val="24"/>
        </w:rPr>
        <w:t>Xu</w:t>
      </w:r>
      <w:proofErr w:type="spellEnd"/>
      <w:r w:rsidRPr="006F04E5">
        <w:rPr>
          <w:rFonts w:ascii="Times New Roman" w:hAnsi="Times New Roman" w:cs="Times New Roman"/>
          <w:color w:val="000000" w:themeColor="text1"/>
          <w:sz w:val="24"/>
          <w:szCs w:val="24"/>
        </w:rPr>
        <w:t xml:space="preserve"> et al. (2021), com foco na equidade tecnológica. A educação e requalificação profissional são analisadas por </w:t>
      </w:r>
      <w:proofErr w:type="spellStart"/>
      <w:r w:rsidRPr="006F04E5">
        <w:rPr>
          <w:rFonts w:ascii="Times New Roman" w:hAnsi="Times New Roman" w:cs="Times New Roman"/>
          <w:color w:val="000000" w:themeColor="text1"/>
          <w:sz w:val="24"/>
          <w:szCs w:val="24"/>
        </w:rPr>
        <w:t>Panza</w:t>
      </w:r>
      <w:proofErr w:type="spellEnd"/>
      <w:r w:rsidRPr="006F04E5">
        <w:rPr>
          <w:rFonts w:ascii="Times New Roman" w:hAnsi="Times New Roman" w:cs="Times New Roman"/>
          <w:color w:val="000000" w:themeColor="text1"/>
          <w:sz w:val="24"/>
          <w:szCs w:val="24"/>
        </w:rPr>
        <w:t xml:space="preserve">, Bruno e Lombardi (2023) e Rao, </w:t>
      </w:r>
      <w:proofErr w:type="spellStart"/>
      <w:r w:rsidRPr="006F04E5">
        <w:rPr>
          <w:rFonts w:ascii="Times New Roman" w:hAnsi="Times New Roman" w:cs="Times New Roman"/>
          <w:color w:val="000000" w:themeColor="text1"/>
          <w:sz w:val="24"/>
          <w:szCs w:val="24"/>
        </w:rPr>
        <w:t>Gohar</w:t>
      </w:r>
      <w:proofErr w:type="spellEnd"/>
      <w:r w:rsidRPr="006F04E5">
        <w:rPr>
          <w:rFonts w:ascii="Times New Roman" w:hAnsi="Times New Roman" w:cs="Times New Roman"/>
          <w:color w:val="000000" w:themeColor="text1"/>
          <w:sz w:val="24"/>
          <w:szCs w:val="24"/>
        </w:rPr>
        <w:t xml:space="preserve"> e Park (2022), enfatizando a necessidade de formação contínua para um ecossistema industrial sustentável e centrado no ser humano.</w:t>
      </w:r>
      <w:r w:rsidRPr="006F04E5">
        <w:rPr>
          <w:rFonts w:ascii="Times New Roman" w:hAnsi="Times New Roman" w:cs="Times New Roman"/>
          <w:color w:val="943634" w:themeColor="accent2" w:themeShade="BF"/>
          <w:sz w:val="24"/>
          <w:szCs w:val="24"/>
        </w:rPr>
        <w:t xml:space="preserve"> </w:t>
      </w:r>
    </w:p>
    <w:p w14:paraId="5BCF2B7B"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A categoria Inovação colaborativa foi incluída devido ao seu papel estratégico crescente nas abordagens industriais voltadas à inclusão e ao desenvolvimento equitativo, conforme destacado por </w:t>
      </w:r>
      <w:proofErr w:type="spellStart"/>
      <w:r w:rsidRPr="006F04E5">
        <w:rPr>
          <w:rFonts w:ascii="Times New Roman" w:hAnsi="Times New Roman" w:cs="Times New Roman"/>
          <w:color w:val="000000" w:themeColor="text1"/>
          <w:sz w:val="24"/>
          <w:szCs w:val="24"/>
        </w:rPr>
        <w:t>Zizic</w:t>
      </w:r>
      <w:proofErr w:type="spellEnd"/>
      <w:r w:rsidRPr="006F04E5">
        <w:rPr>
          <w:rFonts w:ascii="Times New Roman" w:hAnsi="Times New Roman" w:cs="Times New Roman"/>
          <w:color w:val="000000" w:themeColor="text1"/>
          <w:sz w:val="24"/>
          <w:szCs w:val="24"/>
        </w:rPr>
        <w:t xml:space="preserve"> et al. (2022) e a inovação </w:t>
      </w:r>
      <w:proofErr w:type="gramStart"/>
      <w:r w:rsidRPr="006F04E5">
        <w:rPr>
          <w:rFonts w:ascii="Times New Roman" w:hAnsi="Times New Roman" w:cs="Times New Roman"/>
          <w:color w:val="000000" w:themeColor="text1"/>
          <w:sz w:val="24"/>
          <w:szCs w:val="24"/>
        </w:rPr>
        <w:t>social  (</w:t>
      </w:r>
      <w:proofErr w:type="gramEnd"/>
      <w:r w:rsidRPr="006F04E5">
        <w:rPr>
          <w:rFonts w:ascii="Times New Roman" w:hAnsi="Times New Roman" w:cs="Times New Roman"/>
          <w:color w:val="000000" w:themeColor="text1"/>
          <w:sz w:val="24"/>
          <w:szCs w:val="24"/>
        </w:rPr>
        <w:t>Ribeiro et al., 2019b). A categoria Resiliência e adaptabilidade refere-se à capacidade das organizações industriais de reagir e se ajustar rapidamente a crises e mudanças, como as causadas por pandemias ou eventos climáticos extremos. Alinhada aos princípios da Indústria 5.0, essa dimensão reforça a importância de sistemas produtivos flexíveis e preparados para contextos de incerteza (</w:t>
      </w:r>
      <w:proofErr w:type="spellStart"/>
      <w:r w:rsidRPr="006F04E5">
        <w:rPr>
          <w:rFonts w:ascii="Times New Roman" w:hAnsi="Times New Roman" w:cs="Times New Roman"/>
          <w:color w:val="000000" w:themeColor="text1"/>
          <w:sz w:val="24"/>
          <w:szCs w:val="24"/>
        </w:rPr>
        <w:t>Akundi</w:t>
      </w:r>
      <w:proofErr w:type="spellEnd"/>
      <w:r w:rsidRPr="006F04E5">
        <w:rPr>
          <w:rFonts w:ascii="Times New Roman" w:hAnsi="Times New Roman" w:cs="Times New Roman"/>
          <w:color w:val="000000" w:themeColor="text1"/>
          <w:sz w:val="24"/>
          <w:szCs w:val="24"/>
        </w:rPr>
        <w:t xml:space="preserve">, et al., 2022; </w:t>
      </w:r>
      <w:proofErr w:type="spellStart"/>
      <w:r w:rsidRPr="006F04E5">
        <w:rPr>
          <w:rFonts w:ascii="Times New Roman" w:hAnsi="Times New Roman" w:cs="Times New Roman"/>
          <w:color w:val="000000" w:themeColor="text1"/>
          <w:sz w:val="24"/>
          <w:szCs w:val="24"/>
        </w:rPr>
        <w:t>Javaid</w:t>
      </w:r>
      <w:proofErr w:type="spellEnd"/>
      <w:r w:rsidRPr="006F04E5">
        <w:rPr>
          <w:rFonts w:ascii="Times New Roman" w:hAnsi="Times New Roman" w:cs="Times New Roman"/>
          <w:color w:val="000000" w:themeColor="text1"/>
          <w:sz w:val="24"/>
          <w:szCs w:val="24"/>
        </w:rPr>
        <w:t xml:space="preserve"> et al., 2021; </w:t>
      </w:r>
      <w:proofErr w:type="spellStart"/>
      <w:r w:rsidRPr="006F04E5">
        <w:rPr>
          <w:rFonts w:ascii="Times New Roman" w:hAnsi="Times New Roman" w:cs="Times New Roman"/>
          <w:color w:val="000000" w:themeColor="text1"/>
          <w:sz w:val="24"/>
          <w:szCs w:val="24"/>
        </w:rPr>
        <w:t>Jefroy</w:t>
      </w:r>
      <w:proofErr w:type="spellEnd"/>
      <w:r w:rsidRPr="006F04E5">
        <w:rPr>
          <w:rFonts w:ascii="Times New Roman" w:hAnsi="Times New Roman" w:cs="Times New Roman"/>
          <w:color w:val="000000" w:themeColor="text1"/>
          <w:sz w:val="24"/>
          <w:szCs w:val="24"/>
        </w:rPr>
        <w:t xml:space="preserve">, </w:t>
      </w:r>
      <w:proofErr w:type="spellStart"/>
      <w:r w:rsidRPr="006F04E5">
        <w:rPr>
          <w:rFonts w:ascii="Times New Roman" w:hAnsi="Times New Roman" w:cs="Times New Roman"/>
          <w:color w:val="000000" w:themeColor="text1"/>
          <w:sz w:val="24"/>
          <w:szCs w:val="24"/>
        </w:rPr>
        <w:t>Azarian</w:t>
      </w:r>
      <w:proofErr w:type="spellEnd"/>
      <w:r w:rsidRPr="006F04E5">
        <w:rPr>
          <w:rFonts w:ascii="Times New Roman" w:hAnsi="Times New Roman" w:cs="Times New Roman"/>
          <w:color w:val="000000" w:themeColor="text1"/>
          <w:sz w:val="24"/>
          <w:szCs w:val="24"/>
        </w:rPr>
        <w:t xml:space="preserve"> &amp; </w:t>
      </w:r>
      <w:proofErr w:type="gramStart"/>
      <w:r w:rsidRPr="006F04E5">
        <w:rPr>
          <w:rFonts w:ascii="Times New Roman" w:hAnsi="Times New Roman" w:cs="Times New Roman"/>
          <w:color w:val="000000" w:themeColor="text1"/>
          <w:sz w:val="24"/>
          <w:szCs w:val="24"/>
        </w:rPr>
        <w:t>Yu ,</w:t>
      </w:r>
      <w:proofErr w:type="gramEnd"/>
      <w:r w:rsidRPr="006F04E5">
        <w:rPr>
          <w:rFonts w:ascii="Times New Roman" w:hAnsi="Times New Roman" w:cs="Times New Roman"/>
          <w:color w:val="000000" w:themeColor="text1"/>
          <w:sz w:val="24"/>
          <w:szCs w:val="24"/>
        </w:rPr>
        <w:t xml:space="preserve"> 2022).</w:t>
      </w:r>
    </w:p>
    <w:p w14:paraId="35C3FA08"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Já a categoria Personalização da produção destaca a valorização da customização em larga escala, possibilitada pela integração entre tecnologia e cognição humana. Essa prática promove inclusão e bem-estar ao adaptar produtos às necessidades individuais e sociais presente nos estudos de Gamboa-Rosales &amp; López-Robles (2022), </w:t>
      </w:r>
      <w:proofErr w:type="spellStart"/>
      <w:r w:rsidRPr="006F04E5">
        <w:rPr>
          <w:rFonts w:ascii="Times New Roman" w:hAnsi="Times New Roman" w:cs="Times New Roman"/>
          <w:color w:val="000000" w:themeColor="text1"/>
          <w:sz w:val="24"/>
          <w:szCs w:val="24"/>
        </w:rPr>
        <w:t>Özdemir</w:t>
      </w:r>
      <w:proofErr w:type="spellEnd"/>
      <w:r w:rsidRPr="006F04E5">
        <w:rPr>
          <w:rFonts w:ascii="Times New Roman" w:hAnsi="Times New Roman" w:cs="Times New Roman"/>
          <w:color w:val="000000" w:themeColor="text1"/>
          <w:sz w:val="24"/>
          <w:szCs w:val="24"/>
        </w:rPr>
        <w:t xml:space="preserve"> &amp; </w:t>
      </w:r>
      <w:proofErr w:type="spellStart"/>
      <w:r w:rsidRPr="006F04E5">
        <w:rPr>
          <w:rFonts w:ascii="Times New Roman" w:hAnsi="Times New Roman" w:cs="Times New Roman"/>
          <w:color w:val="000000" w:themeColor="text1"/>
          <w:sz w:val="24"/>
          <w:szCs w:val="24"/>
        </w:rPr>
        <w:t>Hekim</w:t>
      </w:r>
      <w:proofErr w:type="spellEnd"/>
      <w:r w:rsidRPr="006F04E5">
        <w:rPr>
          <w:rFonts w:ascii="Times New Roman" w:hAnsi="Times New Roman" w:cs="Times New Roman"/>
          <w:color w:val="000000" w:themeColor="text1"/>
          <w:sz w:val="24"/>
          <w:szCs w:val="24"/>
        </w:rPr>
        <w:t xml:space="preserve"> (2018) </w:t>
      </w:r>
      <w:proofErr w:type="gramStart"/>
      <w:r w:rsidRPr="006F04E5">
        <w:rPr>
          <w:rFonts w:ascii="Times New Roman" w:hAnsi="Times New Roman" w:cs="Times New Roman"/>
          <w:color w:val="000000" w:themeColor="text1"/>
          <w:sz w:val="24"/>
          <w:szCs w:val="24"/>
        </w:rPr>
        <w:t>e  Silva</w:t>
      </w:r>
      <w:proofErr w:type="gramEnd"/>
      <w:r w:rsidRPr="006F04E5">
        <w:rPr>
          <w:rFonts w:ascii="Times New Roman" w:hAnsi="Times New Roman" w:cs="Times New Roman"/>
          <w:color w:val="000000" w:themeColor="text1"/>
          <w:sz w:val="24"/>
          <w:szCs w:val="24"/>
        </w:rPr>
        <w:t xml:space="preserve"> &amp; Rech (2024). </w:t>
      </w:r>
    </w:p>
    <w:p w14:paraId="3A5BD169"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Por sua vez, Governança e políticas públicas emergiram como um dos principais desafios à implementação de práticas alinhadas aos princípios da Indústria 5.0, principalmente </w:t>
      </w:r>
      <w:r w:rsidRPr="006F04E5">
        <w:rPr>
          <w:rFonts w:ascii="Times New Roman" w:hAnsi="Times New Roman" w:cs="Times New Roman"/>
          <w:color w:val="000000" w:themeColor="text1"/>
          <w:sz w:val="24"/>
          <w:szCs w:val="24"/>
        </w:rPr>
        <w:lastRenderedPageBreak/>
        <w:t xml:space="preserve">no que tange as barreiras </w:t>
      </w:r>
      <w:proofErr w:type="gramStart"/>
      <w:r w:rsidRPr="006F04E5">
        <w:rPr>
          <w:rFonts w:ascii="Times New Roman" w:hAnsi="Times New Roman" w:cs="Times New Roman"/>
          <w:color w:val="000000" w:themeColor="text1"/>
          <w:sz w:val="24"/>
          <w:szCs w:val="24"/>
        </w:rPr>
        <w:t>regulatórias Essa</w:t>
      </w:r>
      <w:proofErr w:type="gramEnd"/>
      <w:r w:rsidRPr="006F04E5">
        <w:rPr>
          <w:rFonts w:ascii="Times New Roman" w:hAnsi="Times New Roman" w:cs="Times New Roman"/>
          <w:color w:val="000000" w:themeColor="text1"/>
          <w:sz w:val="24"/>
          <w:szCs w:val="24"/>
        </w:rPr>
        <w:t xml:space="preserve"> categoria é amplamente respaldada na literatura, que aponta entraves normativos, lacunas legais e ausência de diretrizes claras como obstáculos recorrentes à inovação responsável e à integração de tecnologias emergentes (</w:t>
      </w:r>
      <w:proofErr w:type="spellStart"/>
      <w:proofErr w:type="gramStart"/>
      <w:r w:rsidRPr="006F04E5">
        <w:rPr>
          <w:rFonts w:ascii="Times New Roman" w:hAnsi="Times New Roman" w:cs="Times New Roman"/>
          <w:color w:val="000000" w:themeColor="text1"/>
          <w:sz w:val="24"/>
          <w:szCs w:val="24"/>
        </w:rPr>
        <w:t>Dossou</w:t>
      </w:r>
      <w:proofErr w:type="spellEnd"/>
      <w:r w:rsidRPr="006F04E5">
        <w:rPr>
          <w:rFonts w:ascii="Times New Roman" w:hAnsi="Times New Roman" w:cs="Times New Roman"/>
          <w:color w:val="000000" w:themeColor="text1"/>
          <w:sz w:val="24"/>
          <w:szCs w:val="24"/>
        </w:rPr>
        <w:t>,  Alvarez</w:t>
      </w:r>
      <w:proofErr w:type="gramEnd"/>
      <w:r w:rsidRPr="006F04E5">
        <w:rPr>
          <w:rFonts w:ascii="Times New Roman" w:hAnsi="Times New Roman" w:cs="Times New Roman"/>
          <w:color w:val="000000" w:themeColor="text1"/>
          <w:sz w:val="24"/>
          <w:szCs w:val="24"/>
        </w:rPr>
        <w:t>-de-</w:t>
      </w:r>
      <w:proofErr w:type="spellStart"/>
      <w:r w:rsidRPr="006F04E5">
        <w:rPr>
          <w:rFonts w:ascii="Times New Roman" w:hAnsi="Times New Roman" w:cs="Times New Roman"/>
          <w:color w:val="000000" w:themeColor="text1"/>
          <w:sz w:val="24"/>
          <w:szCs w:val="24"/>
        </w:rPr>
        <w:t>los</w:t>
      </w:r>
      <w:proofErr w:type="spellEnd"/>
      <w:r w:rsidRPr="006F04E5">
        <w:rPr>
          <w:rFonts w:ascii="Times New Roman" w:hAnsi="Times New Roman" w:cs="Times New Roman"/>
          <w:color w:val="000000" w:themeColor="text1"/>
          <w:sz w:val="24"/>
          <w:szCs w:val="24"/>
        </w:rPr>
        <w:t>-</w:t>
      </w:r>
      <w:proofErr w:type="spellStart"/>
      <w:r w:rsidRPr="006F04E5">
        <w:rPr>
          <w:rFonts w:ascii="Times New Roman" w:hAnsi="Times New Roman" w:cs="Times New Roman"/>
          <w:color w:val="000000" w:themeColor="text1"/>
          <w:sz w:val="24"/>
          <w:szCs w:val="24"/>
        </w:rPr>
        <w:t>Mozos</w:t>
      </w:r>
      <w:proofErr w:type="spellEnd"/>
      <w:r w:rsidRPr="006F04E5">
        <w:rPr>
          <w:rFonts w:ascii="Times New Roman" w:hAnsi="Times New Roman" w:cs="Times New Roman"/>
          <w:color w:val="000000" w:themeColor="text1"/>
          <w:sz w:val="24"/>
          <w:szCs w:val="24"/>
        </w:rPr>
        <w:t xml:space="preserve"> &amp; </w:t>
      </w:r>
      <w:proofErr w:type="spellStart"/>
      <w:r w:rsidRPr="006F04E5">
        <w:rPr>
          <w:rFonts w:ascii="Times New Roman" w:hAnsi="Times New Roman" w:cs="Times New Roman"/>
          <w:color w:val="000000" w:themeColor="text1"/>
          <w:sz w:val="24"/>
          <w:szCs w:val="24"/>
        </w:rPr>
        <w:t>Pawlewski</w:t>
      </w:r>
      <w:proofErr w:type="spellEnd"/>
      <w:r w:rsidRPr="006F04E5">
        <w:rPr>
          <w:rFonts w:ascii="Times New Roman" w:hAnsi="Times New Roman" w:cs="Times New Roman"/>
          <w:color w:val="000000" w:themeColor="text1"/>
          <w:sz w:val="24"/>
          <w:szCs w:val="24"/>
        </w:rPr>
        <w:t xml:space="preserve"> (2024). </w:t>
      </w:r>
    </w:p>
    <w:p w14:paraId="6F7D6E13"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Por fim, a categoria Alinhamento com os ODS foi essencial para compreender em que medida as práticas mencionadas pelos entrevistados se articulam com os compromissos globais de desenvolvimento sustentável estabelecidos pela Agenda 2030 da ONU. Tal perspectiva encontra respaldo em autores que destacam a urgência de alinhar transformações industriais aos Objetivos de Desenvolvimento Sustentável, promovendo modelos produtivos éticos, resilientes e inclusivos conforme Farias, Martins e Cândido (2021) e </w:t>
      </w:r>
      <w:proofErr w:type="spellStart"/>
      <w:r w:rsidRPr="006F04E5">
        <w:rPr>
          <w:rFonts w:ascii="Times New Roman" w:hAnsi="Times New Roman" w:cs="Times New Roman"/>
          <w:color w:val="000000" w:themeColor="text1"/>
          <w:sz w:val="24"/>
          <w:szCs w:val="24"/>
        </w:rPr>
        <w:t>Rame</w:t>
      </w:r>
      <w:proofErr w:type="spellEnd"/>
      <w:r w:rsidRPr="006F04E5">
        <w:rPr>
          <w:rFonts w:ascii="Times New Roman" w:hAnsi="Times New Roman" w:cs="Times New Roman"/>
          <w:color w:val="000000" w:themeColor="text1"/>
          <w:sz w:val="24"/>
          <w:szCs w:val="24"/>
        </w:rPr>
        <w:t xml:space="preserve">, </w:t>
      </w:r>
      <w:proofErr w:type="spellStart"/>
      <w:r w:rsidRPr="006F04E5">
        <w:rPr>
          <w:rFonts w:ascii="Times New Roman" w:hAnsi="Times New Roman" w:cs="Times New Roman"/>
          <w:color w:val="000000" w:themeColor="text1"/>
          <w:sz w:val="24"/>
          <w:szCs w:val="24"/>
        </w:rPr>
        <w:t>Purwanto</w:t>
      </w:r>
      <w:proofErr w:type="spellEnd"/>
      <w:r w:rsidRPr="006F04E5">
        <w:rPr>
          <w:rFonts w:ascii="Times New Roman" w:hAnsi="Times New Roman" w:cs="Times New Roman"/>
          <w:color w:val="000000" w:themeColor="text1"/>
          <w:sz w:val="24"/>
          <w:szCs w:val="24"/>
        </w:rPr>
        <w:t xml:space="preserve"> e </w:t>
      </w:r>
      <w:proofErr w:type="spellStart"/>
      <w:r w:rsidRPr="006F04E5">
        <w:rPr>
          <w:rFonts w:ascii="Times New Roman" w:hAnsi="Times New Roman" w:cs="Times New Roman"/>
          <w:color w:val="000000" w:themeColor="text1"/>
          <w:sz w:val="24"/>
          <w:szCs w:val="24"/>
        </w:rPr>
        <w:t>Sudarno</w:t>
      </w:r>
      <w:proofErr w:type="spellEnd"/>
      <w:r w:rsidRPr="006F04E5">
        <w:rPr>
          <w:rFonts w:ascii="Times New Roman" w:hAnsi="Times New Roman" w:cs="Times New Roman"/>
          <w:color w:val="000000" w:themeColor="text1"/>
          <w:sz w:val="24"/>
          <w:szCs w:val="24"/>
        </w:rPr>
        <w:t xml:space="preserve"> (2024).</w:t>
      </w:r>
    </w:p>
    <w:p w14:paraId="39F4D34D" w14:textId="77777777" w:rsidR="00B470B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As informações consolidadas foram organizadas e apresentadas no Quadro 2, contemplando a descrição de cada categoria, os autores que mais contribuem com cada perspectiva e os ODS diretamente relacionados.</w:t>
      </w:r>
    </w:p>
    <w:p w14:paraId="005B0951" w14:textId="77777777" w:rsidR="00B470B5" w:rsidRPr="004835B9" w:rsidRDefault="00B470B5" w:rsidP="00B470B5">
      <w:pPr>
        <w:spacing w:line="240" w:lineRule="auto"/>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Quadro 2 – Categorias temáticas da Indústria 5.0 e sua interface com os ODS</w:t>
      </w:r>
    </w:p>
    <w:tbl>
      <w:tblPr>
        <w:tblStyle w:val="Tabelacomgrade"/>
        <w:tblW w:w="8926" w:type="dxa"/>
        <w:tblLayout w:type="fixed"/>
        <w:tblLook w:val="04A0" w:firstRow="1" w:lastRow="0" w:firstColumn="1" w:lastColumn="0" w:noHBand="0" w:noVBand="1"/>
      </w:tblPr>
      <w:tblGrid>
        <w:gridCol w:w="704"/>
        <w:gridCol w:w="1418"/>
        <w:gridCol w:w="2835"/>
        <w:gridCol w:w="2835"/>
        <w:gridCol w:w="1134"/>
      </w:tblGrid>
      <w:tr w:rsidR="00B470B5" w:rsidRPr="004835B9" w14:paraId="672D3A66" w14:textId="77777777" w:rsidTr="004B322D">
        <w:tc>
          <w:tcPr>
            <w:tcW w:w="704" w:type="dxa"/>
          </w:tcPr>
          <w:p w14:paraId="3F8121D2" w14:textId="77777777" w:rsidR="00B470B5" w:rsidRPr="004835B9" w:rsidRDefault="00B470B5" w:rsidP="004B322D">
            <w:pPr>
              <w:ind w:left="-108" w:right="-109"/>
              <w:jc w:val="center"/>
              <w:rPr>
                <w:rFonts w:ascii="Times New Roman" w:hAnsi="Times New Roman" w:cs="Times New Roman"/>
                <w:b/>
                <w:bCs/>
                <w:color w:val="000000" w:themeColor="text1"/>
                <w:sz w:val="20"/>
                <w:szCs w:val="20"/>
              </w:rPr>
            </w:pPr>
            <w:r w:rsidRPr="004835B9">
              <w:rPr>
                <w:rFonts w:ascii="Times New Roman" w:hAnsi="Times New Roman" w:cs="Times New Roman"/>
                <w:b/>
                <w:bCs/>
                <w:color w:val="000000" w:themeColor="text1"/>
                <w:sz w:val="20"/>
                <w:szCs w:val="20"/>
              </w:rPr>
              <w:t>Insight</w:t>
            </w:r>
          </w:p>
        </w:tc>
        <w:tc>
          <w:tcPr>
            <w:tcW w:w="1418" w:type="dxa"/>
            <w:vAlign w:val="center"/>
          </w:tcPr>
          <w:p w14:paraId="57FB5460" w14:textId="77777777" w:rsidR="00B470B5" w:rsidRPr="004835B9" w:rsidRDefault="00B470B5" w:rsidP="004B322D">
            <w:pPr>
              <w:jc w:val="center"/>
              <w:rPr>
                <w:rFonts w:ascii="Times New Roman" w:hAnsi="Times New Roman" w:cs="Times New Roman"/>
                <w:b/>
                <w:bCs/>
                <w:color w:val="000000" w:themeColor="text1"/>
                <w:sz w:val="20"/>
                <w:szCs w:val="20"/>
                <w:lang w:val="pt-BR"/>
              </w:rPr>
            </w:pPr>
            <w:r w:rsidRPr="004835B9">
              <w:rPr>
                <w:rFonts w:ascii="Times New Roman" w:hAnsi="Times New Roman" w:cs="Times New Roman"/>
                <w:b/>
                <w:bCs/>
                <w:color w:val="000000" w:themeColor="text1"/>
                <w:sz w:val="20"/>
                <w:szCs w:val="20"/>
                <w:lang w:val="pt-BR"/>
              </w:rPr>
              <w:t>Categoria Temática</w:t>
            </w:r>
          </w:p>
        </w:tc>
        <w:tc>
          <w:tcPr>
            <w:tcW w:w="2835" w:type="dxa"/>
            <w:vAlign w:val="center"/>
          </w:tcPr>
          <w:p w14:paraId="5FE0BBFE" w14:textId="77777777" w:rsidR="00B470B5" w:rsidRPr="004835B9" w:rsidRDefault="00B470B5" w:rsidP="004B322D">
            <w:pPr>
              <w:jc w:val="center"/>
              <w:rPr>
                <w:rFonts w:ascii="Times New Roman" w:hAnsi="Times New Roman" w:cs="Times New Roman"/>
                <w:b/>
                <w:bCs/>
                <w:color w:val="000000" w:themeColor="text1"/>
                <w:sz w:val="20"/>
                <w:szCs w:val="20"/>
                <w:lang w:val="pt-BR"/>
              </w:rPr>
            </w:pPr>
            <w:r w:rsidRPr="004835B9">
              <w:rPr>
                <w:rFonts w:ascii="Times New Roman" w:hAnsi="Times New Roman" w:cs="Times New Roman"/>
                <w:b/>
                <w:bCs/>
                <w:color w:val="000000" w:themeColor="text1"/>
                <w:sz w:val="20"/>
                <w:szCs w:val="20"/>
                <w:lang w:val="pt-BR"/>
              </w:rPr>
              <w:t>Descrição</w:t>
            </w:r>
          </w:p>
        </w:tc>
        <w:tc>
          <w:tcPr>
            <w:tcW w:w="2835" w:type="dxa"/>
            <w:vAlign w:val="center"/>
          </w:tcPr>
          <w:p w14:paraId="4B98E64D" w14:textId="77777777" w:rsidR="00B470B5" w:rsidRPr="004835B9" w:rsidRDefault="00B470B5" w:rsidP="004B322D">
            <w:pPr>
              <w:ind w:left="-105" w:right="-102"/>
              <w:jc w:val="center"/>
              <w:rPr>
                <w:rFonts w:ascii="Times New Roman" w:hAnsi="Times New Roman" w:cs="Times New Roman"/>
                <w:b/>
                <w:bCs/>
                <w:color w:val="000000" w:themeColor="text1"/>
                <w:sz w:val="20"/>
                <w:szCs w:val="20"/>
                <w:lang w:val="pt-BR"/>
              </w:rPr>
            </w:pPr>
            <w:r w:rsidRPr="004835B9">
              <w:rPr>
                <w:rFonts w:ascii="Times New Roman" w:hAnsi="Times New Roman" w:cs="Times New Roman"/>
                <w:b/>
                <w:bCs/>
                <w:color w:val="000000" w:themeColor="text1"/>
                <w:sz w:val="20"/>
                <w:szCs w:val="20"/>
                <w:lang w:val="pt-BR"/>
              </w:rPr>
              <w:t>Exemplos de Autores</w:t>
            </w:r>
          </w:p>
        </w:tc>
        <w:tc>
          <w:tcPr>
            <w:tcW w:w="1134" w:type="dxa"/>
            <w:vAlign w:val="center"/>
          </w:tcPr>
          <w:p w14:paraId="43C7E872" w14:textId="77777777" w:rsidR="00B470B5" w:rsidRPr="004835B9" w:rsidRDefault="00B470B5" w:rsidP="004B322D">
            <w:pPr>
              <w:ind w:left="-114" w:right="-111"/>
              <w:jc w:val="center"/>
              <w:rPr>
                <w:rFonts w:ascii="Times New Roman" w:hAnsi="Times New Roman" w:cs="Times New Roman"/>
                <w:b/>
                <w:bCs/>
                <w:color w:val="000000" w:themeColor="text1"/>
                <w:sz w:val="20"/>
                <w:szCs w:val="20"/>
                <w:lang w:val="pt-BR"/>
              </w:rPr>
            </w:pPr>
            <w:r w:rsidRPr="004835B9">
              <w:rPr>
                <w:rFonts w:ascii="Times New Roman" w:hAnsi="Times New Roman" w:cs="Times New Roman"/>
                <w:b/>
                <w:bCs/>
                <w:color w:val="000000" w:themeColor="text1"/>
                <w:sz w:val="20"/>
                <w:szCs w:val="20"/>
                <w:lang w:val="pt-BR"/>
              </w:rPr>
              <w:t>ODS relacionados</w:t>
            </w:r>
          </w:p>
        </w:tc>
      </w:tr>
      <w:tr w:rsidR="00B470B5" w:rsidRPr="004835B9" w14:paraId="2E4EC415" w14:textId="77777777" w:rsidTr="004B322D">
        <w:tc>
          <w:tcPr>
            <w:tcW w:w="704" w:type="dxa"/>
            <w:vAlign w:val="center"/>
          </w:tcPr>
          <w:p w14:paraId="4D2644DA" w14:textId="77777777" w:rsidR="00B470B5" w:rsidRPr="004835B9" w:rsidRDefault="00B470B5" w:rsidP="004B322D">
            <w:pPr>
              <w:ind w:left="-108" w:right="-110"/>
              <w:jc w:val="center"/>
              <w:rPr>
                <w:rFonts w:ascii="Times New Roman" w:hAnsi="Times New Roman" w:cs="Times New Roman"/>
                <w:color w:val="000000" w:themeColor="text1"/>
                <w:sz w:val="20"/>
                <w:szCs w:val="20"/>
              </w:rPr>
            </w:pPr>
            <w:bookmarkStart w:id="4" w:name="_Hlk203376743"/>
            <w:r w:rsidRPr="004835B9">
              <w:rPr>
                <w:rFonts w:ascii="Times New Roman" w:hAnsi="Times New Roman" w:cs="Times New Roman"/>
                <w:color w:val="000000" w:themeColor="text1"/>
                <w:sz w:val="20"/>
                <w:szCs w:val="20"/>
              </w:rPr>
              <w:t>1</w:t>
            </w:r>
          </w:p>
        </w:tc>
        <w:tc>
          <w:tcPr>
            <w:tcW w:w="1418" w:type="dxa"/>
            <w:vAlign w:val="center"/>
          </w:tcPr>
          <w:p w14:paraId="502C4B51" w14:textId="77777777" w:rsidR="00B470B5" w:rsidRPr="004835B9" w:rsidRDefault="00B470B5" w:rsidP="004B322D">
            <w:pPr>
              <w:ind w:left="-108" w:right="-110"/>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Centralidade no ser humano</w:t>
            </w:r>
          </w:p>
        </w:tc>
        <w:tc>
          <w:tcPr>
            <w:tcW w:w="2835" w:type="dxa"/>
            <w:vAlign w:val="center"/>
          </w:tcPr>
          <w:p w14:paraId="4E524063"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Valorização do trabalho humano, bem-estar e humanização da produção.</w:t>
            </w:r>
          </w:p>
        </w:tc>
        <w:tc>
          <w:tcPr>
            <w:tcW w:w="2835" w:type="dxa"/>
            <w:vAlign w:val="center"/>
          </w:tcPr>
          <w:p w14:paraId="447CE743" w14:textId="77777777" w:rsidR="00B470B5" w:rsidRPr="004835B9" w:rsidRDefault="00B470B5" w:rsidP="004B322D">
            <w:pPr>
              <w:ind w:left="-108" w:right="-107"/>
              <w:jc w:val="center"/>
              <w:rPr>
                <w:rFonts w:ascii="Times New Roman" w:hAnsi="Times New Roman" w:cs="Times New Roman"/>
                <w:color w:val="000000" w:themeColor="text1"/>
                <w:sz w:val="20"/>
                <w:szCs w:val="20"/>
                <w:lang w:val="de-DE"/>
              </w:rPr>
            </w:pPr>
            <w:r w:rsidRPr="004835B9">
              <w:rPr>
                <w:rFonts w:ascii="Times New Roman" w:hAnsi="Times New Roman" w:cs="Times New Roman"/>
                <w:color w:val="000000" w:themeColor="text1"/>
                <w:sz w:val="20"/>
                <w:szCs w:val="20"/>
                <w:lang w:val="de-DE"/>
              </w:rPr>
              <w:t>Monferdini, Tebaldi &amp; Bottani (2025);Lu et al.</w:t>
            </w:r>
            <w:r w:rsidRPr="004835B9">
              <w:rPr>
                <w:rFonts w:ascii="Times New Roman" w:hAnsi="Times New Roman" w:cs="Times New Roman"/>
                <w:color w:val="000000" w:themeColor="text1"/>
                <w:sz w:val="20"/>
                <w:szCs w:val="20"/>
              </w:rPr>
              <w:t xml:space="preserve"> (2022);</w:t>
            </w:r>
            <w:r w:rsidRPr="004835B9">
              <w:rPr>
                <w:rFonts w:ascii="Times New Roman" w:hAnsi="Times New Roman" w:cs="Times New Roman"/>
                <w:color w:val="000000" w:themeColor="text1"/>
                <w:sz w:val="20"/>
                <w:szCs w:val="20"/>
                <w:lang w:val="de-DE"/>
              </w:rPr>
              <w:t xml:space="preserve"> Xu et al. (2021); </w:t>
            </w:r>
            <w:r w:rsidRPr="004835B9">
              <w:rPr>
                <w:rFonts w:ascii="Times New Roman" w:hAnsi="Times New Roman" w:cs="Times New Roman"/>
                <w:color w:val="000000" w:themeColor="text1"/>
                <w:sz w:val="20"/>
                <w:szCs w:val="20"/>
              </w:rPr>
              <w:t>Zizic et al. (2022)</w:t>
            </w:r>
          </w:p>
        </w:tc>
        <w:tc>
          <w:tcPr>
            <w:tcW w:w="1134" w:type="dxa"/>
            <w:vAlign w:val="center"/>
          </w:tcPr>
          <w:p w14:paraId="06C0D241"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ODS 3, 4, 5, 8, 10</w:t>
            </w:r>
          </w:p>
        </w:tc>
      </w:tr>
      <w:tr w:rsidR="00B470B5" w:rsidRPr="004835B9" w14:paraId="5BFAAE23" w14:textId="77777777" w:rsidTr="004B322D">
        <w:trPr>
          <w:trHeight w:val="684"/>
        </w:trPr>
        <w:tc>
          <w:tcPr>
            <w:tcW w:w="704" w:type="dxa"/>
            <w:vAlign w:val="center"/>
          </w:tcPr>
          <w:p w14:paraId="1EC52383"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2</w:t>
            </w:r>
          </w:p>
        </w:tc>
        <w:tc>
          <w:tcPr>
            <w:tcW w:w="1418" w:type="dxa"/>
            <w:vAlign w:val="center"/>
          </w:tcPr>
          <w:p w14:paraId="0BF00FD1" w14:textId="77777777" w:rsidR="00B470B5" w:rsidRPr="004835B9" w:rsidRDefault="00B470B5" w:rsidP="004B322D">
            <w:pPr>
              <w:ind w:left="-108" w:right="-110"/>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Sustentabilidade ambiental</w:t>
            </w:r>
          </w:p>
        </w:tc>
        <w:tc>
          <w:tcPr>
            <w:tcW w:w="2835" w:type="dxa"/>
            <w:vAlign w:val="center"/>
          </w:tcPr>
          <w:p w14:paraId="139B7362"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Práticas industriais verdes, economia circular e responsabilidade ambiental.</w:t>
            </w:r>
          </w:p>
        </w:tc>
        <w:tc>
          <w:tcPr>
            <w:tcW w:w="2835" w:type="dxa"/>
            <w:vAlign w:val="center"/>
          </w:tcPr>
          <w:p w14:paraId="4DA641C1" w14:textId="77777777" w:rsidR="00B470B5" w:rsidRPr="004835B9" w:rsidRDefault="00B470B5" w:rsidP="004B322D">
            <w:pPr>
              <w:ind w:left="-108" w:right="-107"/>
              <w:jc w:val="center"/>
              <w:rPr>
                <w:rFonts w:ascii="Times New Roman" w:hAnsi="Times New Roman" w:cs="Times New Roman"/>
                <w:color w:val="000000" w:themeColor="text1"/>
                <w:sz w:val="20"/>
                <w:szCs w:val="20"/>
                <w:lang w:val="pt-BR"/>
              </w:rPr>
            </w:pPr>
            <w:proofErr w:type="spellStart"/>
            <w:r w:rsidRPr="004835B9">
              <w:rPr>
                <w:rFonts w:ascii="Times New Roman" w:hAnsi="Times New Roman" w:cs="Times New Roman"/>
                <w:color w:val="000000" w:themeColor="text1"/>
                <w:sz w:val="20"/>
                <w:szCs w:val="20"/>
                <w:lang w:val="pt-BR"/>
              </w:rPr>
              <w:t>Bai</w:t>
            </w:r>
            <w:proofErr w:type="spellEnd"/>
            <w:r w:rsidRPr="004835B9">
              <w:rPr>
                <w:rFonts w:ascii="Times New Roman" w:hAnsi="Times New Roman" w:cs="Times New Roman"/>
                <w:color w:val="000000" w:themeColor="text1"/>
                <w:sz w:val="20"/>
                <w:szCs w:val="20"/>
                <w:lang w:val="pt-BR"/>
              </w:rPr>
              <w:t xml:space="preserve"> et al. (2020);</w:t>
            </w:r>
          </w:p>
          <w:p w14:paraId="7E356A11" w14:textId="77777777" w:rsidR="00B470B5" w:rsidRPr="004835B9" w:rsidRDefault="00B470B5" w:rsidP="004B322D">
            <w:pPr>
              <w:ind w:left="-108" w:right="-107"/>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rPr>
              <w:t xml:space="preserve">Farias, Martins &amp; Cândido (2021); </w:t>
            </w:r>
            <w:r w:rsidRPr="004835B9">
              <w:rPr>
                <w:rFonts w:ascii="Times New Roman" w:hAnsi="Times New Roman" w:cs="Times New Roman"/>
                <w:color w:val="000000" w:themeColor="text1"/>
                <w:sz w:val="20"/>
                <w:szCs w:val="20"/>
                <w:lang w:val="pt-BR"/>
              </w:rPr>
              <w:t>Fraga-Lamas, Lopes</w:t>
            </w:r>
            <w:r w:rsidRPr="004835B9">
              <w:rPr>
                <w:rFonts w:ascii="Times New Roman" w:hAnsi="Times New Roman" w:cs="Times New Roman"/>
                <w:color w:val="000000" w:themeColor="text1"/>
                <w:sz w:val="20"/>
                <w:szCs w:val="20"/>
              </w:rPr>
              <w:t xml:space="preserve"> </w:t>
            </w:r>
            <w:r w:rsidRPr="004835B9">
              <w:rPr>
                <w:rFonts w:ascii="Times New Roman" w:hAnsi="Times New Roman" w:cs="Times New Roman"/>
                <w:color w:val="000000" w:themeColor="text1"/>
                <w:sz w:val="20"/>
                <w:szCs w:val="20"/>
                <w:lang w:val="pt-BR"/>
              </w:rPr>
              <w:t>&amp; Fernández-</w:t>
            </w:r>
            <w:proofErr w:type="spellStart"/>
            <w:r w:rsidRPr="004835B9">
              <w:rPr>
                <w:rFonts w:ascii="Times New Roman" w:hAnsi="Times New Roman" w:cs="Times New Roman"/>
                <w:color w:val="000000" w:themeColor="text1"/>
                <w:sz w:val="20"/>
                <w:szCs w:val="20"/>
                <w:lang w:val="pt-BR"/>
              </w:rPr>
              <w:t>Caramés</w:t>
            </w:r>
            <w:proofErr w:type="spellEnd"/>
            <w:r w:rsidRPr="004835B9">
              <w:rPr>
                <w:rFonts w:ascii="Times New Roman" w:hAnsi="Times New Roman" w:cs="Times New Roman"/>
                <w:color w:val="000000" w:themeColor="text1"/>
                <w:sz w:val="20"/>
                <w:szCs w:val="20"/>
                <w:lang w:val="pt-BR"/>
              </w:rPr>
              <w:t xml:space="preserve"> (2021</w:t>
            </w:r>
            <w:r w:rsidRPr="004835B9">
              <w:rPr>
                <w:rFonts w:ascii="Times New Roman" w:hAnsi="Times New Roman" w:cs="Times New Roman"/>
                <w:color w:val="000000" w:themeColor="text1"/>
                <w:sz w:val="20"/>
                <w:szCs w:val="20"/>
              </w:rPr>
              <w:t>)</w:t>
            </w:r>
          </w:p>
        </w:tc>
        <w:tc>
          <w:tcPr>
            <w:tcW w:w="1134" w:type="dxa"/>
            <w:vAlign w:val="center"/>
          </w:tcPr>
          <w:p w14:paraId="62331006"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ODS 7, 9, 12, 13</w:t>
            </w:r>
          </w:p>
        </w:tc>
      </w:tr>
      <w:tr w:rsidR="00B470B5" w:rsidRPr="004835B9" w14:paraId="517DF25D" w14:textId="77777777" w:rsidTr="004B322D">
        <w:tc>
          <w:tcPr>
            <w:tcW w:w="704" w:type="dxa"/>
            <w:vAlign w:val="center"/>
          </w:tcPr>
          <w:p w14:paraId="3AF76D80"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3</w:t>
            </w:r>
          </w:p>
        </w:tc>
        <w:tc>
          <w:tcPr>
            <w:tcW w:w="1418" w:type="dxa"/>
            <w:vAlign w:val="center"/>
          </w:tcPr>
          <w:p w14:paraId="413099D9" w14:textId="77777777" w:rsidR="00B470B5" w:rsidRPr="004835B9" w:rsidRDefault="00B470B5" w:rsidP="004B322D">
            <w:pPr>
              <w:ind w:left="-108" w:right="-110"/>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Ética na transformação digital</w:t>
            </w:r>
          </w:p>
        </w:tc>
        <w:tc>
          <w:tcPr>
            <w:tcW w:w="2835" w:type="dxa"/>
            <w:vAlign w:val="center"/>
          </w:tcPr>
          <w:p w14:paraId="008AE537"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Preocupações com privacidade, automação e uso responsável da tecnologia.</w:t>
            </w:r>
          </w:p>
        </w:tc>
        <w:tc>
          <w:tcPr>
            <w:tcW w:w="2835" w:type="dxa"/>
            <w:vAlign w:val="center"/>
          </w:tcPr>
          <w:p w14:paraId="6B88181D" w14:textId="77777777" w:rsidR="00B470B5" w:rsidRPr="004835B9" w:rsidRDefault="00B470B5" w:rsidP="004B322D">
            <w:pPr>
              <w:ind w:left="-108" w:right="-107"/>
              <w:jc w:val="center"/>
              <w:rPr>
                <w:rFonts w:ascii="Times New Roman" w:hAnsi="Times New Roman" w:cs="Times New Roman"/>
                <w:color w:val="000000" w:themeColor="text1"/>
                <w:sz w:val="20"/>
                <w:szCs w:val="20"/>
                <w:lang w:val="pt-BR"/>
              </w:rPr>
            </w:pPr>
            <w:proofErr w:type="spellStart"/>
            <w:proofErr w:type="gramStart"/>
            <w:r w:rsidRPr="004835B9">
              <w:rPr>
                <w:rFonts w:ascii="Times New Roman" w:hAnsi="Times New Roman" w:cs="Times New Roman"/>
                <w:color w:val="000000" w:themeColor="text1"/>
                <w:sz w:val="20"/>
                <w:szCs w:val="20"/>
                <w:lang w:val="pt-BR"/>
              </w:rPr>
              <w:t>Dossou</w:t>
            </w:r>
            <w:proofErr w:type="spellEnd"/>
            <w:r w:rsidRPr="004835B9">
              <w:rPr>
                <w:rFonts w:ascii="Times New Roman" w:hAnsi="Times New Roman" w:cs="Times New Roman"/>
                <w:color w:val="000000" w:themeColor="text1"/>
                <w:sz w:val="20"/>
                <w:szCs w:val="20"/>
              </w:rPr>
              <w:t xml:space="preserve">, </w:t>
            </w:r>
            <w:r w:rsidRPr="004835B9">
              <w:rPr>
                <w:rFonts w:ascii="Times New Roman" w:hAnsi="Times New Roman" w:cs="Times New Roman"/>
                <w:color w:val="000000" w:themeColor="text1"/>
                <w:sz w:val="20"/>
                <w:szCs w:val="20"/>
                <w:lang w:val="pt-BR"/>
              </w:rPr>
              <w:t xml:space="preserve"> Alvarez</w:t>
            </w:r>
            <w:proofErr w:type="gramEnd"/>
            <w:r w:rsidRPr="004835B9">
              <w:rPr>
                <w:rFonts w:ascii="Times New Roman" w:hAnsi="Times New Roman" w:cs="Times New Roman"/>
                <w:color w:val="000000" w:themeColor="text1"/>
                <w:sz w:val="20"/>
                <w:szCs w:val="20"/>
                <w:lang w:val="pt-BR"/>
              </w:rPr>
              <w:t>-de-</w:t>
            </w:r>
            <w:proofErr w:type="spellStart"/>
            <w:r w:rsidRPr="004835B9">
              <w:rPr>
                <w:rFonts w:ascii="Times New Roman" w:hAnsi="Times New Roman" w:cs="Times New Roman"/>
                <w:color w:val="000000" w:themeColor="text1"/>
                <w:sz w:val="20"/>
                <w:szCs w:val="20"/>
                <w:lang w:val="pt-BR"/>
              </w:rPr>
              <w:t>los</w:t>
            </w:r>
            <w:proofErr w:type="spellEnd"/>
            <w:r w:rsidRPr="004835B9">
              <w:rPr>
                <w:rFonts w:ascii="Times New Roman" w:hAnsi="Times New Roman" w:cs="Times New Roman"/>
                <w:color w:val="000000" w:themeColor="text1"/>
                <w:sz w:val="20"/>
                <w:szCs w:val="20"/>
                <w:lang w:val="pt-BR"/>
              </w:rPr>
              <w:t>-</w:t>
            </w:r>
            <w:proofErr w:type="spellStart"/>
            <w:r w:rsidRPr="004835B9">
              <w:rPr>
                <w:rFonts w:ascii="Times New Roman" w:hAnsi="Times New Roman" w:cs="Times New Roman"/>
                <w:color w:val="000000" w:themeColor="text1"/>
                <w:sz w:val="20"/>
                <w:szCs w:val="20"/>
                <w:lang w:val="pt-BR"/>
              </w:rPr>
              <w:t>Mozos</w:t>
            </w:r>
            <w:proofErr w:type="spellEnd"/>
            <w:r w:rsidRPr="004835B9">
              <w:rPr>
                <w:rFonts w:ascii="Times New Roman" w:hAnsi="Times New Roman" w:cs="Times New Roman"/>
                <w:color w:val="000000" w:themeColor="text1"/>
                <w:sz w:val="20"/>
                <w:szCs w:val="20"/>
                <w:lang w:val="pt-BR"/>
              </w:rPr>
              <w:t xml:space="preserve"> &amp; </w:t>
            </w:r>
            <w:proofErr w:type="spellStart"/>
            <w:r w:rsidRPr="004835B9">
              <w:rPr>
                <w:rFonts w:ascii="Times New Roman" w:hAnsi="Times New Roman" w:cs="Times New Roman"/>
                <w:color w:val="000000" w:themeColor="text1"/>
                <w:sz w:val="20"/>
                <w:szCs w:val="20"/>
                <w:lang w:val="pt-BR"/>
              </w:rPr>
              <w:t>Pawlewski</w:t>
            </w:r>
            <w:proofErr w:type="spellEnd"/>
            <w:r w:rsidRPr="004835B9">
              <w:rPr>
                <w:rFonts w:ascii="Times New Roman" w:hAnsi="Times New Roman" w:cs="Times New Roman"/>
                <w:color w:val="000000" w:themeColor="text1"/>
                <w:sz w:val="20"/>
                <w:szCs w:val="20"/>
                <w:lang w:val="pt-BR"/>
              </w:rPr>
              <w:t xml:space="preserve"> (2024); Gamboa-Rosales &amp; López-Robles (2022); </w:t>
            </w:r>
            <w:proofErr w:type="spellStart"/>
            <w:r w:rsidRPr="004835B9">
              <w:rPr>
                <w:rFonts w:ascii="Times New Roman" w:hAnsi="Times New Roman" w:cs="Times New Roman"/>
                <w:color w:val="000000" w:themeColor="text1"/>
                <w:sz w:val="20"/>
                <w:szCs w:val="20"/>
                <w:lang w:val="pt-BR"/>
              </w:rPr>
              <w:t>Xu</w:t>
            </w:r>
            <w:proofErr w:type="spellEnd"/>
            <w:r w:rsidRPr="004835B9">
              <w:rPr>
                <w:rFonts w:ascii="Times New Roman" w:hAnsi="Times New Roman" w:cs="Times New Roman"/>
                <w:color w:val="000000" w:themeColor="text1"/>
                <w:sz w:val="20"/>
                <w:szCs w:val="20"/>
                <w:lang w:val="pt-BR"/>
              </w:rPr>
              <w:t xml:space="preserve"> et al. (2024);</w:t>
            </w:r>
            <w:r w:rsidRPr="004835B9">
              <w:rPr>
                <w:rFonts w:ascii="Times New Roman" w:hAnsi="Times New Roman" w:cs="Times New Roman"/>
                <w:color w:val="000000" w:themeColor="text1"/>
                <w:sz w:val="20"/>
                <w:szCs w:val="20"/>
              </w:rPr>
              <w:t xml:space="preserve"> Tubis, </w:t>
            </w:r>
            <w:proofErr w:type="spellStart"/>
            <w:r w:rsidRPr="004835B9">
              <w:rPr>
                <w:rFonts w:ascii="Times New Roman" w:hAnsi="Times New Roman" w:cs="Times New Roman"/>
                <w:color w:val="000000" w:themeColor="text1"/>
                <w:sz w:val="20"/>
                <w:szCs w:val="20"/>
              </w:rPr>
              <w:t>Poturaj</w:t>
            </w:r>
            <w:proofErr w:type="spellEnd"/>
            <w:r w:rsidRPr="004835B9">
              <w:rPr>
                <w:rFonts w:ascii="Times New Roman" w:hAnsi="Times New Roman" w:cs="Times New Roman"/>
                <w:color w:val="000000" w:themeColor="text1"/>
                <w:sz w:val="20"/>
                <w:szCs w:val="20"/>
              </w:rPr>
              <w:t xml:space="preserve"> &amp; </w:t>
            </w:r>
            <w:proofErr w:type="spellStart"/>
            <w:r w:rsidRPr="004835B9">
              <w:rPr>
                <w:rFonts w:ascii="Times New Roman" w:hAnsi="Times New Roman" w:cs="Times New Roman"/>
                <w:color w:val="000000" w:themeColor="text1"/>
                <w:sz w:val="20"/>
                <w:szCs w:val="20"/>
              </w:rPr>
              <w:t>Smok</w:t>
            </w:r>
            <w:proofErr w:type="spellEnd"/>
            <w:r w:rsidRPr="004835B9">
              <w:rPr>
                <w:rFonts w:ascii="Times New Roman" w:hAnsi="Times New Roman" w:cs="Times New Roman"/>
                <w:color w:val="000000" w:themeColor="text1"/>
                <w:sz w:val="20"/>
                <w:szCs w:val="20"/>
              </w:rPr>
              <w:t xml:space="preserve"> (2024)</w:t>
            </w:r>
          </w:p>
        </w:tc>
        <w:tc>
          <w:tcPr>
            <w:tcW w:w="1134" w:type="dxa"/>
            <w:vAlign w:val="center"/>
          </w:tcPr>
          <w:p w14:paraId="5F120606"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ODS 9, 10, 16</w:t>
            </w:r>
          </w:p>
        </w:tc>
      </w:tr>
      <w:tr w:rsidR="00B470B5" w:rsidRPr="004835B9" w14:paraId="565F9358" w14:textId="77777777" w:rsidTr="004B322D">
        <w:tc>
          <w:tcPr>
            <w:tcW w:w="704" w:type="dxa"/>
            <w:vAlign w:val="center"/>
          </w:tcPr>
          <w:p w14:paraId="67C7BFFC"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4</w:t>
            </w:r>
          </w:p>
        </w:tc>
        <w:tc>
          <w:tcPr>
            <w:tcW w:w="1418" w:type="dxa"/>
            <w:vAlign w:val="center"/>
          </w:tcPr>
          <w:p w14:paraId="751D1D75"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lang w:val="pt-BR"/>
              </w:rPr>
              <w:t>Inclusão digital e equidade</w:t>
            </w:r>
          </w:p>
        </w:tc>
        <w:tc>
          <w:tcPr>
            <w:tcW w:w="2835" w:type="dxa"/>
            <w:vAlign w:val="center"/>
          </w:tcPr>
          <w:p w14:paraId="78FFF575" w14:textId="77777777" w:rsidR="00B470B5" w:rsidRPr="004835B9" w:rsidRDefault="00B470B5" w:rsidP="004B322D">
            <w:pPr>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lang w:val="pt-BR"/>
              </w:rPr>
              <w:t>Democratização do acesso tecnológico e redução das desigualdades.</w:t>
            </w:r>
          </w:p>
        </w:tc>
        <w:tc>
          <w:tcPr>
            <w:tcW w:w="2835" w:type="dxa"/>
            <w:vAlign w:val="center"/>
          </w:tcPr>
          <w:p w14:paraId="0E786F56" w14:textId="77777777" w:rsidR="00B470B5" w:rsidRPr="004835B9" w:rsidRDefault="00B470B5" w:rsidP="004B322D">
            <w:pPr>
              <w:ind w:left="-108" w:right="-107"/>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lang w:val="de-DE"/>
              </w:rPr>
              <w:t>Saniuk, Grabowska &amp; Straka (2022)</w:t>
            </w:r>
          </w:p>
        </w:tc>
        <w:tc>
          <w:tcPr>
            <w:tcW w:w="1134" w:type="dxa"/>
            <w:vAlign w:val="center"/>
          </w:tcPr>
          <w:p w14:paraId="3D53E406" w14:textId="77777777" w:rsidR="00B470B5" w:rsidRPr="004835B9" w:rsidRDefault="00B470B5" w:rsidP="004B322D">
            <w:pPr>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lang w:val="pt-BR"/>
              </w:rPr>
              <w:t>ODS 4, 5, 10</w:t>
            </w:r>
          </w:p>
        </w:tc>
      </w:tr>
      <w:tr w:rsidR="00B470B5" w:rsidRPr="004835B9" w14:paraId="1A67C883" w14:textId="77777777" w:rsidTr="004B322D">
        <w:tc>
          <w:tcPr>
            <w:tcW w:w="704" w:type="dxa"/>
            <w:vAlign w:val="center"/>
          </w:tcPr>
          <w:p w14:paraId="2BA476A7"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5</w:t>
            </w:r>
          </w:p>
        </w:tc>
        <w:tc>
          <w:tcPr>
            <w:tcW w:w="1418" w:type="dxa"/>
            <w:vAlign w:val="center"/>
          </w:tcPr>
          <w:p w14:paraId="5F68BCC8" w14:textId="77777777" w:rsidR="00B470B5" w:rsidRPr="004835B9" w:rsidRDefault="00B470B5" w:rsidP="004B322D">
            <w:pPr>
              <w:ind w:left="-108" w:right="-110"/>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Inovação colaborativa</w:t>
            </w:r>
          </w:p>
        </w:tc>
        <w:tc>
          <w:tcPr>
            <w:tcW w:w="2835" w:type="dxa"/>
            <w:vAlign w:val="center"/>
          </w:tcPr>
          <w:p w14:paraId="501F35DF"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Cocriação entre humanos e máquinas, inovação aberta e empática.</w:t>
            </w:r>
          </w:p>
        </w:tc>
        <w:tc>
          <w:tcPr>
            <w:tcW w:w="2835" w:type="dxa"/>
            <w:vAlign w:val="center"/>
          </w:tcPr>
          <w:p w14:paraId="58629775" w14:textId="77777777" w:rsidR="00B470B5" w:rsidRPr="004835B9" w:rsidRDefault="00B470B5" w:rsidP="004B322D">
            <w:pPr>
              <w:ind w:left="-108" w:right="-107"/>
              <w:jc w:val="center"/>
              <w:rPr>
                <w:rFonts w:ascii="Times New Roman" w:hAnsi="Times New Roman" w:cs="Times New Roman"/>
                <w:color w:val="000000" w:themeColor="text1"/>
                <w:sz w:val="20"/>
                <w:szCs w:val="20"/>
                <w:lang w:val="de-DE"/>
              </w:rPr>
            </w:pPr>
            <w:r w:rsidRPr="004835B9">
              <w:rPr>
                <w:rFonts w:ascii="Times New Roman" w:hAnsi="Times New Roman" w:cs="Times New Roman"/>
                <w:color w:val="000000" w:themeColor="text1"/>
                <w:sz w:val="20"/>
                <w:szCs w:val="20"/>
                <w:lang w:val="de-DE"/>
              </w:rPr>
              <w:t>Saniuk, Grabowska &amp; Straka (2022); Rao, Gohar &amp; Park (2022);</w:t>
            </w:r>
          </w:p>
          <w:p w14:paraId="59594F79" w14:textId="77777777" w:rsidR="00B470B5" w:rsidRPr="004835B9" w:rsidRDefault="00B470B5" w:rsidP="004B322D">
            <w:pPr>
              <w:ind w:left="-108" w:right="-107"/>
              <w:jc w:val="center"/>
              <w:rPr>
                <w:rFonts w:ascii="Times New Roman" w:hAnsi="Times New Roman" w:cs="Times New Roman"/>
                <w:color w:val="000000" w:themeColor="text1"/>
                <w:sz w:val="20"/>
                <w:szCs w:val="20"/>
                <w:lang w:val="de-DE"/>
              </w:rPr>
            </w:pPr>
            <w:r w:rsidRPr="004835B9">
              <w:rPr>
                <w:rFonts w:ascii="Times New Roman" w:hAnsi="Times New Roman" w:cs="Times New Roman"/>
                <w:color w:val="000000" w:themeColor="text1"/>
                <w:sz w:val="20"/>
                <w:szCs w:val="20"/>
              </w:rPr>
              <w:t>Ribeiro et al. (2019b).</w:t>
            </w:r>
          </w:p>
        </w:tc>
        <w:tc>
          <w:tcPr>
            <w:tcW w:w="1134" w:type="dxa"/>
            <w:vAlign w:val="center"/>
          </w:tcPr>
          <w:p w14:paraId="524ACB58"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ODS 8, 9, 17</w:t>
            </w:r>
          </w:p>
        </w:tc>
      </w:tr>
      <w:tr w:rsidR="00B470B5" w:rsidRPr="004835B9" w14:paraId="6E55D3D7" w14:textId="77777777" w:rsidTr="004B322D">
        <w:tc>
          <w:tcPr>
            <w:tcW w:w="704" w:type="dxa"/>
            <w:vAlign w:val="center"/>
          </w:tcPr>
          <w:p w14:paraId="1A83FF64"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6</w:t>
            </w:r>
          </w:p>
        </w:tc>
        <w:tc>
          <w:tcPr>
            <w:tcW w:w="1418" w:type="dxa"/>
            <w:vAlign w:val="center"/>
          </w:tcPr>
          <w:p w14:paraId="54E962D6" w14:textId="77777777" w:rsidR="00B470B5" w:rsidRPr="004835B9" w:rsidRDefault="00B470B5" w:rsidP="004B322D">
            <w:pPr>
              <w:ind w:left="-108" w:right="-110"/>
              <w:jc w:val="center"/>
              <w:rPr>
                <w:rFonts w:ascii="Times New Roman" w:hAnsi="Times New Roman" w:cs="Times New Roman"/>
                <w:color w:val="000000" w:themeColor="text1"/>
                <w:sz w:val="20"/>
                <w:szCs w:val="20"/>
                <w:lang w:val="pt-BR"/>
              </w:rPr>
            </w:pPr>
            <w:bookmarkStart w:id="5" w:name="_Hlk203396588"/>
            <w:r w:rsidRPr="004835B9">
              <w:rPr>
                <w:rFonts w:ascii="Times New Roman" w:hAnsi="Times New Roman" w:cs="Times New Roman"/>
                <w:color w:val="000000" w:themeColor="text1"/>
                <w:sz w:val="20"/>
                <w:szCs w:val="20"/>
                <w:lang w:val="pt-BR"/>
              </w:rPr>
              <w:t>Resiliência e adaptabilidade</w:t>
            </w:r>
            <w:bookmarkEnd w:id="5"/>
          </w:p>
        </w:tc>
        <w:tc>
          <w:tcPr>
            <w:tcW w:w="2835" w:type="dxa"/>
            <w:vAlign w:val="center"/>
          </w:tcPr>
          <w:p w14:paraId="18819ED6"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Capacidade de enfrentar crises e mudanças globais nas cadeias produtivas.</w:t>
            </w:r>
          </w:p>
        </w:tc>
        <w:tc>
          <w:tcPr>
            <w:tcW w:w="2835" w:type="dxa"/>
            <w:vAlign w:val="center"/>
          </w:tcPr>
          <w:p w14:paraId="3FB72B38" w14:textId="77777777" w:rsidR="00B470B5" w:rsidRPr="004835B9" w:rsidRDefault="00B470B5" w:rsidP="004B322D">
            <w:pPr>
              <w:jc w:val="center"/>
              <w:rPr>
                <w:rFonts w:ascii="Times New Roman" w:hAnsi="Times New Roman" w:cs="Times New Roman"/>
                <w:color w:val="000000" w:themeColor="text1"/>
                <w:sz w:val="20"/>
                <w:szCs w:val="20"/>
                <w:lang w:val="pt-BR"/>
              </w:rPr>
            </w:pPr>
            <w:proofErr w:type="spellStart"/>
            <w:r w:rsidRPr="004835B9">
              <w:rPr>
                <w:rFonts w:ascii="Times New Roman" w:hAnsi="Times New Roman" w:cs="Times New Roman"/>
                <w:color w:val="000000" w:themeColor="text1"/>
                <w:sz w:val="20"/>
                <w:szCs w:val="20"/>
              </w:rPr>
              <w:t>Akundi</w:t>
            </w:r>
            <w:proofErr w:type="spellEnd"/>
            <w:r w:rsidRPr="004835B9">
              <w:rPr>
                <w:rFonts w:ascii="Times New Roman" w:hAnsi="Times New Roman" w:cs="Times New Roman"/>
                <w:color w:val="000000" w:themeColor="text1"/>
                <w:sz w:val="20"/>
                <w:szCs w:val="20"/>
              </w:rPr>
              <w:t>,</w:t>
            </w:r>
            <w:r w:rsidRPr="004835B9">
              <w:rPr>
                <w:rFonts w:ascii="Times New Roman" w:hAnsi="Times New Roman" w:cs="Times New Roman"/>
                <w:color w:val="000000" w:themeColor="text1"/>
                <w:sz w:val="20"/>
                <w:szCs w:val="20"/>
                <w:lang w:val="de-DE"/>
              </w:rPr>
              <w:t xml:space="preserve"> et al. (2022); </w:t>
            </w:r>
            <w:r w:rsidRPr="004835B9">
              <w:rPr>
                <w:rFonts w:ascii="Times New Roman" w:hAnsi="Times New Roman" w:cs="Times New Roman"/>
                <w:sz w:val="20"/>
                <w:szCs w:val="20"/>
                <w:lang w:val="de-DE"/>
              </w:rPr>
              <w:t xml:space="preserve">Javaid et al. </w:t>
            </w:r>
            <w:r w:rsidRPr="004835B9">
              <w:rPr>
                <w:rFonts w:ascii="Times New Roman" w:hAnsi="Times New Roman" w:cs="Times New Roman"/>
                <w:sz w:val="20"/>
                <w:szCs w:val="20"/>
                <w:lang w:val="pt-BR"/>
              </w:rPr>
              <w:t xml:space="preserve">(2021); </w:t>
            </w:r>
            <w:r w:rsidRPr="004835B9">
              <w:rPr>
                <w:rFonts w:ascii="Times New Roman" w:hAnsi="Times New Roman" w:cs="Times New Roman"/>
                <w:color w:val="000000" w:themeColor="text1"/>
                <w:sz w:val="20"/>
                <w:szCs w:val="20"/>
              </w:rPr>
              <w:t>Jefroy, Azarian &amp; Yu (2022)</w:t>
            </w:r>
          </w:p>
        </w:tc>
        <w:tc>
          <w:tcPr>
            <w:tcW w:w="1134" w:type="dxa"/>
            <w:vAlign w:val="center"/>
          </w:tcPr>
          <w:p w14:paraId="7101D503"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ODS 8, 9, 11, 13</w:t>
            </w:r>
          </w:p>
        </w:tc>
      </w:tr>
      <w:tr w:rsidR="00B470B5" w:rsidRPr="004835B9" w14:paraId="2D7F9D1F" w14:textId="77777777" w:rsidTr="004B322D">
        <w:tc>
          <w:tcPr>
            <w:tcW w:w="704" w:type="dxa"/>
            <w:vAlign w:val="center"/>
          </w:tcPr>
          <w:p w14:paraId="6DACD3C4"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7</w:t>
            </w:r>
          </w:p>
        </w:tc>
        <w:tc>
          <w:tcPr>
            <w:tcW w:w="1418" w:type="dxa"/>
            <w:vAlign w:val="center"/>
          </w:tcPr>
          <w:p w14:paraId="1A44FF5D"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lang w:val="pt-BR"/>
              </w:rPr>
              <w:t>Personalização da produção</w:t>
            </w:r>
          </w:p>
        </w:tc>
        <w:tc>
          <w:tcPr>
            <w:tcW w:w="2835" w:type="dxa"/>
            <w:vAlign w:val="center"/>
          </w:tcPr>
          <w:p w14:paraId="640561AF" w14:textId="77777777" w:rsidR="00B470B5" w:rsidRPr="004835B9" w:rsidRDefault="00B470B5" w:rsidP="004B322D">
            <w:pPr>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lang w:val="pt-BR"/>
              </w:rPr>
              <w:t>Uso de tecnologias para adaptar a produção às necessidades individuais.</w:t>
            </w:r>
          </w:p>
        </w:tc>
        <w:tc>
          <w:tcPr>
            <w:tcW w:w="2835" w:type="dxa"/>
            <w:vAlign w:val="center"/>
          </w:tcPr>
          <w:p w14:paraId="3D815AAE" w14:textId="77777777" w:rsidR="00B470B5" w:rsidRPr="004835B9" w:rsidRDefault="00B470B5" w:rsidP="004B322D">
            <w:pPr>
              <w:ind w:left="-108" w:right="-107"/>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lang w:val="pt-BR"/>
              </w:rPr>
              <w:t xml:space="preserve">Gamboa-Rosales &amp; López-Robles (2022); </w:t>
            </w:r>
            <w:r w:rsidRPr="004835B9">
              <w:rPr>
                <w:rFonts w:ascii="Times New Roman" w:hAnsi="Times New Roman" w:cs="Times New Roman"/>
                <w:color w:val="000000" w:themeColor="text1"/>
                <w:sz w:val="20"/>
                <w:szCs w:val="20"/>
              </w:rPr>
              <w:t xml:space="preserve">Özdemir &amp; </w:t>
            </w:r>
            <w:proofErr w:type="spellStart"/>
            <w:r w:rsidRPr="004835B9">
              <w:rPr>
                <w:rFonts w:ascii="Times New Roman" w:hAnsi="Times New Roman" w:cs="Times New Roman"/>
                <w:color w:val="000000" w:themeColor="text1"/>
                <w:sz w:val="20"/>
                <w:szCs w:val="20"/>
              </w:rPr>
              <w:t>Hekim</w:t>
            </w:r>
            <w:proofErr w:type="spellEnd"/>
            <w:r w:rsidRPr="004835B9">
              <w:rPr>
                <w:rFonts w:ascii="Times New Roman" w:hAnsi="Times New Roman" w:cs="Times New Roman"/>
                <w:color w:val="000000" w:themeColor="text1"/>
                <w:sz w:val="20"/>
                <w:szCs w:val="20"/>
              </w:rPr>
              <w:t xml:space="preserve"> (2018); Silva &amp; Rech (2024)</w:t>
            </w:r>
          </w:p>
        </w:tc>
        <w:tc>
          <w:tcPr>
            <w:tcW w:w="1134" w:type="dxa"/>
            <w:vAlign w:val="center"/>
          </w:tcPr>
          <w:p w14:paraId="26809277" w14:textId="77777777" w:rsidR="00B470B5" w:rsidRPr="004835B9" w:rsidRDefault="00B470B5" w:rsidP="004B322D">
            <w:pPr>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lang w:val="pt-BR"/>
              </w:rPr>
              <w:t>ODS 9, 12</w:t>
            </w:r>
          </w:p>
        </w:tc>
      </w:tr>
      <w:tr w:rsidR="00B470B5" w:rsidRPr="004835B9" w14:paraId="0CC8C165" w14:textId="77777777" w:rsidTr="004B322D">
        <w:tc>
          <w:tcPr>
            <w:tcW w:w="704" w:type="dxa"/>
            <w:vAlign w:val="center"/>
          </w:tcPr>
          <w:p w14:paraId="13BB8974"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8</w:t>
            </w:r>
          </w:p>
        </w:tc>
        <w:tc>
          <w:tcPr>
            <w:tcW w:w="1418" w:type="dxa"/>
            <w:vAlign w:val="center"/>
          </w:tcPr>
          <w:p w14:paraId="1C94DCCB" w14:textId="77777777" w:rsidR="00B470B5" w:rsidRPr="004835B9" w:rsidRDefault="00B470B5" w:rsidP="004B322D">
            <w:pPr>
              <w:ind w:left="-108" w:right="-110"/>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Educação e requalificação profissional</w:t>
            </w:r>
          </w:p>
        </w:tc>
        <w:tc>
          <w:tcPr>
            <w:tcW w:w="2835" w:type="dxa"/>
            <w:vAlign w:val="center"/>
          </w:tcPr>
          <w:p w14:paraId="15E70D53"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Desenvolvimento contínuo de competências digitais e humanas.</w:t>
            </w:r>
          </w:p>
        </w:tc>
        <w:tc>
          <w:tcPr>
            <w:tcW w:w="2835" w:type="dxa"/>
            <w:vAlign w:val="center"/>
          </w:tcPr>
          <w:p w14:paraId="5BF6D7C2" w14:textId="77777777" w:rsidR="00B470B5" w:rsidRPr="004835B9" w:rsidRDefault="00B470B5" w:rsidP="004B322D">
            <w:pPr>
              <w:ind w:left="-108" w:right="-107"/>
              <w:jc w:val="center"/>
              <w:rPr>
                <w:rFonts w:ascii="Times New Roman" w:hAnsi="Times New Roman" w:cs="Times New Roman"/>
                <w:color w:val="000000" w:themeColor="text1"/>
                <w:sz w:val="20"/>
                <w:szCs w:val="20"/>
                <w:lang w:val="pt-BR"/>
              </w:rPr>
            </w:pPr>
            <w:proofErr w:type="spellStart"/>
            <w:r w:rsidRPr="004835B9">
              <w:rPr>
                <w:rFonts w:ascii="Times New Roman" w:hAnsi="Times New Roman" w:cs="Times New Roman"/>
                <w:color w:val="000000" w:themeColor="text1"/>
                <w:sz w:val="20"/>
                <w:szCs w:val="20"/>
                <w:lang w:val="pt-BR"/>
              </w:rPr>
              <w:t>Panza</w:t>
            </w:r>
            <w:proofErr w:type="spellEnd"/>
            <w:r w:rsidRPr="004835B9">
              <w:rPr>
                <w:rFonts w:ascii="Times New Roman" w:hAnsi="Times New Roman" w:cs="Times New Roman"/>
                <w:color w:val="000000" w:themeColor="text1"/>
                <w:sz w:val="20"/>
                <w:szCs w:val="20"/>
                <w:lang w:val="pt-BR"/>
              </w:rPr>
              <w:t xml:space="preserve">, Bruno &amp; Lombardi (2023); </w:t>
            </w:r>
            <w:proofErr w:type="spellStart"/>
            <w:r w:rsidRPr="004835B9">
              <w:rPr>
                <w:rFonts w:ascii="Times New Roman" w:hAnsi="Times New Roman" w:cs="Times New Roman"/>
                <w:color w:val="000000" w:themeColor="text1"/>
                <w:sz w:val="20"/>
                <w:szCs w:val="20"/>
                <w:lang w:val="pt-BR"/>
              </w:rPr>
              <w:t>Xu</w:t>
            </w:r>
            <w:proofErr w:type="spellEnd"/>
            <w:r w:rsidRPr="004835B9">
              <w:rPr>
                <w:rFonts w:ascii="Times New Roman" w:hAnsi="Times New Roman" w:cs="Times New Roman"/>
                <w:color w:val="000000" w:themeColor="text1"/>
                <w:sz w:val="20"/>
                <w:szCs w:val="20"/>
                <w:lang w:val="pt-BR"/>
              </w:rPr>
              <w:t xml:space="preserve"> et al. (2021)</w:t>
            </w:r>
          </w:p>
        </w:tc>
        <w:tc>
          <w:tcPr>
            <w:tcW w:w="1134" w:type="dxa"/>
            <w:vAlign w:val="center"/>
          </w:tcPr>
          <w:p w14:paraId="27C00691"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ODS 4, 8, 9</w:t>
            </w:r>
          </w:p>
        </w:tc>
      </w:tr>
      <w:tr w:rsidR="00B470B5" w:rsidRPr="004835B9" w14:paraId="11D604D3" w14:textId="77777777" w:rsidTr="004B322D">
        <w:tc>
          <w:tcPr>
            <w:tcW w:w="704" w:type="dxa"/>
            <w:vAlign w:val="center"/>
          </w:tcPr>
          <w:p w14:paraId="0CAFF591"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9</w:t>
            </w:r>
          </w:p>
        </w:tc>
        <w:tc>
          <w:tcPr>
            <w:tcW w:w="1418" w:type="dxa"/>
            <w:vAlign w:val="center"/>
          </w:tcPr>
          <w:p w14:paraId="556C8627" w14:textId="77777777" w:rsidR="00B470B5" w:rsidRPr="004835B9" w:rsidRDefault="00B470B5" w:rsidP="004B322D">
            <w:pPr>
              <w:ind w:left="-108" w:right="-110"/>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Governança e políticas públicas</w:t>
            </w:r>
          </w:p>
        </w:tc>
        <w:tc>
          <w:tcPr>
            <w:tcW w:w="2835" w:type="dxa"/>
            <w:vAlign w:val="center"/>
          </w:tcPr>
          <w:p w14:paraId="3F637523"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Alinhamento das práticas industriais às políticas nacionais e globais.</w:t>
            </w:r>
          </w:p>
        </w:tc>
        <w:tc>
          <w:tcPr>
            <w:tcW w:w="2835" w:type="dxa"/>
            <w:vAlign w:val="center"/>
          </w:tcPr>
          <w:p w14:paraId="659199ED" w14:textId="77777777" w:rsidR="00B470B5" w:rsidRPr="004835B9" w:rsidRDefault="00B470B5" w:rsidP="004B322D">
            <w:pPr>
              <w:ind w:left="-108" w:right="-107"/>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rPr>
              <w:t>Farias, Martins &amp; Cândido (2021);</w:t>
            </w:r>
            <w:r w:rsidRPr="004835B9">
              <w:rPr>
                <w:rFonts w:ascii="Times New Roman" w:hAnsi="Times New Roman" w:cs="Times New Roman"/>
                <w:color w:val="000000" w:themeColor="text1"/>
                <w:sz w:val="20"/>
                <w:szCs w:val="20"/>
                <w:lang w:val="pt-BR"/>
              </w:rPr>
              <w:t xml:space="preserve"> </w:t>
            </w:r>
            <w:proofErr w:type="spellStart"/>
            <w:r w:rsidRPr="004835B9">
              <w:rPr>
                <w:rFonts w:ascii="Times New Roman" w:hAnsi="Times New Roman" w:cs="Times New Roman"/>
                <w:color w:val="000000" w:themeColor="text1"/>
                <w:sz w:val="20"/>
                <w:szCs w:val="20"/>
                <w:lang w:val="pt-BR"/>
              </w:rPr>
              <w:t>Monferdini</w:t>
            </w:r>
            <w:proofErr w:type="spellEnd"/>
            <w:r w:rsidRPr="004835B9">
              <w:rPr>
                <w:rFonts w:ascii="Times New Roman" w:hAnsi="Times New Roman" w:cs="Times New Roman"/>
                <w:color w:val="000000" w:themeColor="text1"/>
                <w:sz w:val="20"/>
                <w:szCs w:val="20"/>
                <w:lang w:val="pt-BR"/>
              </w:rPr>
              <w:t xml:space="preserve">, Tebaldi &amp; </w:t>
            </w:r>
            <w:proofErr w:type="spellStart"/>
            <w:r w:rsidRPr="004835B9">
              <w:rPr>
                <w:rFonts w:ascii="Times New Roman" w:hAnsi="Times New Roman" w:cs="Times New Roman"/>
                <w:color w:val="000000" w:themeColor="text1"/>
                <w:sz w:val="20"/>
                <w:szCs w:val="20"/>
                <w:lang w:val="pt-BR"/>
              </w:rPr>
              <w:t>Bottani</w:t>
            </w:r>
            <w:proofErr w:type="spellEnd"/>
            <w:r w:rsidRPr="004835B9">
              <w:rPr>
                <w:rFonts w:ascii="Times New Roman" w:hAnsi="Times New Roman" w:cs="Times New Roman"/>
                <w:color w:val="000000" w:themeColor="text1"/>
                <w:sz w:val="20"/>
                <w:szCs w:val="20"/>
                <w:lang w:val="pt-BR"/>
              </w:rPr>
              <w:t xml:space="preserve"> (2025)</w:t>
            </w:r>
          </w:p>
        </w:tc>
        <w:tc>
          <w:tcPr>
            <w:tcW w:w="1134" w:type="dxa"/>
            <w:vAlign w:val="center"/>
          </w:tcPr>
          <w:p w14:paraId="1DCB0D9D"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ODS 9, 16, 17</w:t>
            </w:r>
          </w:p>
        </w:tc>
      </w:tr>
      <w:tr w:rsidR="00B470B5" w:rsidRPr="004835B9" w14:paraId="365AA3B8" w14:textId="77777777" w:rsidTr="004B322D">
        <w:tc>
          <w:tcPr>
            <w:tcW w:w="704" w:type="dxa"/>
            <w:vAlign w:val="center"/>
          </w:tcPr>
          <w:p w14:paraId="5A83BC63" w14:textId="77777777" w:rsidR="00B470B5" w:rsidRPr="004835B9" w:rsidRDefault="00B470B5" w:rsidP="004B322D">
            <w:pPr>
              <w:ind w:left="-108" w:right="-110"/>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lastRenderedPageBreak/>
              <w:t>10</w:t>
            </w:r>
          </w:p>
        </w:tc>
        <w:tc>
          <w:tcPr>
            <w:tcW w:w="1418" w:type="dxa"/>
            <w:vAlign w:val="center"/>
          </w:tcPr>
          <w:p w14:paraId="0ADF027A" w14:textId="77777777" w:rsidR="00B470B5" w:rsidRPr="004835B9" w:rsidRDefault="00B470B5" w:rsidP="004B322D">
            <w:pPr>
              <w:ind w:left="-108" w:right="-110"/>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Alinhamento com os ODS</w:t>
            </w:r>
          </w:p>
        </w:tc>
        <w:tc>
          <w:tcPr>
            <w:tcW w:w="2835" w:type="dxa"/>
            <w:vAlign w:val="center"/>
          </w:tcPr>
          <w:p w14:paraId="286EB400"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Integração da Indústria 5.0 com os princípios da Agenda 2030.</w:t>
            </w:r>
          </w:p>
        </w:tc>
        <w:tc>
          <w:tcPr>
            <w:tcW w:w="2835" w:type="dxa"/>
            <w:vAlign w:val="center"/>
          </w:tcPr>
          <w:p w14:paraId="39FC27E3" w14:textId="77777777" w:rsidR="00B470B5" w:rsidRPr="004835B9" w:rsidRDefault="00B470B5" w:rsidP="004B322D">
            <w:pPr>
              <w:ind w:left="-108" w:right="-107"/>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rPr>
              <w:t xml:space="preserve">Farias, Martins &amp; Cândido (2021); </w:t>
            </w:r>
            <w:proofErr w:type="spellStart"/>
            <w:r w:rsidRPr="004835B9">
              <w:rPr>
                <w:rFonts w:ascii="Times New Roman" w:hAnsi="Times New Roman" w:cs="Times New Roman"/>
                <w:color w:val="000000" w:themeColor="text1"/>
                <w:sz w:val="20"/>
                <w:szCs w:val="20"/>
                <w:lang w:val="pt-BR"/>
              </w:rPr>
              <w:t>Rame</w:t>
            </w:r>
            <w:proofErr w:type="spellEnd"/>
            <w:r w:rsidRPr="004835B9">
              <w:rPr>
                <w:rFonts w:ascii="Times New Roman" w:hAnsi="Times New Roman" w:cs="Times New Roman"/>
                <w:color w:val="000000" w:themeColor="text1"/>
                <w:sz w:val="20"/>
                <w:szCs w:val="20"/>
                <w:lang w:val="pt-BR"/>
              </w:rPr>
              <w:t xml:space="preserve">, </w:t>
            </w:r>
            <w:proofErr w:type="spellStart"/>
            <w:r w:rsidRPr="004835B9">
              <w:rPr>
                <w:rFonts w:ascii="Times New Roman" w:hAnsi="Times New Roman" w:cs="Times New Roman"/>
                <w:color w:val="000000" w:themeColor="text1"/>
                <w:sz w:val="20"/>
                <w:szCs w:val="20"/>
                <w:lang w:val="pt-BR"/>
              </w:rPr>
              <w:t>Purwanto</w:t>
            </w:r>
            <w:proofErr w:type="spellEnd"/>
            <w:r w:rsidRPr="004835B9">
              <w:rPr>
                <w:rFonts w:ascii="Times New Roman" w:hAnsi="Times New Roman" w:cs="Times New Roman"/>
                <w:color w:val="000000" w:themeColor="text1"/>
                <w:sz w:val="20"/>
                <w:szCs w:val="20"/>
                <w:lang w:val="pt-BR"/>
              </w:rPr>
              <w:t xml:space="preserve"> &amp; </w:t>
            </w:r>
            <w:proofErr w:type="spellStart"/>
            <w:r w:rsidRPr="004835B9">
              <w:rPr>
                <w:rFonts w:ascii="Times New Roman" w:hAnsi="Times New Roman" w:cs="Times New Roman"/>
                <w:color w:val="000000" w:themeColor="text1"/>
                <w:sz w:val="20"/>
                <w:szCs w:val="20"/>
                <w:lang w:val="pt-BR"/>
              </w:rPr>
              <w:t>Sudarno</w:t>
            </w:r>
            <w:proofErr w:type="spellEnd"/>
            <w:r w:rsidRPr="004835B9">
              <w:rPr>
                <w:rFonts w:ascii="Times New Roman" w:hAnsi="Times New Roman" w:cs="Times New Roman"/>
                <w:color w:val="000000" w:themeColor="text1"/>
                <w:sz w:val="20"/>
                <w:szCs w:val="20"/>
                <w:lang w:val="pt-BR"/>
              </w:rPr>
              <w:t xml:space="preserve"> (2024)</w:t>
            </w:r>
          </w:p>
        </w:tc>
        <w:tc>
          <w:tcPr>
            <w:tcW w:w="1134" w:type="dxa"/>
            <w:vAlign w:val="center"/>
          </w:tcPr>
          <w:p w14:paraId="1992F8AC" w14:textId="77777777" w:rsidR="00B470B5" w:rsidRPr="004835B9" w:rsidRDefault="00B470B5" w:rsidP="004B322D">
            <w:pPr>
              <w:jc w:val="center"/>
              <w:rPr>
                <w:rFonts w:ascii="Times New Roman" w:hAnsi="Times New Roman" w:cs="Times New Roman"/>
                <w:color w:val="000000" w:themeColor="text1"/>
                <w:sz w:val="20"/>
                <w:szCs w:val="20"/>
                <w:lang w:val="pt-BR"/>
              </w:rPr>
            </w:pPr>
            <w:r w:rsidRPr="004835B9">
              <w:rPr>
                <w:rFonts w:ascii="Times New Roman" w:hAnsi="Times New Roman" w:cs="Times New Roman"/>
                <w:color w:val="000000" w:themeColor="text1"/>
                <w:sz w:val="20"/>
                <w:szCs w:val="20"/>
                <w:lang w:val="pt-BR"/>
              </w:rPr>
              <w:t>ODS 4, 8, 9, 12, 13</w:t>
            </w:r>
          </w:p>
        </w:tc>
      </w:tr>
    </w:tbl>
    <w:bookmarkEnd w:id="4"/>
    <w:p w14:paraId="4E479D63" w14:textId="77777777" w:rsidR="00B470B5" w:rsidRPr="004835B9" w:rsidRDefault="00B470B5" w:rsidP="00B470B5">
      <w:pPr>
        <w:spacing w:line="240" w:lineRule="auto"/>
        <w:jc w:val="center"/>
        <w:rPr>
          <w:rFonts w:ascii="Times New Roman" w:hAnsi="Times New Roman" w:cs="Times New Roman"/>
          <w:color w:val="000000" w:themeColor="text1"/>
          <w:sz w:val="20"/>
          <w:szCs w:val="20"/>
        </w:rPr>
      </w:pPr>
      <w:r w:rsidRPr="004835B9">
        <w:rPr>
          <w:rFonts w:ascii="Times New Roman" w:hAnsi="Times New Roman" w:cs="Times New Roman"/>
          <w:color w:val="000000" w:themeColor="text1"/>
          <w:sz w:val="20"/>
          <w:szCs w:val="20"/>
        </w:rPr>
        <w:t>Fonte: Elaborado pelos autores, 2025.</w:t>
      </w:r>
    </w:p>
    <w:p w14:paraId="2C6DCD1C" w14:textId="77777777" w:rsidR="00B470B5" w:rsidRDefault="00B470B5" w:rsidP="00B470B5">
      <w:pPr>
        <w:spacing w:line="360" w:lineRule="auto"/>
        <w:ind w:firstLine="709"/>
        <w:jc w:val="both"/>
        <w:rPr>
          <w:rFonts w:ascii="Times New Roman" w:hAnsi="Times New Roman" w:cs="Times New Roman"/>
          <w:color w:val="000000" w:themeColor="text1"/>
          <w:sz w:val="24"/>
          <w:szCs w:val="24"/>
        </w:rPr>
      </w:pPr>
    </w:p>
    <w:p w14:paraId="0B628577"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Os dados apresentados no Quadro 2 evidenciam uma evolução na compreensão da Indústria 5.0, revelando seu alinhamento com os Objetivos de Desenvolvimento Sustentável (ODS), especialmente os de número 8 (trabalho decente), 9 (indústria e inovação), 10 (redução das desigualdades), 12 (produção responsável) e 13 (ação climática). </w:t>
      </w:r>
    </w:p>
    <w:p w14:paraId="5DA6D4FC"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A centralidade no ser humano, aliada a uma perspectiva ética, sustentável e colaborativa da inovação, sinaliza uma transição do paradigma puramente tecnológico para um modelo industrial mais equilibrado, orientado ao bem comum. Entre os achados mais expressivos destacam-se categorias como requalificação profissional, inclusão digital, sustentabilidade ambiental, inovação responsável e governança ética — todas fortemente articuladas com os compromissos da Agenda 2030. A convergência com o ODS 8 se manifesta na promoção do trabalho decente e na valorização das competências humanas em ambientes industriais mais colaborativos. O ODS 9 é atendido por meio da modernização das cadeias produtivas e do fortalecimento de infraestruturas resilientes. A personalização tecnológica e o foco na equidade contribuem diretamente para o ODS 10, ao ampliar o acesso a oportunidades e reduzir desigualdades. Práticas voltadas ao consumo consciente, à circularidade e à eficiência no uso de recursos reforçam o compromisso com o ODS 12. Por fim, a orientação ambiental da Indústria 5.0, ancorada em tecnologias verdes e na responsabilidade climática, fortalece ações voltadas ao ODS 13. Esses resultados evidenciam o potencial transformador da Indústria 5.0 na promoção de um desenvolvimento verdadeiramente sustentável, inclusivo e centrado em valores humanos.</w:t>
      </w:r>
    </w:p>
    <w:p w14:paraId="6445AE92" w14:textId="77777777" w:rsidR="00B470B5" w:rsidRPr="006F04E5" w:rsidRDefault="00B470B5" w:rsidP="00B470B5">
      <w:pPr>
        <w:spacing w:line="240" w:lineRule="auto"/>
        <w:jc w:val="both"/>
        <w:rPr>
          <w:rFonts w:ascii="Times New Roman" w:hAnsi="Times New Roman" w:cs="Times New Roman"/>
          <w:b/>
          <w:bCs/>
          <w:color w:val="000000" w:themeColor="text1"/>
          <w:sz w:val="24"/>
          <w:szCs w:val="24"/>
        </w:rPr>
      </w:pPr>
    </w:p>
    <w:p w14:paraId="60470DE0" w14:textId="77777777" w:rsidR="00B470B5" w:rsidRPr="00C9794D" w:rsidRDefault="00B470B5" w:rsidP="00B470B5">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4.2    </w:t>
      </w:r>
      <w:r w:rsidRPr="00C9794D">
        <w:rPr>
          <w:rFonts w:ascii="Times New Roman" w:eastAsia="Times New Roman" w:hAnsi="Times New Roman" w:cs="Times New Roman"/>
          <w:bCs/>
          <w:sz w:val="24"/>
          <w:szCs w:val="24"/>
        </w:rPr>
        <w:t>TRIANGULAÇÃO ENTRE LITERATURA E PERCEPÇÕES DE ESPECIALISTAS</w:t>
      </w:r>
    </w:p>
    <w:p w14:paraId="20EC275D" w14:textId="77777777" w:rsidR="00B470B5" w:rsidRPr="006F04E5" w:rsidRDefault="00B470B5" w:rsidP="00B470B5">
      <w:pPr>
        <w:pStyle w:val="PargrafodaLista"/>
        <w:spacing w:line="360" w:lineRule="auto"/>
        <w:ind w:left="0"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Com base nas entrevistas realizadas com 10 especialistas — entre gestores industriais, pesquisadores acadêmicos e profissionais da área de inovação tecnológica e sustentabilidade — foi possível aprofundar a análise dos achados da revisão sistemática da literatura (RSL) à luz da realidade prática. Esta triangulação entre teoria e prática permitiu validar e complementar os insights extraídos dos 20 artigos analisados. A utilização do </w:t>
      </w:r>
      <w:proofErr w:type="spellStart"/>
      <w:r w:rsidRPr="006F04E5">
        <w:rPr>
          <w:rFonts w:ascii="Times New Roman" w:hAnsi="Times New Roman" w:cs="Times New Roman"/>
          <w:color w:val="000000" w:themeColor="text1"/>
          <w:sz w:val="24"/>
          <w:szCs w:val="24"/>
        </w:rPr>
        <w:t>NVivo</w:t>
      </w:r>
      <w:proofErr w:type="spellEnd"/>
      <w:r w:rsidRPr="006F04E5">
        <w:rPr>
          <w:rFonts w:ascii="Times New Roman" w:hAnsi="Times New Roman" w:cs="Times New Roman"/>
          <w:color w:val="000000" w:themeColor="text1"/>
          <w:sz w:val="24"/>
          <w:szCs w:val="24"/>
        </w:rPr>
        <w:t xml:space="preserve"> fortaleceu a consistência metodológica da análise, permitindo uma codificação sistemática, o cruzamento entre categorias e a identificação de padrões e relações relevantes nos dados coletados. </w:t>
      </w:r>
    </w:p>
    <w:p w14:paraId="1EAEDE39" w14:textId="77777777" w:rsidR="00B470B5" w:rsidRPr="006F04E5" w:rsidRDefault="00B470B5" w:rsidP="00B470B5">
      <w:pPr>
        <w:spacing w:line="360" w:lineRule="auto"/>
        <w:ind w:firstLine="709"/>
        <w:contextualSpacing/>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lastRenderedPageBreak/>
        <w:t xml:space="preserve">Observa-se uma relação compatível entre as percepções práticas dos entrevistados e os princípios teóricos da Indústria 5.0, conforme apresentado a seguir, especialmente no que se refere à </w:t>
      </w:r>
      <w:r w:rsidRPr="006F04E5">
        <w:rPr>
          <w:rFonts w:ascii="Times New Roman" w:hAnsi="Times New Roman" w:cs="Times New Roman"/>
          <w:b/>
          <w:bCs/>
          <w:color w:val="000000" w:themeColor="text1"/>
          <w:sz w:val="24"/>
          <w:szCs w:val="24"/>
        </w:rPr>
        <w:t>humanização dos processos produtivos</w:t>
      </w:r>
      <w:r w:rsidRPr="006F04E5">
        <w:rPr>
          <w:rFonts w:ascii="Times New Roman" w:hAnsi="Times New Roman" w:cs="Times New Roman"/>
          <w:color w:val="000000" w:themeColor="text1"/>
          <w:sz w:val="24"/>
          <w:szCs w:val="24"/>
        </w:rPr>
        <w:t xml:space="preserve">, à </w:t>
      </w:r>
      <w:r w:rsidRPr="006F04E5">
        <w:rPr>
          <w:rFonts w:ascii="Times New Roman" w:hAnsi="Times New Roman" w:cs="Times New Roman"/>
          <w:b/>
          <w:bCs/>
          <w:color w:val="000000" w:themeColor="text1"/>
          <w:sz w:val="24"/>
          <w:szCs w:val="24"/>
        </w:rPr>
        <w:t>responsabilidade socioambiental</w:t>
      </w:r>
      <w:r w:rsidRPr="006F04E5">
        <w:rPr>
          <w:rFonts w:ascii="Times New Roman" w:hAnsi="Times New Roman" w:cs="Times New Roman"/>
          <w:color w:val="000000" w:themeColor="text1"/>
          <w:sz w:val="24"/>
          <w:szCs w:val="24"/>
        </w:rPr>
        <w:t xml:space="preserve"> e ao </w:t>
      </w:r>
      <w:r w:rsidRPr="006F04E5">
        <w:rPr>
          <w:rFonts w:ascii="Times New Roman" w:hAnsi="Times New Roman" w:cs="Times New Roman"/>
          <w:b/>
          <w:bCs/>
          <w:color w:val="000000" w:themeColor="text1"/>
          <w:sz w:val="24"/>
          <w:szCs w:val="24"/>
        </w:rPr>
        <w:t>papel estratégico da tecnologia na transformação sustentável das organizações</w:t>
      </w:r>
      <w:r w:rsidRPr="006F04E5">
        <w:rPr>
          <w:rFonts w:ascii="Times New Roman" w:hAnsi="Times New Roman" w:cs="Times New Roman"/>
          <w:color w:val="000000" w:themeColor="text1"/>
          <w:sz w:val="24"/>
          <w:szCs w:val="24"/>
        </w:rPr>
        <w:t>:</w:t>
      </w:r>
    </w:p>
    <w:p w14:paraId="358FF677" w14:textId="77777777" w:rsidR="00B470B5" w:rsidRPr="006F04E5" w:rsidRDefault="00B470B5" w:rsidP="00B470B5">
      <w:pPr>
        <w:pStyle w:val="PargrafodaLista"/>
        <w:numPr>
          <w:ilvl w:val="0"/>
          <w:numId w:val="7"/>
        </w:numPr>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Humanização e Personalização Industrial: A totalidade dos entrevistados (100%) destacou a importância de recolocar o ser humano no centro das decisões produtivas. Essa percepção alinha-se ao insight 1 (Quadro2</w:t>
      </w:r>
      <w:proofErr w:type="gramStart"/>
      <w:r w:rsidRPr="006F04E5">
        <w:rPr>
          <w:rFonts w:ascii="Times New Roman" w:hAnsi="Times New Roman" w:cs="Times New Roman"/>
          <w:color w:val="000000" w:themeColor="text1"/>
          <w:sz w:val="24"/>
          <w:szCs w:val="24"/>
        </w:rPr>
        <w:t>) ,</w:t>
      </w:r>
      <w:proofErr w:type="gramEnd"/>
      <w:r w:rsidRPr="006F04E5">
        <w:rPr>
          <w:rFonts w:ascii="Times New Roman" w:hAnsi="Times New Roman" w:cs="Times New Roman"/>
          <w:color w:val="000000" w:themeColor="text1"/>
          <w:sz w:val="24"/>
          <w:szCs w:val="24"/>
        </w:rPr>
        <w:t xml:space="preserve"> reforçando o potencial da Indústria 5.0 em promover condições de trabalho mais dignas, inclusivas e personalizadas (Gamboa-Rosales &amp; López-Robles, 2022; Silva &amp; Rech, 2024)).</w:t>
      </w:r>
    </w:p>
    <w:p w14:paraId="6EEF1130" w14:textId="77777777" w:rsidR="00B470B5" w:rsidRPr="006F04E5" w:rsidRDefault="00B470B5" w:rsidP="00B470B5">
      <w:pPr>
        <w:pStyle w:val="PargrafodaLista"/>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i/>
          <w:iCs/>
          <w:color w:val="000000" w:themeColor="text1"/>
          <w:sz w:val="24"/>
          <w:szCs w:val="24"/>
        </w:rPr>
        <w:t>“Não faz mais sentido pensar em fábricas inteligentes sem inteligência social. A personalização da produção precisa considerar valores humanos. Faltam políticas educacionais públicas inclusivas”</w:t>
      </w:r>
      <w:r w:rsidRPr="006F04E5">
        <w:rPr>
          <w:rFonts w:ascii="Times New Roman" w:hAnsi="Times New Roman" w:cs="Times New Roman"/>
          <w:color w:val="000000" w:themeColor="text1"/>
          <w:sz w:val="24"/>
          <w:szCs w:val="24"/>
        </w:rPr>
        <w:t xml:space="preserve"> (Entrevistado 4, gerente de inovação industrial).</w:t>
      </w:r>
    </w:p>
    <w:p w14:paraId="64735619" w14:textId="77777777" w:rsidR="00B470B5" w:rsidRPr="006F04E5" w:rsidRDefault="00B470B5" w:rsidP="00B470B5">
      <w:pPr>
        <w:pStyle w:val="PargrafodaLista"/>
        <w:numPr>
          <w:ilvl w:val="0"/>
          <w:numId w:val="7"/>
        </w:numPr>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Tecnologia com Propósito Social e Sustentável: Mais de 85% dos entrevistados afirmaram que as tecnologias emergentes (IA, robótica colaborativa, gêmeos digitais) devem ser utilizadas com foco na melhoria da qualidade de vida e na proteção ambiental, e não apenas na eficiência operacional — o que ratifica os insights 2 (Quadro2</w:t>
      </w:r>
      <w:proofErr w:type="gramStart"/>
      <w:r w:rsidRPr="006F04E5">
        <w:rPr>
          <w:rFonts w:ascii="Times New Roman" w:hAnsi="Times New Roman" w:cs="Times New Roman"/>
          <w:color w:val="000000" w:themeColor="text1"/>
          <w:sz w:val="24"/>
          <w:szCs w:val="24"/>
        </w:rPr>
        <w:t>)  (</w:t>
      </w:r>
      <w:proofErr w:type="spellStart"/>
      <w:r w:rsidRPr="006F04E5">
        <w:rPr>
          <w:rFonts w:ascii="Times New Roman" w:hAnsi="Times New Roman" w:cs="Times New Roman"/>
          <w:color w:val="000000" w:themeColor="text1"/>
          <w:sz w:val="24"/>
          <w:szCs w:val="24"/>
        </w:rPr>
        <w:t>Dossou</w:t>
      </w:r>
      <w:proofErr w:type="spellEnd"/>
      <w:r w:rsidRPr="006F04E5">
        <w:rPr>
          <w:rFonts w:ascii="Times New Roman" w:hAnsi="Times New Roman" w:cs="Times New Roman"/>
          <w:color w:val="000000" w:themeColor="text1"/>
          <w:sz w:val="24"/>
          <w:szCs w:val="24"/>
        </w:rPr>
        <w:t>,  Alvarez</w:t>
      </w:r>
      <w:proofErr w:type="gramEnd"/>
      <w:r w:rsidRPr="006F04E5">
        <w:rPr>
          <w:rFonts w:ascii="Times New Roman" w:hAnsi="Times New Roman" w:cs="Times New Roman"/>
          <w:color w:val="000000" w:themeColor="text1"/>
          <w:sz w:val="24"/>
          <w:szCs w:val="24"/>
        </w:rPr>
        <w:t>-de-</w:t>
      </w:r>
      <w:proofErr w:type="spellStart"/>
      <w:r w:rsidRPr="006F04E5">
        <w:rPr>
          <w:rFonts w:ascii="Times New Roman" w:hAnsi="Times New Roman" w:cs="Times New Roman"/>
          <w:color w:val="000000" w:themeColor="text1"/>
          <w:sz w:val="24"/>
          <w:szCs w:val="24"/>
        </w:rPr>
        <w:t>los</w:t>
      </w:r>
      <w:proofErr w:type="spellEnd"/>
      <w:r w:rsidRPr="006F04E5">
        <w:rPr>
          <w:rFonts w:ascii="Times New Roman" w:hAnsi="Times New Roman" w:cs="Times New Roman"/>
          <w:color w:val="000000" w:themeColor="text1"/>
          <w:sz w:val="24"/>
          <w:szCs w:val="24"/>
        </w:rPr>
        <w:t>-</w:t>
      </w:r>
      <w:proofErr w:type="spellStart"/>
      <w:r w:rsidRPr="006F04E5">
        <w:rPr>
          <w:rFonts w:ascii="Times New Roman" w:hAnsi="Times New Roman" w:cs="Times New Roman"/>
          <w:color w:val="000000" w:themeColor="text1"/>
          <w:sz w:val="24"/>
          <w:szCs w:val="24"/>
        </w:rPr>
        <w:t>Mozos</w:t>
      </w:r>
      <w:proofErr w:type="spellEnd"/>
      <w:r w:rsidRPr="006F04E5">
        <w:rPr>
          <w:rFonts w:ascii="Times New Roman" w:hAnsi="Times New Roman" w:cs="Times New Roman"/>
          <w:color w:val="000000" w:themeColor="text1"/>
          <w:sz w:val="24"/>
          <w:szCs w:val="24"/>
        </w:rPr>
        <w:t xml:space="preserve"> &amp; </w:t>
      </w:r>
      <w:proofErr w:type="spellStart"/>
      <w:r w:rsidRPr="006F04E5">
        <w:rPr>
          <w:rFonts w:ascii="Times New Roman" w:hAnsi="Times New Roman" w:cs="Times New Roman"/>
          <w:color w:val="000000" w:themeColor="text1"/>
          <w:sz w:val="24"/>
          <w:szCs w:val="24"/>
        </w:rPr>
        <w:t>Pawlewski</w:t>
      </w:r>
      <w:proofErr w:type="spellEnd"/>
      <w:r w:rsidRPr="006F04E5">
        <w:rPr>
          <w:rFonts w:ascii="Times New Roman" w:hAnsi="Times New Roman" w:cs="Times New Roman"/>
          <w:color w:val="000000" w:themeColor="text1"/>
          <w:sz w:val="24"/>
          <w:szCs w:val="24"/>
        </w:rPr>
        <w:t xml:space="preserve">, 2024; </w:t>
      </w:r>
      <w:proofErr w:type="spellStart"/>
      <w:r w:rsidRPr="006F04E5">
        <w:rPr>
          <w:rFonts w:ascii="Times New Roman" w:hAnsi="Times New Roman" w:cs="Times New Roman"/>
          <w:color w:val="000000" w:themeColor="text1"/>
          <w:sz w:val="24"/>
          <w:szCs w:val="24"/>
        </w:rPr>
        <w:t>European</w:t>
      </w:r>
      <w:proofErr w:type="spellEnd"/>
      <w:r w:rsidRPr="006F04E5">
        <w:rPr>
          <w:rFonts w:ascii="Times New Roman" w:hAnsi="Times New Roman" w:cs="Times New Roman"/>
          <w:color w:val="000000" w:themeColor="text1"/>
          <w:sz w:val="24"/>
          <w:szCs w:val="24"/>
        </w:rPr>
        <w:t xml:space="preserve"> Commission, 2021; Farias, Martins &amp; Cândido 2021).</w:t>
      </w:r>
    </w:p>
    <w:p w14:paraId="37BADA12" w14:textId="77777777" w:rsidR="00B470B5" w:rsidRPr="006F04E5" w:rsidRDefault="00B470B5" w:rsidP="00B470B5">
      <w:pPr>
        <w:pStyle w:val="PargrafodaLista"/>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i/>
          <w:iCs/>
          <w:color w:val="000000" w:themeColor="text1"/>
          <w:sz w:val="24"/>
          <w:szCs w:val="24"/>
        </w:rPr>
        <w:t>“A Indústria 5.0 não é só sobre tecnologia avançada, mas sobre responsabilidade social e regeneração ambiental”</w:t>
      </w:r>
      <w:r w:rsidRPr="006F04E5">
        <w:rPr>
          <w:rFonts w:ascii="Times New Roman" w:hAnsi="Times New Roman" w:cs="Times New Roman"/>
          <w:color w:val="000000" w:themeColor="text1"/>
          <w:sz w:val="24"/>
          <w:szCs w:val="24"/>
        </w:rPr>
        <w:t xml:space="preserve"> (Entrevistado 11, pesquisador em engenharia e sustentabilidade).</w:t>
      </w:r>
    </w:p>
    <w:p w14:paraId="164CA7FA" w14:textId="77777777" w:rsidR="00B470B5" w:rsidRPr="006F04E5" w:rsidRDefault="00B470B5" w:rsidP="00B470B5">
      <w:pPr>
        <w:pStyle w:val="PargrafodaLista"/>
        <w:numPr>
          <w:ilvl w:val="0"/>
          <w:numId w:val="7"/>
        </w:numPr>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Requalificação Profissional como Urgência: Outro ponto recorrente nas entrevistas foi a necessidade urgente de capacitação e requalificação profissional para lidar com os novos paradigmas industriais (insight 6 – Quadro 2). Especialistas apontam a lacuna educacional como um dos principais entraves para a adoção plena da Indústria 5.0 (</w:t>
      </w:r>
      <w:proofErr w:type="spellStart"/>
      <w:r w:rsidRPr="006F04E5">
        <w:rPr>
          <w:rFonts w:ascii="Times New Roman" w:hAnsi="Times New Roman" w:cs="Times New Roman"/>
          <w:color w:val="000000" w:themeColor="text1"/>
          <w:sz w:val="24"/>
          <w:szCs w:val="24"/>
        </w:rPr>
        <w:t>Panza</w:t>
      </w:r>
      <w:proofErr w:type="spellEnd"/>
      <w:r w:rsidRPr="006F04E5">
        <w:rPr>
          <w:rFonts w:ascii="Times New Roman" w:hAnsi="Times New Roman" w:cs="Times New Roman"/>
          <w:color w:val="000000" w:themeColor="text1"/>
          <w:sz w:val="24"/>
          <w:szCs w:val="24"/>
        </w:rPr>
        <w:t xml:space="preserve">, Bruno &amp; Lombardi, 2023; </w:t>
      </w:r>
      <w:proofErr w:type="spellStart"/>
      <w:r w:rsidRPr="006F04E5">
        <w:rPr>
          <w:rFonts w:ascii="Times New Roman" w:hAnsi="Times New Roman" w:cs="Times New Roman"/>
          <w:color w:val="000000" w:themeColor="text1"/>
          <w:sz w:val="24"/>
          <w:szCs w:val="24"/>
        </w:rPr>
        <w:t>Xu</w:t>
      </w:r>
      <w:proofErr w:type="spellEnd"/>
      <w:r w:rsidRPr="006F04E5">
        <w:rPr>
          <w:rFonts w:ascii="Times New Roman" w:hAnsi="Times New Roman" w:cs="Times New Roman"/>
          <w:color w:val="000000" w:themeColor="text1"/>
          <w:sz w:val="24"/>
          <w:szCs w:val="24"/>
        </w:rPr>
        <w:t xml:space="preserve"> et al., 2021).</w:t>
      </w:r>
    </w:p>
    <w:p w14:paraId="15D4E795" w14:textId="77777777" w:rsidR="00B470B5" w:rsidRPr="006F04E5" w:rsidRDefault="00B470B5" w:rsidP="00B470B5">
      <w:pPr>
        <w:pStyle w:val="PargrafodaLista"/>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i/>
          <w:iCs/>
          <w:color w:val="000000" w:themeColor="text1"/>
          <w:sz w:val="24"/>
          <w:szCs w:val="24"/>
        </w:rPr>
        <w:t>“Os trabalhadores precisam aprender não só a operar tecnologias, mas a colaborar com elas”</w:t>
      </w:r>
      <w:r w:rsidRPr="006F04E5">
        <w:rPr>
          <w:rFonts w:ascii="Times New Roman" w:hAnsi="Times New Roman" w:cs="Times New Roman"/>
          <w:color w:val="000000" w:themeColor="text1"/>
          <w:sz w:val="24"/>
          <w:szCs w:val="24"/>
        </w:rPr>
        <w:t xml:space="preserve"> (Entrevistado 9, consultor de transformação digital).</w:t>
      </w:r>
    </w:p>
    <w:p w14:paraId="23C4F6BA" w14:textId="77777777" w:rsidR="00B470B5" w:rsidRPr="006F04E5" w:rsidRDefault="00B470B5" w:rsidP="00B470B5">
      <w:pPr>
        <w:pStyle w:val="PargrafodaLista"/>
        <w:numPr>
          <w:ilvl w:val="0"/>
          <w:numId w:val="7"/>
        </w:numPr>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Regionalização, Resiliência e Produção Ética: Ao menos 75% dos participantes identificaram um movimento crescente de valorização da produção local, resiliente e adaptada a contextos sociais específicos — em total sintonia o insight 9 (Quadro 2) </w:t>
      </w:r>
      <w:proofErr w:type="gramStart"/>
      <w:r w:rsidRPr="006F04E5">
        <w:rPr>
          <w:rFonts w:ascii="Times New Roman" w:hAnsi="Times New Roman" w:cs="Times New Roman"/>
          <w:color w:val="000000" w:themeColor="text1"/>
          <w:sz w:val="24"/>
          <w:szCs w:val="24"/>
        </w:rPr>
        <w:t>com  diretrizes</w:t>
      </w:r>
      <w:proofErr w:type="gramEnd"/>
      <w:r w:rsidRPr="006F04E5">
        <w:rPr>
          <w:rFonts w:ascii="Times New Roman" w:hAnsi="Times New Roman" w:cs="Times New Roman"/>
          <w:color w:val="000000" w:themeColor="text1"/>
          <w:sz w:val="24"/>
          <w:szCs w:val="24"/>
        </w:rPr>
        <w:t xml:space="preserve"> do ODS 11 (Farias, Martins &amp; Cândido, 2021; </w:t>
      </w:r>
      <w:proofErr w:type="spellStart"/>
      <w:r w:rsidRPr="006F04E5">
        <w:rPr>
          <w:rFonts w:ascii="Times New Roman" w:hAnsi="Times New Roman" w:cs="Times New Roman"/>
          <w:color w:val="000000" w:themeColor="text1"/>
          <w:sz w:val="24"/>
          <w:szCs w:val="24"/>
        </w:rPr>
        <w:t>Monferdini</w:t>
      </w:r>
      <w:proofErr w:type="spellEnd"/>
      <w:r w:rsidRPr="006F04E5">
        <w:rPr>
          <w:rFonts w:ascii="Times New Roman" w:hAnsi="Times New Roman" w:cs="Times New Roman"/>
          <w:color w:val="000000" w:themeColor="text1"/>
          <w:sz w:val="24"/>
          <w:szCs w:val="24"/>
        </w:rPr>
        <w:t xml:space="preserve">, Tebaldi &amp; </w:t>
      </w:r>
      <w:proofErr w:type="spellStart"/>
      <w:r w:rsidRPr="006F04E5">
        <w:rPr>
          <w:rFonts w:ascii="Times New Roman" w:hAnsi="Times New Roman" w:cs="Times New Roman"/>
          <w:color w:val="000000" w:themeColor="text1"/>
          <w:sz w:val="24"/>
          <w:szCs w:val="24"/>
        </w:rPr>
        <w:t>Bottani</w:t>
      </w:r>
      <w:proofErr w:type="spellEnd"/>
      <w:r w:rsidRPr="006F04E5">
        <w:rPr>
          <w:rFonts w:ascii="Times New Roman" w:hAnsi="Times New Roman" w:cs="Times New Roman"/>
          <w:color w:val="000000" w:themeColor="text1"/>
          <w:sz w:val="24"/>
          <w:szCs w:val="24"/>
        </w:rPr>
        <w:t>, 2025).</w:t>
      </w:r>
    </w:p>
    <w:p w14:paraId="563A0EDE" w14:textId="77777777" w:rsidR="00B470B5" w:rsidRPr="006F04E5" w:rsidRDefault="00B470B5" w:rsidP="00B470B5">
      <w:pPr>
        <w:pStyle w:val="PargrafodaLista"/>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i/>
          <w:iCs/>
          <w:color w:val="000000" w:themeColor="text1"/>
          <w:sz w:val="24"/>
          <w:szCs w:val="24"/>
        </w:rPr>
        <w:lastRenderedPageBreak/>
        <w:t>“A pandemia nos mostrou que depender de cadeias globais longas é arriscado. A produção regional é o futuro”</w:t>
      </w:r>
      <w:r w:rsidRPr="006F04E5">
        <w:rPr>
          <w:rFonts w:ascii="Times New Roman" w:hAnsi="Times New Roman" w:cs="Times New Roman"/>
          <w:color w:val="000000" w:themeColor="text1"/>
          <w:sz w:val="24"/>
          <w:szCs w:val="24"/>
        </w:rPr>
        <w:t xml:space="preserve"> (Entrevistado 2, diretor de indústria).</w:t>
      </w:r>
    </w:p>
    <w:p w14:paraId="0C593790" w14:textId="77777777" w:rsidR="00B470B5" w:rsidRPr="006F04E5" w:rsidRDefault="00B470B5" w:rsidP="00B470B5">
      <w:pPr>
        <w:pStyle w:val="PargrafodaLista"/>
        <w:numPr>
          <w:ilvl w:val="0"/>
          <w:numId w:val="7"/>
        </w:numPr>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Obstáculos Éticos, Regulatórios e Estruturais: Por fim, as entrevistas revelaram preocupações éticas que ainda carecem de regulamentação: uso indevido de dados, desigualdade digital, concentração de poder tecnológico e automação excludente (Gamboa-Rosales &amp; López-Robles, 2022; </w:t>
      </w:r>
      <w:proofErr w:type="spellStart"/>
      <w:r w:rsidRPr="006F04E5">
        <w:rPr>
          <w:rFonts w:ascii="Times New Roman" w:hAnsi="Times New Roman" w:cs="Times New Roman"/>
          <w:color w:val="000000" w:themeColor="text1"/>
          <w:sz w:val="24"/>
          <w:szCs w:val="24"/>
        </w:rPr>
        <w:t>Xu</w:t>
      </w:r>
      <w:proofErr w:type="spellEnd"/>
      <w:r w:rsidRPr="006F04E5">
        <w:rPr>
          <w:rFonts w:ascii="Times New Roman" w:hAnsi="Times New Roman" w:cs="Times New Roman"/>
          <w:color w:val="000000" w:themeColor="text1"/>
          <w:sz w:val="24"/>
          <w:szCs w:val="24"/>
        </w:rPr>
        <w:t xml:space="preserve"> et al., 2024) – em conformidade com o insight 3 (Quadro 2).</w:t>
      </w:r>
    </w:p>
    <w:p w14:paraId="55B54BC7" w14:textId="77777777" w:rsidR="00B470B5" w:rsidRPr="006F04E5" w:rsidRDefault="00B470B5" w:rsidP="00B470B5">
      <w:pPr>
        <w:pStyle w:val="PargrafodaLista"/>
        <w:tabs>
          <w:tab w:val="left" w:pos="851"/>
        </w:tabs>
        <w:spacing w:line="360" w:lineRule="auto"/>
        <w:ind w:hanging="11"/>
        <w:jc w:val="both"/>
        <w:rPr>
          <w:rFonts w:ascii="Times New Roman" w:hAnsi="Times New Roman" w:cs="Times New Roman"/>
          <w:color w:val="000000" w:themeColor="text1"/>
          <w:sz w:val="24"/>
          <w:szCs w:val="24"/>
        </w:rPr>
      </w:pPr>
      <w:r w:rsidRPr="006F04E5">
        <w:rPr>
          <w:rFonts w:ascii="Times New Roman" w:hAnsi="Times New Roman" w:cs="Times New Roman"/>
          <w:i/>
          <w:iCs/>
          <w:color w:val="000000" w:themeColor="text1"/>
          <w:sz w:val="24"/>
          <w:szCs w:val="24"/>
        </w:rPr>
        <w:t>“Precisamos de marcos éticos sólidos para garantir que a Indústria 5.0 seja justa e inclusiva”</w:t>
      </w:r>
      <w:r w:rsidRPr="006F04E5">
        <w:rPr>
          <w:rFonts w:ascii="Times New Roman" w:hAnsi="Times New Roman" w:cs="Times New Roman"/>
          <w:color w:val="000000" w:themeColor="text1"/>
          <w:sz w:val="24"/>
          <w:szCs w:val="24"/>
        </w:rPr>
        <w:t xml:space="preserve"> (Entrevistado 17, advogado especialista em direito digital).</w:t>
      </w:r>
    </w:p>
    <w:p w14:paraId="2729018A" w14:textId="77777777" w:rsidR="00B470B5" w:rsidRPr="006F04E5" w:rsidRDefault="00B470B5" w:rsidP="00B470B5">
      <w:pPr>
        <w:tabs>
          <w:tab w:val="left" w:pos="851"/>
        </w:tabs>
        <w:spacing w:line="360" w:lineRule="auto"/>
        <w:ind w:hanging="11"/>
        <w:jc w:val="both"/>
        <w:rPr>
          <w:rFonts w:ascii="Times New Roman" w:hAnsi="Times New Roman" w:cs="Times New Roman"/>
          <w:color w:val="000000" w:themeColor="text1"/>
          <w:sz w:val="24"/>
          <w:szCs w:val="24"/>
        </w:rPr>
      </w:pPr>
    </w:p>
    <w:p w14:paraId="6B2CC25A"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A análise dos resultados evidencia que os princípios da Indústria 5.0 não são apenas desejáveis, mas percebidos como necessários pelos profissionais do setor. Entretanto, a efetiva implementação dessas diretrizes ainda enfrenta barreiras estruturais, educacionais e regulatórias.</w:t>
      </w:r>
    </w:p>
    <w:p w14:paraId="2F28F1E1"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O cruzamento entre os dados empíricos e a literatura científica indica que a Indústria 5.0 pode fortalecer diretamente os ODS, desde que haja investimentos em políticas públicas, educação técnica, governança ética e articulação multissetorial.</w:t>
      </w:r>
    </w:p>
    <w:p w14:paraId="50D40FE4" w14:textId="77777777" w:rsidR="00B470B5" w:rsidRPr="006F04E5" w:rsidRDefault="00B470B5" w:rsidP="00B470B5">
      <w:pPr>
        <w:spacing w:line="240" w:lineRule="auto"/>
        <w:jc w:val="both"/>
        <w:rPr>
          <w:rFonts w:ascii="Times New Roman" w:hAnsi="Times New Roman" w:cs="Times New Roman"/>
          <w:color w:val="000000" w:themeColor="text1"/>
          <w:sz w:val="24"/>
          <w:szCs w:val="24"/>
        </w:rPr>
      </w:pPr>
    </w:p>
    <w:p w14:paraId="72727EC8" w14:textId="77777777" w:rsidR="00B470B5" w:rsidRPr="00C9794D" w:rsidRDefault="00B470B5" w:rsidP="00B470B5">
      <w:pPr>
        <w:numPr>
          <w:ilvl w:val="0"/>
          <w:numId w:val="8"/>
        </w:numPr>
        <w:pBdr>
          <w:top w:val="nil"/>
          <w:left w:val="nil"/>
          <w:bottom w:val="nil"/>
          <w:right w:val="nil"/>
          <w:between w:val="nil"/>
        </w:pBdr>
        <w:spacing w:line="360" w:lineRule="auto"/>
        <w:ind w:left="426" w:hanging="284"/>
        <w:jc w:val="both"/>
        <w:rPr>
          <w:rFonts w:ascii="Times New Roman" w:eastAsia="Times New Roman" w:hAnsi="Times New Roman" w:cs="Times New Roman"/>
          <w:b/>
          <w:sz w:val="28"/>
          <w:szCs w:val="28"/>
        </w:rPr>
      </w:pPr>
      <w:r w:rsidRPr="00C9794D">
        <w:rPr>
          <w:rFonts w:ascii="Times New Roman" w:eastAsia="Times New Roman" w:hAnsi="Times New Roman" w:cs="Times New Roman"/>
          <w:b/>
          <w:sz w:val="28"/>
          <w:szCs w:val="28"/>
        </w:rPr>
        <w:t>CONSIDERAÇÕES FINAIS E IMPLICAÇÕES</w:t>
      </w:r>
    </w:p>
    <w:p w14:paraId="2D76C082" w14:textId="77777777" w:rsidR="00B470B5" w:rsidRPr="00C9794D" w:rsidRDefault="00B470B5" w:rsidP="00B470B5">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C9794D">
        <w:rPr>
          <w:rFonts w:ascii="Times New Roman" w:eastAsia="Times New Roman" w:hAnsi="Times New Roman" w:cs="Times New Roman"/>
          <w:bCs/>
          <w:sz w:val="24"/>
          <w:szCs w:val="24"/>
        </w:rPr>
        <w:t xml:space="preserve">5.1 </w:t>
      </w:r>
      <w:r>
        <w:rPr>
          <w:rFonts w:ascii="Times New Roman" w:eastAsia="Times New Roman" w:hAnsi="Times New Roman" w:cs="Times New Roman"/>
          <w:bCs/>
          <w:sz w:val="24"/>
          <w:szCs w:val="24"/>
        </w:rPr>
        <w:t xml:space="preserve">   </w:t>
      </w:r>
      <w:r w:rsidRPr="00C9794D">
        <w:rPr>
          <w:rFonts w:ascii="Times New Roman" w:eastAsia="Times New Roman" w:hAnsi="Times New Roman" w:cs="Times New Roman"/>
          <w:bCs/>
          <w:sz w:val="24"/>
          <w:szCs w:val="24"/>
        </w:rPr>
        <w:t>CONTRIBUIÇÃO DO TRABALHO</w:t>
      </w:r>
    </w:p>
    <w:p w14:paraId="3FC40CD3"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Este estudo teve como objetivo principal analisar o papel da Indústria 5.0 na promoção dos Objetivos de Desenvolvimento Sustentável (ODS), propostos pela Agenda 2030 da Organização das Nações Unidas (ONU). Para isso, a pesquisa combinou uma Revisão Sistemática da Literatura (RSL) com entrevistas qualitativas realizadas com especialistas das áreas industrial, tecnológica e acadêmica.</w:t>
      </w:r>
    </w:p>
    <w:p w14:paraId="5F2CCD12"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Todos os objetivos específicos propostos nesta pesquisa foram plenamente atendidos. O primeiro deles, voltado à identificação dos princípios fundamentais da Indústria 5.0, revelou, por meio da literatura e das entrevistas, três pilares centrais: humanização, sustentabilidade e inovação orientada ao bem comum. Quanto ao segundo objetivo, a sistematização de dez categorias temáticas, no Quadro 2, evidenciou uma relação direta entre esses princípios e os ODS, especialmente os de número 8 (trabalho decente), 9 (indústria e inovação), 10 (redução das desigualdades), 12 (produção responsável) e 13 (ação climática). </w:t>
      </w:r>
    </w:p>
    <w:p w14:paraId="54C4243F"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lastRenderedPageBreak/>
        <w:t xml:space="preserve">No que se refere à percepção dos especialistas, conforme o terceiro objetivo, observou-se ampla aceitação e aplicabilidade dos fundamentos da Indústria 5.0. No entanto, os entrevistados ressaltaram importantes barreiras para sua efetivação, como lacunas regulatórias, déficits educacionais e ausência de políticas públicas específicas. </w:t>
      </w:r>
    </w:p>
    <w:p w14:paraId="03AF76A2" w14:textId="77777777" w:rsidR="00B470B5" w:rsidRPr="006F04E5" w:rsidRDefault="00B470B5" w:rsidP="00B470B5">
      <w:pPr>
        <w:spacing w:line="240" w:lineRule="auto"/>
        <w:jc w:val="both"/>
        <w:rPr>
          <w:rFonts w:ascii="Times New Roman" w:hAnsi="Times New Roman" w:cs="Times New Roman"/>
          <w:b/>
          <w:bCs/>
          <w:color w:val="000000" w:themeColor="text1"/>
          <w:sz w:val="24"/>
          <w:szCs w:val="24"/>
        </w:rPr>
      </w:pPr>
    </w:p>
    <w:p w14:paraId="7D66CDFC" w14:textId="77777777" w:rsidR="00B470B5" w:rsidRPr="00C9794D" w:rsidRDefault="00B470B5" w:rsidP="00B470B5">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C9794D">
        <w:rPr>
          <w:rFonts w:ascii="Times New Roman" w:eastAsia="Times New Roman" w:hAnsi="Times New Roman" w:cs="Times New Roman"/>
          <w:bCs/>
          <w:sz w:val="24"/>
          <w:szCs w:val="24"/>
        </w:rPr>
        <w:t xml:space="preserve">5.2 </w:t>
      </w:r>
      <w:r>
        <w:rPr>
          <w:rFonts w:ascii="Times New Roman" w:eastAsia="Times New Roman" w:hAnsi="Times New Roman" w:cs="Times New Roman"/>
          <w:bCs/>
          <w:sz w:val="24"/>
          <w:szCs w:val="24"/>
        </w:rPr>
        <w:t xml:space="preserve">    </w:t>
      </w:r>
      <w:r w:rsidRPr="00C9794D">
        <w:rPr>
          <w:rFonts w:ascii="Times New Roman" w:eastAsia="Times New Roman" w:hAnsi="Times New Roman" w:cs="Times New Roman"/>
          <w:bCs/>
          <w:sz w:val="24"/>
          <w:szCs w:val="24"/>
        </w:rPr>
        <w:t>IMPLICAÇÕES TEÓRICAS E PRÁTICAS</w:t>
      </w:r>
    </w:p>
    <w:p w14:paraId="6BF93208"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O artigo oferece implicações relevantes em três dimensões. No </w:t>
      </w:r>
      <w:r w:rsidRPr="006F04E5">
        <w:rPr>
          <w:rFonts w:ascii="Times New Roman" w:hAnsi="Times New Roman" w:cs="Times New Roman"/>
          <w:b/>
          <w:bCs/>
          <w:color w:val="000000" w:themeColor="text1"/>
          <w:sz w:val="24"/>
          <w:szCs w:val="24"/>
        </w:rPr>
        <w:t>plano teórico</w:t>
      </w:r>
      <w:r w:rsidRPr="006F04E5">
        <w:rPr>
          <w:rFonts w:ascii="Times New Roman" w:hAnsi="Times New Roman" w:cs="Times New Roman"/>
          <w:color w:val="000000" w:themeColor="text1"/>
          <w:sz w:val="24"/>
          <w:szCs w:val="24"/>
        </w:rPr>
        <w:t xml:space="preserve">, organiza e sistematiza os principais fundamentos da Indústria 5.0, promovendo avanços conceituais ao distingui-la de sua antecessora e ao evidenciar sua conexão com os ODS. A categorização proposta serve como referência para novos estudos e debates. </w:t>
      </w:r>
      <w:r w:rsidRPr="006F04E5">
        <w:rPr>
          <w:rFonts w:ascii="Times New Roman" w:hAnsi="Times New Roman" w:cs="Times New Roman"/>
          <w:b/>
          <w:bCs/>
          <w:color w:val="000000" w:themeColor="text1"/>
          <w:sz w:val="24"/>
          <w:szCs w:val="24"/>
        </w:rPr>
        <w:t>Metodologicamente</w:t>
      </w:r>
      <w:r w:rsidRPr="006F04E5">
        <w:rPr>
          <w:rFonts w:ascii="Times New Roman" w:hAnsi="Times New Roman" w:cs="Times New Roman"/>
          <w:color w:val="000000" w:themeColor="text1"/>
          <w:sz w:val="24"/>
          <w:szCs w:val="24"/>
        </w:rPr>
        <w:t xml:space="preserve">, a articulação entre RSL e entrevistas qualificadas proporcionou uma análise triangulada, que fortalece a confiabilidade dos resultados e amplia a compreensão crítica do fenômeno. No plano </w:t>
      </w:r>
      <w:r w:rsidRPr="006F04E5">
        <w:rPr>
          <w:rFonts w:ascii="Times New Roman" w:hAnsi="Times New Roman" w:cs="Times New Roman"/>
          <w:b/>
          <w:bCs/>
          <w:color w:val="000000" w:themeColor="text1"/>
          <w:sz w:val="24"/>
          <w:szCs w:val="24"/>
        </w:rPr>
        <w:t>prático</w:t>
      </w:r>
      <w:r w:rsidRPr="006F04E5">
        <w:rPr>
          <w:rFonts w:ascii="Times New Roman" w:hAnsi="Times New Roman" w:cs="Times New Roman"/>
          <w:color w:val="000000" w:themeColor="text1"/>
          <w:sz w:val="24"/>
          <w:szCs w:val="24"/>
        </w:rPr>
        <w:t>, o estudo fornece subsídios importantes para estudos futuros para formulação de políticas públicas, estratégias empresariais e programas educacionais, contribuindo com recomendações aplicáveis para diferentes atores sociais.</w:t>
      </w:r>
    </w:p>
    <w:p w14:paraId="520155EA"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Esses achados reforçam a urgência de uma abordagem integrada entre inovação tecnológica e justiça social, reconhecendo a Indústria 5.0 não apenas como uma nova etapa do desenvolvimento industrial, mas como uma oportunidade concreta de alinhar a produção às demandas éticas, humanas e sustentáveis do século XXI. Ao promover modelos produtivos mais resilientes, inclusivos e responsáveis, a Indústria 5.0 fortalece sua posição como vetor estratégico para a concretização dos ODS. No entanto, sua plena efetivação exigirá esforços conjuntos, envolvendo políticas públicas consistentes, investimentos em capacitação técnica, reestruturações curriculares e marcos regulatórios éticos. A colaboração entre governos, empresas, universidades e sociedade civil será essencial para viabilizar essa transição para uma indústria orientada não apenas pela eficiência, mas por valores humanistas e sustentáveis.</w:t>
      </w:r>
    </w:p>
    <w:p w14:paraId="1849D956" w14:textId="77777777" w:rsidR="00B470B5" w:rsidRPr="006F04E5" w:rsidRDefault="00B470B5" w:rsidP="00B470B5">
      <w:pPr>
        <w:spacing w:line="240" w:lineRule="auto"/>
        <w:jc w:val="both"/>
        <w:rPr>
          <w:rFonts w:ascii="Times New Roman" w:hAnsi="Times New Roman" w:cs="Times New Roman"/>
          <w:color w:val="000000" w:themeColor="text1"/>
          <w:sz w:val="24"/>
          <w:szCs w:val="24"/>
        </w:rPr>
      </w:pPr>
    </w:p>
    <w:p w14:paraId="64237E39" w14:textId="77777777" w:rsidR="00B470B5" w:rsidRPr="00C9794D" w:rsidRDefault="00B470B5" w:rsidP="00B470B5">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C9794D">
        <w:rPr>
          <w:rFonts w:ascii="Times New Roman" w:eastAsia="Times New Roman" w:hAnsi="Times New Roman" w:cs="Times New Roman"/>
          <w:bCs/>
          <w:sz w:val="24"/>
          <w:szCs w:val="24"/>
        </w:rPr>
        <w:t>5.3 IMPLICAÇÕES GERENCIAIS</w:t>
      </w:r>
    </w:p>
    <w:p w14:paraId="40AE4393"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 xml:space="preserve">Os resultados indicam que a Indústria 5.0 representa uma ruptura significativa em relação à lógica mecanicista e estritamente tecnológica da Indústria 4.0. Em seu lugar, consolida-se uma abordagem mais ética, sustentável, colaborativa e centrada no ser humano. A integração de tecnologias avançadas — como inteligência artificial, e robótica colaborativa — deixa de ser um fim em si mesma e passa a ser orientada por propósitos sociais e ambientais. Nesse contexto, a indústria deixa de ocupar uma posição neutra e assume um papel estratégico na promoção do desenvolvimento sustentável. Conclui-se, assim, que a Indústria 5.0 não </w:t>
      </w:r>
      <w:r w:rsidRPr="006F04E5">
        <w:rPr>
          <w:rFonts w:ascii="Times New Roman" w:hAnsi="Times New Roman" w:cs="Times New Roman"/>
          <w:color w:val="000000" w:themeColor="text1"/>
          <w:sz w:val="24"/>
          <w:szCs w:val="24"/>
        </w:rPr>
        <w:lastRenderedPageBreak/>
        <w:t>representa apenas um avanço tecnológico, mas sim uma mudança de paradigma sociotécnico voltada à produção com propósito, que respeita os limites do planeta e promove o bem-estar coletivo. Sua consolidação, no entanto, dependerá da cooperação entre setores público e privado, da justiça social e de uma governança ética e responsável da inovação.</w:t>
      </w:r>
    </w:p>
    <w:p w14:paraId="78632355" w14:textId="77777777" w:rsidR="00B470B5" w:rsidRPr="006F04E5" w:rsidRDefault="00B470B5" w:rsidP="00B470B5">
      <w:pPr>
        <w:spacing w:line="360" w:lineRule="auto"/>
        <w:jc w:val="both"/>
        <w:rPr>
          <w:rFonts w:ascii="Times New Roman" w:hAnsi="Times New Roman" w:cs="Times New Roman"/>
          <w:color w:val="000000" w:themeColor="text1"/>
          <w:sz w:val="24"/>
          <w:szCs w:val="24"/>
        </w:rPr>
      </w:pPr>
    </w:p>
    <w:p w14:paraId="0E4F7848" w14:textId="77777777" w:rsidR="00B470B5" w:rsidRPr="00C9794D" w:rsidRDefault="00B470B5" w:rsidP="00B470B5">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C9794D">
        <w:rPr>
          <w:rFonts w:ascii="Times New Roman" w:eastAsia="Times New Roman" w:hAnsi="Times New Roman" w:cs="Times New Roman"/>
          <w:bCs/>
          <w:sz w:val="24"/>
          <w:szCs w:val="24"/>
        </w:rPr>
        <w:t>5.4 LIMITAÇÕES DA PESQUISA E ESTUDOS FUTUROS</w:t>
      </w:r>
    </w:p>
    <w:p w14:paraId="19C61423"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Apesar das contribuições e implicações alcançadas, este estudo apresenta limitações que devem ser consideradas. A principal delas refere-se ao caráter qualitativo da pesquisa, restrito à análise de um corpus específico de estudos e à percepção de um grupo delimitado de especialistas. Essa limitação reduz a possibilidade de generalização dos resultados para outros contextos. Além disso, o recorte temporal (2019–2024) pode ter excluído contribuições anteriores ou mais recentes sobre o tema. Também não foram utilizados dados quantitativos que permitissem medir objetivamente o impacto das práticas da Indústria 5.0 sobre os ODS.</w:t>
      </w:r>
    </w:p>
    <w:p w14:paraId="5EFF3C1C" w14:textId="77777777" w:rsidR="00B470B5" w:rsidRPr="006F04E5" w:rsidRDefault="00B470B5" w:rsidP="00B470B5">
      <w:pPr>
        <w:spacing w:line="360" w:lineRule="auto"/>
        <w:ind w:firstLine="709"/>
        <w:jc w:val="both"/>
        <w:rPr>
          <w:rFonts w:ascii="Times New Roman" w:hAnsi="Times New Roman" w:cs="Times New Roman"/>
          <w:color w:val="000000" w:themeColor="text1"/>
          <w:sz w:val="24"/>
          <w:szCs w:val="24"/>
        </w:rPr>
      </w:pPr>
      <w:r w:rsidRPr="006F04E5">
        <w:rPr>
          <w:rFonts w:ascii="Times New Roman" w:hAnsi="Times New Roman" w:cs="Times New Roman"/>
          <w:color w:val="000000" w:themeColor="text1"/>
          <w:sz w:val="24"/>
          <w:szCs w:val="24"/>
        </w:rPr>
        <w:t>Diante disso, diversas possibilidades se abrem para pesquisas futuras. Sugere-se, por exemplo, a realização de estudos comparativos entre países, com foco nas políticas públicas que fomentam a adoção da Indústria 5.0 em sinergia com a Agenda 2030. Investigações empíricas com empresas que já adotam tais práticas também são recomendadas, a fim de mensurar seus impactos reais nos indicadores de sustentabilidade. Além disso, há uma lacuna importante na criação de indicadores específicos para avaliar o grau de maturidade organizacional quanto à implementação dos princípios da Indústria 5.0, o que pode fortalecer diagnósticos e orientar estratégias de transformação mais eficazes.</w:t>
      </w:r>
    </w:p>
    <w:p w14:paraId="00B1DD43" w14:textId="77777777" w:rsidR="00B470B5" w:rsidRPr="006F04E5" w:rsidRDefault="00B470B5" w:rsidP="00B470B5">
      <w:pPr>
        <w:spacing w:line="240" w:lineRule="auto"/>
        <w:jc w:val="both"/>
        <w:rPr>
          <w:rFonts w:ascii="Times New Roman" w:hAnsi="Times New Roman" w:cs="Times New Roman"/>
          <w:color w:val="000000" w:themeColor="text1"/>
          <w:sz w:val="24"/>
          <w:szCs w:val="24"/>
        </w:rPr>
      </w:pPr>
    </w:p>
    <w:p w14:paraId="4281F3B6" w14:textId="77777777" w:rsidR="00B470B5" w:rsidRPr="00C9794D" w:rsidRDefault="00B470B5" w:rsidP="00B470B5">
      <w:pPr>
        <w:numPr>
          <w:ilvl w:val="0"/>
          <w:numId w:val="8"/>
        </w:numPr>
        <w:pBdr>
          <w:top w:val="nil"/>
          <w:left w:val="nil"/>
          <w:bottom w:val="nil"/>
          <w:right w:val="nil"/>
          <w:between w:val="nil"/>
        </w:pBdr>
        <w:spacing w:line="360" w:lineRule="auto"/>
        <w:ind w:left="426" w:hanging="284"/>
        <w:jc w:val="both"/>
        <w:rPr>
          <w:rFonts w:ascii="Times New Roman" w:eastAsia="Times New Roman" w:hAnsi="Times New Roman" w:cs="Times New Roman"/>
          <w:b/>
          <w:sz w:val="28"/>
          <w:szCs w:val="28"/>
        </w:rPr>
      </w:pPr>
      <w:r w:rsidRPr="00C9794D">
        <w:rPr>
          <w:rFonts w:ascii="Times New Roman" w:eastAsia="Times New Roman" w:hAnsi="Times New Roman" w:cs="Times New Roman"/>
          <w:b/>
          <w:sz w:val="28"/>
          <w:szCs w:val="28"/>
        </w:rPr>
        <w:t>REFERÊNCIAS</w:t>
      </w:r>
    </w:p>
    <w:p w14:paraId="0E6F5295" w14:textId="77777777" w:rsidR="00B470B5" w:rsidRDefault="00B470B5" w:rsidP="00B470B5">
      <w:pPr>
        <w:pStyle w:val="NormalWeb"/>
        <w:spacing w:afterLines="100" w:after="240"/>
        <w:rPr>
          <w:color w:val="000000"/>
        </w:rPr>
      </w:pPr>
      <w:r>
        <w:rPr>
          <w:color w:val="000000"/>
        </w:rPr>
        <w:t xml:space="preserve">ALAVI, M.; LEIDNER, D. E. </w:t>
      </w:r>
      <w:proofErr w:type="spellStart"/>
      <w:r>
        <w:rPr>
          <w:color w:val="000000"/>
        </w:rPr>
        <w:t>Knowledge</w:t>
      </w:r>
      <w:proofErr w:type="spellEnd"/>
      <w:r>
        <w:rPr>
          <w:color w:val="000000"/>
        </w:rPr>
        <w:t xml:space="preserve"> Management </w:t>
      </w:r>
      <w:proofErr w:type="spellStart"/>
      <w:r>
        <w:rPr>
          <w:color w:val="000000"/>
        </w:rPr>
        <w:t>and</w:t>
      </w:r>
      <w:proofErr w:type="spellEnd"/>
      <w:r>
        <w:rPr>
          <w:color w:val="000000"/>
        </w:rPr>
        <w:t xml:space="preserve"> </w:t>
      </w:r>
      <w:proofErr w:type="spellStart"/>
      <w:r>
        <w:rPr>
          <w:color w:val="000000"/>
        </w:rPr>
        <w:t>Knowledge</w:t>
      </w:r>
      <w:proofErr w:type="spellEnd"/>
      <w:r>
        <w:rPr>
          <w:color w:val="000000"/>
        </w:rPr>
        <w:t xml:space="preserve"> Management Systems: Conceptual </w:t>
      </w:r>
      <w:proofErr w:type="spellStart"/>
      <w:r>
        <w:rPr>
          <w:color w:val="000000"/>
        </w:rPr>
        <w:t>Foundations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Research</w:t>
      </w:r>
      <w:proofErr w:type="spellEnd"/>
      <w:r>
        <w:rPr>
          <w:color w:val="000000"/>
        </w:rPr>
        <w:t xml:space="preserve"> </w:t>
      </w:r>
      <w:proofErr w:type="spellStart"/>
      <w:r>
        <w:rPr>
          <w:color w:val="000000"/>
        </w:rPr>
        <w:t>Issues</w:t>
      </w:r>
      <w:proofErr w:type="spellEnd"/>
      <w:r>
        <w:rPr>
          <w:color w:val="000000"/>
        </w:rPr>
        <w:t xml:space="preserve">. </w:t>
      </w:r>
      <w:r>
        <w:rPr>
          <w:b/>
          <w:bCs/>
          <w:color w:val="000000"/>
        </w:rPr>
        <w:t xml:space="preserve">MIS </w:t>
      </w:r>
      <w:proofErr w:type="spellStart"/>
      <w:r>
        <w:rPr>
          <w:b/>
          <w:bCs/>
          <w:color w:val="000000"/>
        </w:rPr>
        <w:t>Quarterly</w:t>
      </w:r>
      <w:proofErr w:type="spellEnd"/>
      <w:r>
        <w:rPr>
          <w:color w:val="000000"/>
        </w:rPr>
        <w:t>, v. 25, n. 1, p. 107-136, 2001.</w:t>
      </w:r>
    </w:p>
    <w:p w14:paraId="5FBFC551" w14:textId="77777777" w:rsidR="00B470B5" w:rsidRDefault="00B470B5" w:rsidP="00B470B5">
      <w:pPr>
        <w:pStyle w:val="NormalWeb"/>
        <w:spacing w:afterLines="100" w:after="240"/>
      </w:pPr>
      <w:r>
        <w:rPr>
          <w:color w:val="000000"/>
        </w:rPr>
        <w:t xml:space="preserve">AKUNDI, A. et al. Estado da Indústria 5.0 - Análise e Identificação das Tendências Atuais de Pesquisa. </w:t>
      </w:r>
      <w:r>
        <w:rPr>
          <w:b/>
          <w:bCs/>
          <w:color w:val="000000"/>
        </w:rPr>
        <w:t>Inovação de Sistemas Aplicados</w:t>
      </w:r>
      <w:r>
        <w:rPr>
          <w:color w:val="000000"/>
        </w:rPr>
        <w:t xml:space="preserve">, v. 5, n. 1, p. 27, 2022. Disponível em: </w:t>
      </w:r>
      <w:hyperlink r:id="rId9" w:history="1">
        <w:r>
          <w:rPr>
            <w:rStyle w:val="Hyperlink"/>
            <w:color w:val="1155CC"/>
          </w:rPr>
          <w:t>https://doi.org/10.3390/asi5010027</w:t>
        </w:r>
      </w:hyperlink>
      <w:r>
        <w:rPr>
          <w:color w:val="000000"/>
        </w:rPr>
        <w:t>. Acesso em: 5 jun. 2025.</w:t>
      </w:r>
    </w:p>
    <w:p w14:paraId="5B018E30" w14:textId="77777777" w:rsidR="00B470B5" w:rsidRDefault="00B470B5" w:rsidP="00B470B5">
      <w:pPr>
        <w:pStyle w:val="NormalWeb"/>
        <w:spacing w:afterLines="100" w:after="240"/>
      </w:pPr>
      <w:r>
        <w:rPr>
          <w:color w:val="000000"/>
        </w:rPr>
        <w:t xml:space="preserve">BAI, C. et al. </w:t>
      </w:r>
      <w:proofErr w:type="spellStart"/>
      <w:r>
        <w:rPr>
          <w:color w:val="000000"/>
        </w:rPr>
        <w:t>Industry</w:t>
      </w:r>
      <w:proofErr w:type="spellEnd"/>
      <w:r>
        <w:rPr>
          <w:color w:val="000000"/>
        </w:rPr>
        <w:t xml:space="preserve"> 5.0: A </w:t>
      </w:r>
      <w:proofErr w:type="spellStart"/>
      <w:r>
        <w:rPr>
          <w:color w:val="000000"/>
        </w:rPr>
        <w:t>sustainability</w:t>
      </w:r>
      <w:proofErr w:type="spellEnd"/>
      <w:r>
        <w:rPr>
          <w:color w:val="000000"/>
        </w:rPr>
        <w:t xml:space="preserve"> perspective. </w:t>
      </w:r>
      <w:proofErr w:type="spellStart"/>
      <w:r>
        <w:rPr>
          <w:b/>
          <w:bCs/>
          <w:color w:val="000000"/>
        </w:rPr>
        <w:t>International</w:t>
      </w:r>
      <w:proofErr w:type="spellEnd"/>
      <w:r>
        <w:rPr>
          <w:b/>
          <w:bCs/>
          <w:color w:val="000000"/>
        </w:rPr>
        <w:t xml:space="preserve"> </w:t>
      </w:r>
      <w:proofErr w:type="spellStart"/>
      <w:r>
        <w:rPr>
          <w:b/>
          <w:bCs/>
          <w:color w:val="000000"/>
        </w:rPr>
        <w:t>Journal</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Production</w:t>
      </w:r>
      <w:proofErr w:type="spellEnd"/>
      <w:r>
        <w:rPr>
          <w:b/>
          <w:bCs/>
          <w:color w:val="000000"/>
        </w:rPr>
        <w:t xml:space="preserve"> </w:t>
      </w:r>
      <w:proofErr w:type="spellStart"/>
      <w:r>
        <w:rPr>
          <w:b/>
          <w:bCs/>
          <w:color w:val="000000"/>
        </w:rPr>
        <w:t>Economics</w:t>
      </w:r>
      <w:proofErr w:type="spellEnd"/>
      <w:r>
        <w:rPr>
          <w:color w:val="000000"/>
        </w:rPr>
        <w:t xml:space="preserve">, v. 229, p. 107776, 2020. Disponível em: </w:t>
      </w:r>
      <w:hyperlink r:id="rId10" w:history="1">
        <w:r>
          <w:rPr>
            <w:rStyle w:val="Hyperlink"/>
            <w:color w:val="1155CC"/>
          </w:rPr>
          <w:t>https://doi.org/10.1016/j.ijpe.2020.107776</w:t>
        </w:r>
      </w:hyperlink>
      <w:r>
        <w:rPr>
          <w:color w:val="000000"/>
        </w:rPr>
        <w:t>. Acesso em: 5 jun. 2025.</w:t>
      </w:r>
    </w:p>
    <w:p w14:paraId="65B8B881" w14:textId="77777777" w:rsidR="00B470B5" w:rsidRDefault="00B470B5" w:rsidP="00B470B5">
      <w:pPr>
        <w:pStyle w:val="NormalWeb"/>
        <w:spacing w:afterLines="100" w:after="240"/>
      </w:pPr>
      <w:r>
        <w:rPr>
          <w:color w:val="000000"/>
        </w:rPr>
        <w:t xml:space="preserve">BARDIN, Laurence. </w:t>
      </w:r>
      <w:r>
        <w:rPr>
          <w:b/>
          <w:bCs/>
          <w:color w:val="000000"/>
        </w:rPr>
        <w:t>Análise de Conteúdo</w:t>
      </w:r>
      <w:r>
        <w:rPr>
          <w:color w:val="000000"/>
        </w:rPr>
        <w:t>. São Paulo: Edições 70, 2016.</w:t>
      </w:r>
    </w:p>
    <w:p w14:paraId="7A8B0A5F" w14:textId="77777777" w:rsidR="00B470B5" w:rsidRDefault="00B470B5" w:rsidP="00B470B5">
      <w:pPr>
        <w:pStyle w:val="NormalWeb"/>
        <w:spacing w:afterLines="100" w:after="240"/>
      </w:pPr>
      <w:r>
        <w:rPr>
          <w:color w:val="000000"/>
        </w:rPr>
        <w:lastRenderedPageBreak/>
        <w:t xml:space="preserve">BREQUE, M.; DE NUL, L.; PETRIDIS, A. </w:t>
      </w:r>
      <w:proofErr w:type="spellStart"/>
      <w:r>
        <w:rPr>
          <w:b/>
          <w:bCs/>
          <w:color w:val="000000"/>
        </w:rPr>
        <w:t>Industry</w:t>
      </w:r>
      <w:proofErr w:type="spellEnd"/>
      <w:r>
        <w:rPr>
          <w:b/>
          <w:bCs/>
          <w:color w:val="000000"/>
        </w:rPr>
        <w:t xml:space="preserve"> 5.0</w:t>
      </w:r>
      <w:r>
        <w:rPr>
          <w:color w:val="000000"/>
        </w:rPr>
        <w:t xml:space="preserve">: </w:t>
      </w:r>
      <w:proofErr w:type="spellStart"/>
      <w:r>
        <w:rPr>
          <w:color w:val="000000"/>
        </w:rPr>
        <w:t>Towards</w:t>
      </w:r>
      <w:proofErr w:type="spellEnd"/>
      <w:r>
        <w:rPr>
          <w:color w:val="000000"/>
        </w:rPr>
        <w:t xml:space="preserve"> a </w:t>
      </w:r>
      <w:proofErr w:type="spellStart"/>
      <w:r>
        <w:rPr>
          <w:color w:val="000000"/>
        </w:rPr>
        <w:t>sustainable</w:t>
      </w:r>
      <w:proofErr w:type="spellEnd"/>
      <w:r>
        <w:rPr>
          <w:color w:val="000000"/>
        </w:rPr>
        <w:t xml:space="preserve">, </w:t>
      </w:r>
      <w:proofErr w:type="spellStart"/>
      <w:r>
        <w:rPr>
          <w:color w:val="000000"/>
        </w:rPr>
        <w:t>human-centric</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resilient</w:t>
      </w:r>
      <w:proofErr w:type="spellEnd"/>
      <w:r>
        <w:rPr>
          <w:color w:val="000000"/>
        </w:rPr>
        <w:t xml:space="preserve"> </w:t>
      </w:r>
      <w:proofErr w:type="spellStart"/>
      <w:r>
        <w:rPr>
          <w:color w:val="000000"/>
        </w:rPr>
        <w:t>European</w:t>
      </w:r>
      <w:proofErr w:type="spellEnd"/>
      <w:r>
        <w:rPr>
          <w:color w:val="000000"/>
        </w:rPr>
        <w:t xml:space="preserve"> </w:t>
      </w:r>
      <w:proofErr w:type="spellStart"/>
      <w:r>
        <w:rPr>
          <w:color w:val="000000"/>
        </w:rPr>
        <w:t>industry</w:t>
      </w:r>
      <w:proofErr w:type="spellEnd"/>
      <w:r>
        <w:rPr>
          <w:color w:val="000000"/>
        </w:rPr>
        <w:t xml:space="preserve">. </w:t>
      </w:r>
      <w:proofErr w:type="spellStart"/>
      <w:r>
        <w:rPr>
          <w:color w:val="000000"/>
        </w:rPr>
        <w:t>European</w:t>
      </w:r>
      <w:proofErr w:type="spellEnd"/>
      <w:r>
        <w:rPr>
          <w:color w:val="000000"/>
        </w:rPr>
        <w:t xml:space="preserve"> Commission, 2021. Disponível em: </w:t>
      </w:r>
      <w:hyperlink r:id="rId11" w:history="1">
        <w:r>
          <w:rPr>
            <w:rStyle w:val="Hyperlink"/>
            <w:color w:val="1155CC"/>
          </w:rPr>
          <w:t>https://shre.ink/xDDi</w:t>
        </w:r>
      </w:hyperlink>
      <w:r>
        <w:rPr>
          <w:color w:val="000000"/>
        </w:rPr>
        <w:t>. Acesso em: 5 jun. 2025.</w:t>
      </w:r>
    </w:p>
    <w:p w14:paraId="4319D2BA" w14:textId="77777777" w:rsidR="00B470B5" w:rsidRDefault="00B470B5" w:rsidP="00B470B5">
      <w:pPr>
        <w:pStyle w:val="NormalWeb"/>
        <w:spacing w:afterLines="100" w:after="240"/>
      </w:pPr>
      <w:r>
        <w:rPr>
          <w:color w:val="000000"/>
        </w:rPr>
        <w:t xml:space="preserve">DOSSOU, P.-E.; ALVAREZ-DE-LOS-MOZOS, E.; PAWLEWSKI, P. Uma estrutura conceitual para otimizar o desempenho na gestão sustentável da cadeia de suprimentos e transformação digital em direção à Indústria 5.0. </w:t>
      </w:r>
      <w:r>
        <w:rPr>
          <w:b/>
          <w:bCs/>
          <w:color w:val="000000"/>
        </w:rPr>
        <w:t>Matemática</w:t>
      </w:r>
      <w:r>
        <w:rPr>
          <w:color w:val="000000"/>
        </w:rPr>
        <w:t xml:space="preserve">, v. 12, n. 17, p. 2737, 2024. Disponível em: </w:t>
      </w:r>
      <w:hyperlink r:id="rId12" w:history="1">
        <w:r>
          <w:rPr>
            <w:rStyle w:val="Hyperlink"/>
            <w:color w:val="1155CC"/>
          </w:rPr>
          <w:t>https://doi.org/10.3390/math12172737</w:t>
        </w:r>
      </w:hyperlink>
      <w:r>
        <w:rPr>
          <w:color w:val="000000"/>
        </w:rPr>
        <w:t>. Acesso em: 10 jul. 2025.</w:t>
      </w:r>
    </w:p>
    <w:p w14:paraId="50B5F8EB" w14:textId="77777777" w:rsidR="00B470B5" w:rsidRDefault="00B470B5" w:rsidP="00B470B5">
      <w:pPr>
        <w:pStyle w:val="NormalWeb"/>
        <w:spacing w:afterLines="100" w:after="240"/>
      </w:pPr>
      <w:r>
        <w:rPr>
          <w:color w:val="000000"/>
        </w:rPr>
        <w:t xml:space="preserve">EUROPEAN COMMISSION. </w:t>
      </w:r>
      <w:proofErr w:type="spellStart"/>
      <w:r>
        <w:rPr>
          <w:b/>
          <w:bCs/>
          <w:color w:val="000000"/>
        </w:rPr>
        <w:t>Industry</w:t>
      </w:r>
      <w:proofErr w:type="spellEnd"/>
      <w:r>
        <w:rPr>
          <w:b/>
          <w:bCs/>
          <w:color w:val="000000"/>
        </w:rPr>
        <w:t xml:space="preserve"> 5.0</w:t>
      </w:r>
      <w:r>
        <w:rPr>
          <w:color w:val="000000"/>
        </w:rPr>
        <w:t xml:space="preserve">: </w:t>
      </w:r>
      <w:proofErr w:type="spellStart"/>
      <w:r>
        <w:rPr>
          <w:color w:val="000000"/>
        </w:rPr>
        <w:t>Towards</w:t>
      </w:r>
      <w:proofErr w:type="spellEnd"/>
      <w:r>
        <w:rPr>
          <w:color w:val="000000"/>
        </w:rPr>
        <w:t xml:space="preserve"> a </w:t>
      </w:r>
      <w:proofErr w:type="spellStart"/>
      <w:r>
        <w:rPr>
          <w:color w:val="000000"/>
        </w:rPr>
        <w:t>sustainable</w:t>
      </w:r>
      <w:proofErr w:type="spellEnd"/>
      <w:r>
        <w:rPr>
          <w:color w:val="000000"/>
        </w:rPr>
        <w:t xml:space="preserve">, </w:t>
      </w:r>
      <w:proofErr w:type="spellStart"/>
      <w:r>
        <w:rPr>
          <w:color w:val="000000"/>
        </w:rPr>
        <w:t>human-centric</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resilient</w:t>
      </w:r>
      <w:proofErr w:type="spellEnd"/>
      <w:r>
        <w:rPr>
          <w:color w:val="000000"/>
        </w:rPr>
        <w:t xml:space="preserve"> </w:t>
      </w:r>
      <w:proofErr w:type="spellStart"/>
      <w:r>
        <w:rPr>
          <w:color w:val="000000"/>
        </w:rPr>
        <w:t>European</w:t>
      </w:r>
      <w:proofErr w:type="spellEnd"/>
      <w:r>
        <w:rPr>
          <w:color w:val="000000"/>
        </w:rPr>
        <w:t xml:space="preserve"> </w:t>
      </w:r>
      <w:proofErr w:type="spellStart"/>
      <w:r>
        <w:rPr>
          <w:color w:val="000000"/>
        </w:rPr>
        <w:t>industry</w:t>
      </w:r>
      <w:proofErr w:type="spellEnd"/>
      <w:r>
        <w:rPr>
          <w:color w:val="000000"/>
        </w:rPr>
        <w:t xml:space="preserve">. 2021. Disponível em: </w:t>
      </w:r>
      <w:hyperlink r:id="rId13" w:history="1">
        <w:r>
          <w:rPr>
            <w:rStyle w:val="Hyperlink"/>
            <w:color w:val="1155CC"/>
          </w:rPr>
          <w:t>https://l1nq.com/WiEXp</w:t>
        </w:r>
      </w:hyperlink>
      <w:r>
        <w:rPr>
          <w:color w:val="000000"/>
        </w:rPr>
        <w:t>. Acesso em: 10 jul. 2025.</w:t>
      </w:r>
    </w:p>
    <w:p w14:paraId="701B36EB" w14:textId="77777777" w:rsidR="00B470B5" w:rsidRDefault="00B470B5" w:rsidP="00B470B5">
      <w:pPr>
        <w:pStyle w:val="NormalWeb"/>
        <w:spacing w:afterLines="100" w:after="240"/>
      </w:pPr>
      <w:r>
        <w:rPr>
          <w:color w:val="000000"/>
        </w:rPr>
        <w:t xml:space="preserve">FARIAS, M. E. A. C. D.; MARTINS, M. D. F.; CÂNDIDO, G. A. 2030 Agenda </w:t>
      </w:r>
      <w:proofErr w:type="spellStart"/>
      <w:r>
        <w:rPr>
          <w:color w:val="000000"/>
        </w:rPr>
        <w:t>and</w:t>
      </w:r>
      <w:proofErr w:type="spellEnd"/>
      <w:r>
        <w:rPr>
          <w:color w:val="000000"/>
        </w:rPr>
        <w:t xml:space="preserve"> </w:t>
      </w:r>
      <w:proofErr w:type="spellStart"/>
      <w:r>
        <w:rPr>
          <w:color w:val="000000"/>
        </w:rPr>
        <w:t>Renewable</w:t>
      </w:r>
      <w:proofErr w:type="spellEnd"/>
      <w:r>
        <w:rPr>
          <w:color w:val="000000"/>
        </w:rPr>
        <w:t xml:space="preserve"> Energy: </w:t>
      </w:r>
      <w:proofErr w:type="spellStart"/>
      <w:r>
        <w:rPr>
          <w:color w:val="000000"/>
        </w:rPr>
        <w:t>synergies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challenges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achieve</w:t>
      </w:r>
      <w:proofErr w:type="spellEnd"/>
      <w:r>
        <w:rPr>
          <w:color w:val="000000"/>
        </w:rPr>
        <w:t xml:space="preserve"> </w:t>
      </w:r>
      <w:proofErr w:type="spellStart"/>
      <w:r>
        <w:rPr>
          <w:color w:val="000000"/>
        </w:rPr>
        <w:t>sustainable</w:t>
      </w:r>
      <w:proofErr w:type="spellEnd"/>
      <w:r>
        <w:rPr>
          <w:color w:val="000000"/>
        </w:rPr>
        <w:t xml:space="preserve"> </w:t>
      </w:r>
      <w:proofErr w:type="spellStart"/>
      <w:r>
        <w:rPr>
          <w:color w:val="000000"/>
        </w:rPr>
        <w:t>development</w:t>
      </w:r>
      <w:proofErr w:type="spellEnd"/>
      <w:r>
        <w:rPr>
          <w:color w:val="000000"/>
        </w:rPr>
        <w:t xml:space="preserve">. </w:t>
      </w:r>
      <w:proofErr w:type="spellStart"/>
      <w:r>
        <w:rPr>
          <w:b/>
          <w:bCs/>
          <w:color w:val="000000"/>
        </w:rPr>
        <w:t>Research</w:t>
      </w:r>
      <w:proofErr w:type="spellEnd"/>
      <w:r>
        <w:rPr>
          <w:b/>
          <w:bCs/>
          <w:color w:val="000000"/>
        </w:rPr>
        <w:t xml:space="preserve">, Society </w:t>
      </w:r>
      <w:proofErr w:type="spellStart"/>
      <w:r>
        <w:rPr>
          <w:b/>
          <w:bCs/>
          <w:color w:val="000000"/>
        </w:rPr>
        <w:t>and</w:t>
      </w:r>
      <w:proofErr w:type="spellEnd"/>
      <w:r>
        <w:rPr>
          <w:b/>
          <w:bCs/>
          <w:color w:val="000000"/>
        </w:rPr>
        <w:t xml:space="preserve"> </w:t>
      </w:r>
      <w:proofErr w:type="spellStart"/>
      <w:r>
        <w:rPr>
          <w:b/>
          <w:bCs/>
          <w:color w:val="000000"/>
        </w:rPr>
        <w:t>Development</w:t>
      </w:r>
      <w:proofErr w:type="spellEnd"/>
      <w:r>
        <w:rPr>
          <w:color w:val="000000"/>
        </w:rPr>
        <w:t xml:space="preserve">, v. 10, n. 17, e23867, 2021. Disponível em: </w:t>
      </w:r>
      <w:hyperlink r:id="rId14" w:history="1">
        <w:r>
          <w:rPr>
            <w:rStyle w:val="Hyperlink"/>
            <w:color w:val="1155CC"/>
          </w:rPr>
          <w:t>https://doi.org/10.33448/rsd-v10i17.23867</w:t>
        </w:r>
      </w:hyperlink>
      <w:r>
        <w:rPr>
          <w:color w:val="000000"/>
        </w:rPr>
        <w:t>. Acesso em: 10 jul. 2025.</w:t>
      </w:r>
    </w:p>
    <w:p w14:paraId="5F16D69F" w14:textId="77777777" w:rsidR="00B470B5" w:rsidRDefault="00B470B5" w:rsidP="00B470B5">
      <w:pPr>
        <w:pStyle w:val="NormalWeb"/>
        <w:spacing w:afterLines="100" w:after="240"/>
      </w:pPr>
      <w:r>
        <w:rPr>
          <w:color w:val="000000"/>
        </w:rPr>
        <w:t xml:space="preserve">FIRESTONE, J. M.; MCELROY, M. W. </w:t>
      </w:r>
      <w:r>
        <w:rPr>
          <w:b/>
          <w:bCs/>
          <w:color w:val="000000"/>
        </w:rPr>
        <w:t xml:space="preserve">Key </w:t>
      </w:r>
      <w:proofErr w:type="spellStart"/>
      <w:r>
        <w:rPr>
          <w:b/>
          <w:bCs/>
          <w:color w:val="000000"/>
        </w:rPr>
        <w:t>Issues</w:t>
      </w:r>
      <w:proofErr w:type="spellEnd"/>
      <w:r>
        <w:rPr>
          <w:b/>
          <w:bCs/>
          <w:color w:val="000000"/>
        </w:rPr>
        <w:t xml:space="preserve"> in </w:t>
      </w:r>
      <w:proofErr w:type="spellStart"/>
      <w:r>
        <w:rPr>
          <w:b/>
          <w:bCs/>
          <w:color w:val="000000"/>
        </w:rPr>
        <w:t>the</w:t>
      </w:r>
      <w:proofErr w:type="spellEnd"/>
      <w:r>
        <w:rPr>
          <w:b/>
          <w:bCs/>
          <w:color w:val="000000"/>
        </w:rPr>
        <w:t xml:space="preserve"> New </w:t>
      </w:r>
      <w:proofErr w:type="spellStart"/>
      <w:r>
        <w:rPr>
          <w:b/>
          <w:bCs/>
          <w:color w:val="000000"/>
        </w:rPr>
        <w:t>Knowledge</w:t>
      </w:r>
      <w:proofErr w:type="spellEnd"/>
      <w:r>
        <w:rPr>
          <w:b/>
          <w:bCs/>
          <w:color w:val="000000"/>
        </w:rPr>
        <w:t xml:space="preserve"> Management</w:t>
      </w:r>
      <w:r>
        <w:rPr>
          <w:color w:val="000000"/>
        </w:rPr>
        <w:t xml:space="preserve">. Amsterdam: </w:t>
      </w:r>
      <w:proofErr w:type="spellStart"/>
      <w:r>
        <w:rPr>
          <w:color w:val="000000"/>
        </w:rPr>
        <w:t>Routledge</w:t>
      </w:r>
      <w:proofErr w:type="spellEnd"/>
      <w:r>
        <w:rPr>
          <w:color w:val="000000"/>
        </w:rPr>
        <w:t>, 2003.</w:t>
      </w:r>
    </w:p>
    <w:p w14:paraId="0A347858" w14:textId="77777777" w:rsidR="00B470B5" w:rsidRDefault="00B470B5" w:rsidP="00B470B5">
      <w:pPr>
        <w:pStyle w:val="NormalWeb"/>
        <w:spacing w:afterLines="100" w:after="240"/>
      </w:pPr>
      <w:r>
        <w:rPr>
          <w:color w:val="000000"/>
        </w:rPr>
        <w:t xml:space="preserve">FRAGA-LAMAS, P.; LOPES, S. I.; FERNÁNDEZ-CARAMÉS, T. M. IoT verde e IA de borda como principais facilitadores tecnológicos para uma transição digital sustentável para uma economia circular inteligente: um caso de uso da Indústria 5.0. </w:t>
      </w:r>
      <w:r>
        <w:rPr>
          <w:b/>
          <w:bCs/>
          <w:color w:val="000000"/>
        </w:rPr>
        <w:t>Sensores (Basileia, Suíça)</w:t>
      </w:r>
      <w:r>
        <w:rPr>
          <w:color w:val="000000"/>
        </w:rPr>
        <w:t xml:space="preserve">, v. 21, n. 17, p. 5745, 2021. Disponível em: </w:t>
      </w:r>
      <w:hyperlink r:id="rId15" w:history="1">
        <w:r>
          <w:rPr>
            <w:rStyle w:val="Hyperlink"/>
            <w:color w:val="1155CC"/>
          </w:rPr>
          <w:t>https://doi.org/10.3390/s21175745</w:t>
        </w:r>
      </w:hyperlink>
      <w:r>
        <w:rPr>
          <w:color w:val="000000"/>
        </w:rPr>
        <w:t>. Acesso em: 10 jul. 2025.</w:t>
      </w:r>
    </w:p>
    <w:p w14:paraId="19F96EA2" w14:textId="77777777" w:rsidR="00B470B5" w:rsidRDefault="00B470B5" w:rsidP="00B470B5">
      <w:pPr>
        <w:pStyle w:val="NormalWeb"/>
        <w:spacing w:afterLines="100" w:after="240"/>
      </w:pPr>
      <w:r>
        <w:rPr>
          <w:color w:val="000000"/>
        </w:rPr>
        <w:t xml:space="preserve">GAMBOA-ROSALES, N. K.; LÓPEZ-ROBLES, J. R. </w:t>
      </w:r>
      <w:proofErr w:type="spellStart"/>
      <w:r>
        <w:rPr>
          <w:color w:val="000000"/>
        </w:rPr>
        <w:t>Evolving</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t>Industry</w:t>
      </w:r>
      <w:proofErr w:type="spellEnd"/>
      <w:r>
        <w:rPr>
          <w:color w:val="000000"/>
        </w:rPr>
        <w:t xml:space="preserve"> 4.0 </w:t>
      </w:r>
      <w:proofErr w:type="spellStart"/>
      <w:r>
        <w:rPr>
          <w:color w:val="000000"/>
        </w:rPr>
        <w:t>to</w:t>
      </w:r>
      <w:proofErr w:type="spellEnd"/>
      <w:r>
        <w:rPr>
          <w:color w:val="000000"/>
        </w:rPr>
        <w:t xml:space="preserve"> </w:t>
      </w:r>
      <w:proofErr w:type="spellStart"/>
      <w:r>
        <w:rPr>
          <w:color w:val="000000"/>
        </w:rPr>
        <w:t>Industry</w:t>
      </w:r>
      <w:proofErr w:type="spellEnd"/>
      <w:r>
        <w:rPr>
          <w:color w:val="000000"/>
        </w:rPr>
        <w:t xml:space="preserve"> 5.0: </w:t>
      </w:r>
      <w:proofErr w:type="spellStart"/>
      <w:r>
        <w:rPr>
          <w:color w:val="000000"/>
        </w:rPr>
        <w:t>Evaluating</w:t>
      </w:r>
      <w:proofErr w:type="spellEnd"/>
      <w:r>
        <w:rPr>
          <w:color w:val="000000"/>
        </w:rPr>
        <w:t xml:space="preserve"> </w:t>
      </w:r>
      <w:proofErr w:type="spellStart"/>
      <w:r>
        <w:rPr>
          <w:color w:val="000000"/>
        </w:rPr>
        <w:t>the</w:t>
      </w:r>
      <w:proofErr w:type="spellEnd"/>
      <w:r>
        <w:rPr>
          <w:color w:val="000000"/>
        </w:rPr>
        <w:t xml:space="preserve"> conceptual </w:t>
      </w:r>
      <w:proofErr w:type="spellStart"/>
      <w:r>
        <w:rPr>
          <w:color w:val="000000"/>
        </w:rPr>
        <w:t>structure</w:t>
      </w:r>
      <w:proofErr w:type="spellEnd"/>
      <w:r>
        <w:rPr>
          <w:color w:val="000000"/>
        </w:rPr>
        <w:t xml:space="preserve"> </w:t>
      </w:r>
      <w:proofErr w:type="spellStart"/>
      <w:r>
        <w:rPr>
          <w:color w:val="000000"/>
        </w:rPr>
        <w:t>and</w:t>
      </w:r>
      <w:proofErr w:type="spellEnd"/>
      <w:r>
        <w:rPr>
          <w:color w:val="000000"/>
        </w:rPr>
        <w:t xml:space="preserve"> prospects </w:t>
      </w:r>
      <w:proofErr w:type="spellStart"/>
      <w:r>
        <w:rPr>
          <w:color w:val="000000"/>
        </w:rPr>
        <w:t>of</w:t>
      </w:r>
      <w:proofErr w:type="spellEnd"/>
      <w:r>
        <w:rPr>
          <w:color w:val="000000"/>
        </w:rPr>
        <w:t xml:space="preserve"> </w:t>
      </w:r>
      <w:proofErr w:type="spellStart"/>
      <w:r>
        <w:rPr>
          <w:color w:val="000000"/>
        </w:rPr>
        <w:t>an</w:t>
      </w:r>
      <w:proofErr w:type="spellEnd"/>
      <w:r>
        <w:rPr>
          <w:color w:val="000000"/>
        </w:rPr>
        <w:t xml:space="preserve"> </w:t>
      </w:r>
      <w:proofErr w:type="spellStart"/>
      <w:r>
        <w:rPr>
          <w:color w:val="000000"/>
        </w:rPr>
        <w:t>emerging</w:t>
      </w:r>
      <w:proofErr w:type="spellEnd"/>
      <w:r>
        <w:rPr>
          <w:color w:val="000000"/>
        </w:rPr>
        <w:t xml:space="preserve"> </w:t>
      </w:r>
      <w:proofErr w:type="spellStart"/>
      <w:r>
        <w:rPr>
          <w:color w:val="000000"/>
        </w:rPr>
        <w:t>field</w:t>
      </w:r>
      <w:proofErr w:type="spellEnd"/>
      <w:r>
        <w:rPr>
          <w:color w:val="000000"/>
        </w:rPr>
        <w:t xml:space="preserve">. </w:t>
      </w:r>
      <w:proofErr w:type="spellStart"/>
      <w:r>
        <w:rPr>
          <w:b/>
          <w:bCs/>
          <w:color w:val="000000"/>
        </w:rPr>
        <w:t>Transinformação</w:t>
      </w:r>
      <w:proofErr w:type="spellEnd"/>
      <w:r>
        <w:rPr>
          <w:color w:val="000000"/>
        </w:rPr>
        <w:t xml:space="preserve">, v. 35, e237319, 2023. Disponível em: </w:t>
      </w:r>
      <w:hyperlink r:id="rId16" w:history="1">
        <w:r>
          <w:rPr>
            <w:rStyle w:val="Hyperlink"/>
            <w:color w:val="1155CC"/>
          </w:rPr>
          <w:t>https://doi.org/10.1590/2318-0889202335e237319</w:t>
        </w:r>
      </w:hyperlink>
      <w:r>
        <w:rPr>
          <w:color w:val="000000"/>
        </w:rPr>
        <w:t>. Acesso em: 10 jul. 2025.</w:t>
      </w:r>
    </w:p>
    <w:p w14:paraId="11160C34" w14:textId="77777777" w:rsidR="00B470B5" w:rsidRDefault="00B470B5" w:rsidP="00B470B5">
      <w:pPr>
        <w:pStyle w:val="NormalWeb"/>
        <w:spacing w:afterLines="100" w:after="240"/>
      </w:pPr>
      <w:r>
        <w:rPr>
          <w:color w:val="000000"/>
        </w:rPr>
        <w:t xml:space="preserve">JAVAID, M. et al. </w:t>
      </w:r>
      <w:proofErr w:type="spellStart"/>
      <w:r>
        <w:rPr>
          <w:color w:val="000000"/>
        </w:rPr>
        <w:t>Industry</w:t>
      </w:r>
      <w:proofErr w:type="spellEnd"/>
      <w:r>
        <w:rPr>
          <w:color w:val="000000"/>
        </w:rPr>
        <w:t xml:space="preserve"> 5.0: </w:t>
      </w:r>
      <w:proofErr w:type="spellStart"/>
      <w:r>
        <w:rPr>
          <w:color w:val="000000"/>
        </w:rPr>
        <w:t>Potential</w:t>
      </w:r>
      <w:proofErr w:type="spellEnd"/>
      <w:r>
        <w:rPr>
          <w:color w:val="000000"/>
        </w:rPr>
        <w:t xml:space="preserve"> </w:t>
      </w:r>
      <w:proofErr w:type="spellStart"/>
      <w:r>
        <w:rPr>
          <w:color w:val="000000"/>
        </w:rPr>
        <w:t>applications</w:t>
      </w:r>
      <w:proofErr w:type="spellEnd"/>
      <w:r>
        <w:rPr>
          <w:color w:val="000000"/>
        </w:rPr>
        <w:t xml:space="preserve"> in COVID-19. </w:t>
      </w:r>
      <w:proofErr w:type="spellStart"/>
      <w:r>
        <w:rPr>
          <w:b/>
          <w:bCs/>
          <w:color w:val="000000"/>
        </w:rPr>
        <w:t>Journal</w:t>
      </w:r>
      <w:proofErr w:type="spellEnd"/>
      <w:r>
        <w:rPr>
          <w:b/>
          <w:bCs/>
          <w:color w:val="000000"/>
        </w:rPr>
        <w:t xml:space="preserve"> </w:t>
      </w:r>
      <w:proofErr w:type="spellStart"/>
      <w:r>
        <w:rPr>
          <w:b/>
          <w:bCs/>
          <w:color w:val="000000"/>
        </w:rPr>
        <w:t>of</w:t>
      </w:r>
      <w:proofErr w:type="spellEnd"/>
      <w:r>
        <w:rPr>
          <w:b/>
          <w:bCs/>
          <w:color w:val="000000"/>
        </w:rPr>
        <w:t xml:space="preserve"> Industrial </w:t>
      </w:r>
      <w:proofErr w:type="spellStart"/>
      <w:r>
        <w:rPr>
          <w:b/>
          <w:bCs/>
          <w:color w:val="000000"/>
        </w:rPr>
        <w:t>Integration</w:t>
      </w:r>
      <w:proofErr w:type="spellEnd"/>
      <w:r>
        <w:rPr>
          <w:b/>
          <w:bCs/>
          <w:color w:val="000000"/>
        </w:rPr>
        <w:t xml:space="preserve"> </w:t>
      </w:r>
      <w:proofErr w:type="spellStart"/>
      <w:r>
        <w:rPr>
          <w:b/>
          <w:bCs/>
          <w:color w:val="000000"/>
        </w:rPr>
        <w:t>and</w:t>
      </w:r>
      <w:proofErr w:type="spellEnd"/>
      <w:r>
        <w:rPr>
          <w:b/>
          <w:bCs/>
          <w:color w:val="000000"/>
        </w:rPr>
        <w:t xml:space="preserve"> Management</w:t>
      </w:r>
      <w:r>
        <w:rPr>
          <w:color w:val="000000"/>
        </w:rPr>
        <w:t xml:space="preserve">, v. 6, n. 04, p. 531-545, 2021. Disponível em: </w:t>
      </w:r>
      <w:hyperlink r:id="rId17" w:history="1">
        <w:r>
          <w:rPr>
            <w:rStyle w:val="Hyperlink"/>
            <w:color w:val="1155CC"/>
          </w:rPr>
          <w:t>https://doi.org/10.1142/S2424862220500220</w:t>
        </w:r>
      </w:hyperlink>
      <w:r>
        <w:rPr>
          <w:color w:val="000000"/>
        </w:rPr>
        <w:t>. Acesso em: 5 ago. 2025.</w:t>
      </w:r>
    </w:p>
    <w:p w14:paraId="15DEE815" w14:textId="77777777" w:rsidR="00B470B5" w:rsidRDefault="00B470B5" w:rsidP="00B470B5">
      <w:pPr>
        <w:pStyle w:val="NormalWeb"/>
        <w:spacing w:afterLines="100" w:after="240"/>
      </w:pPr>
      <w:r>
        <w:rPr>
          <w:color w:val="000000"/>
        </w:rPr>
        <w:t xml:space="preserve">JEFROY, N.; AZARIAN, M.; YU, H. Moving </w:t>
      </w:r>
      <w:proofErr w:type="spellStart"/>
      <w:r>
        <w:rPr>
          <w:color w:val="000000"/>
        </w:rPr>
        <w:t>from</w:t>
      </w:r>
      <w:proofErr w:type="spellEnd"/>
      <w:r>
        <w:rPr>
          <w:color w:val="000000"/>
        </w:rPr>
        <w:t xml:space="preserve"> </w:t>
      </w:r>
      <w:proofErr w:type="spellStart"/>
      <w:r>
        <w:rPr>
          <w:color w:val="000000"/>
        </w:rPr>
        <w:t>Industry</w:t>
      </w:r>
      <w:proofErr w:type="spellEnd"/>
      <w:r>
        <w:rPr>
          <w:color w:val="000000"/>
        </w:rPr>
        <w:t xml:space="preserve"> 4.0 </w:t>
      </w:r>
      <w:proofErr w:type="spellStart"/>
      <w:r>
        <w:rPr>
          <w:color w:val="000000"/>
        </w:rPr>
        <w:t>to</w:t>
      </w:r>
      <w:proofErr w:type="spellEnd"/>
      <w:r>
        <w:rPr>
          <w:color w:val="000000"/>
        </w:rPr>
        <w:t xml:space="preserve"> </w:t>
      </w:r>
      <w:proofErr w:type="spellStart"/>
      <w:r>
        <w:rPr>
          <w:color w:val="000000"/>
        </w:rPr>
        <w:t>Industry</w:t>
      </w:r>
      <w:proofErr w:type="spellEnd"/>
      <w:r>
        <w:rPr>
          <w:color w:val="000000"/>
        </w:rPr>
        <w:t xml:space="preserve"> 5.0: </w:t>
      </w:r>
      <w:proofErr w:type="spellStart"/>
      <w:r>
        <w:rPr>
          <w:color w:val="000000"/>
        </w:rPr>
        <w:t>what</w:t>
      </w:r>
      <w:proofErr w:type="spellEnd"/>
      <w:r>
        <w:rPr>
          <w:color w:val="000000"/>
        </w:rPr>
        <w:t xml:space="preserve"> are </w:t>
      </w:r>
      <w:proofErr w:type="spellStart"/>
      <w:r>
        <w:rPr>
          <w:color w:val="000000"/>
        </w:rPr>
        <w:t>the</w:t>
      </w:r>
      <w:proofErr w:type="spellEnd"/>
      <w:r>
        <w:rPr>
          <w:color w:val="000000"/>
        </w:rPr>
        <w:t xml:space="preserve"> </w:t>
      </w:r>
      <w:proofErr w:type="spellStart"/>
      <w:r>
        <w:rPr>
          <w:color w:val="000000"/>
        </w:rPr>
        <w:t>implications</w:t>
      </w:r>
      <w:proofErr w:type="spellEnd"/>
      <w:r>
        <w:rPr>
          <w:color w:val="000000"/>
        </w:rPr>
        <w:t xml:space="preserve"> for </w:t>
      </w:r>
      <w:proofErr w:type="spellStart"/>
      <w:r>
        <w:rPr>
          <w:color w:val="000000"/>
        </w:rPr>
        <w:t>smart</w:t>
      </w:r>
      <w:proofErr w:type="spellEnd"/>
      <w:r>
        <w:rPr>
          <w:color w:val="000000"/>
        </w:rPr>
        <w:t xml:space="preserve"> </w:t>
      </w:r>
      <w:proofErr w:type="spellStart"/>
      <w:proofErr w:type="gramStart"/>
      <w:r>
        <w:rPr>
          <w:color w:val="000000"/>
        </w:rPr>
        <w:t>logistics</w:t>
      </w:r>
      <w:proofErr w:type="spellEnd"/>
      <w:r>
        <w:rPr>
          <w:color w:val="000000"/>
        </w:rPr>
        <w:t>?.</w:t>
      </w:r>
      <w:proofErr w:type="gramEnd"/>
      <w:r>
        <w:rPr>
          <w:color w:val="000000"/>
        </w:rPr>
        <w:t xml:space="preserve"> </w:t>
      </w:r>
      <w:proofErr w:type="spellStart"/>
      <w:r>
        <w:rPr>
          <w:b/>
          <w:bCs/>
          <w:color w:val="000000"/>
        </w:rPr>
        <w:t>Logistics</w:t>
      </w:r>
      <w:proofErr w:type="spellEnd"/>
      <w:r>
        <w:rPr>
          <w:color w:val="000000"/>
        </w:rPr>
        <w:t xml:space="preserve">, v. 6, n. 2, p. 26, 2022. Disponível em: </w:t>
      </w:r>
      <w:hyperlink r:id="rId18" w:history="1">
        <w:r>
          <w:rPr>
            <w:rStyle w:val="Hyperlink"/>
            <w:color w:val="1155CC"/>
          </w:rPr>
          <w:t>https://doi.org/10.3390/logistics6020026</w:t>
        </w:r>
      </w:hyperlink>
      <w:r>
        <w:rPr>
          <w:color w:val="000000"/>
        </w:rPr>
        <w:t>. Acesso em: 10 jul. 2025.</w:t>
      </w:r>
    </w:p>
    <w:p w14:paraId="237A2228" w14:textId="77777777" w:rsidR="00B470B5" w:rsidRDefault="00B470B5" w:rsidP="00B470B5">
      <w:pPr>
        <w:pStyle w:val="NormalWeb"/>
        <w:spacing w:afterLines="100" w:after="240"/>
      </w:pPr>
      <w:r>
        <w:rPr>
          <w:color w:val="000000"/>
        </w:rPr>
        <w:t xml:space="preserve">LU, Y. et al. Perspectivas sobre a manufatura centrada no ser humano em direção à Indústria 5.0. </w:t>
      </w:r>
      <w:r>
        <w:rPr>
          <w:b/>
          <w:bCs/>
          <w:color w:val="000000"/>
        </w:rPr>
        <w:t>Jornal de Sistemas de Manufatura</w:t>
      </w:r>
      <w:r>
        <w:rPr>
          <w:color w:val="000000"/>
        </w:rPr>
        <w:t xml:space="preserve">, v. 62, p. 612-627, 2022. Disponível em: </w:t>
      </w:r>
      <w:hyperlink r:id="rId19" w:history="1">
        <w:r>
          <w:rPr>
            <w:rStyle w:val="Hyperlink"/>
            <w:color w:val="1155CC"/>
          </w:rPr>
          <w:t>https://doi.org/10.1016/j.jmsy.2022.02.001</w:t>
        </w:r>
      </w:hyperlink>
      <w:r>
        <w:rPr>
          <w:color w:val="000000"/>
        </w:rPr>
        <w:t>. Acesso em: 10 jul. 2025.</w:t>
      </w:r>
    </w:p>
    <w:p w14:paraId="1F7D18AC" w14:textId="77777777" w:rsidR="00B470B5" w:rsidRDefault="00B470B5" w:rsidP="00B470B5">
      <w:pPr>
        <w:pStyle w:val="NormalWeb"/>
        <w:spacing w:afterLines="100" w:after="240"/>
      </w:pPr>
      <w:r>
        <w:rPr>
          <w:color w:val="000000"/>
        </w:rPr>
        <w:t xml:space="preserve">MONFERDINI, L.; TEBALDI, L.; BOTTANI, E. </w:t>
      </w:r>
      <w:proofErr w:type="spellStart"/>
      <w:r>
        <w:rPr>
          <w:color w:val="000000"/>
        </w:rPr>
        <w:t>From</w:t>
      </w:r>
      <w:proofErr w:type="spellEnd"/>
      <w:r>
        <w:rPr>
          <w:color w:val="000000"/>
        </w:rPr>
        <w:t xml:space="preserve"> </w:t>
      </w:r>
      <w:proofErr w:type="spellStart"/>
      <w:r>
        <w:rPr>
          <w:color w:val="000000"/>
        </w:rPr>
        <w:t>Industry</w:t>
      </w:r>
      <w:proofErr w:type="spellEnd"/>
      <w:r>
        <w:rPr>
          <w:color w:val="000000"/>
        </w:rPr>
        <w:t xml:space="preserve"> 4.0 </w:t>
      </w:r>
      <w:proofErr w:type="spellStart"/>
      <w:r>
        <w:rPr>
          <w:color w:val="000000"/>
        </w:rPr>
        <w:t>to</w:t>
      </w:r>
      <w:proofErr w:type="spellEnd"/>
      <w:r>
        <w:rPr>
          <w:color w:val="000000"/>
        </w:rPr>
        <w:t xml:space="preserve"> </w:t>
      </w:r>
      <w:proofErr w:type="spellStart"/>
      <w:r>
        <w:rPr>
          <w:color w:val="000000"/>
        </w:rPr>
        <w:t>Industry</w:t>
      </w:r>
      <w:proofErr w:type="spellEnd"/>
      <w:r>
        <w:rPr>
          <w:color w:val="000000"/>
        </w:rPr>
        <w:t xml:space="preserve"> 5.0: </w:t>
      </w:r>
      <w:proofErr w:type="spellStart"/>
      <w:r>
        <w:rPr>
          <w:color w:val="000000"/>
        </w:rPr>
        <w:t>Opportunities</w:t>
      </w:r>
      <w:proofErr w:type="spellEnd"/>
      <w:r>
        <w:rPr>
          <w:color w:val="000000"/>
        </w:rPr>
        <w:t xml:space="preserve">, </w:t>
      </w:r>
      <w:proofErr w:type="spellStart"/>
      <w:r>
        <w:rPr>
          <w:color w:val="000000"/>
        </w:rPr>
        <w:t>Challenges</w:t>
      </w:r>
      <w:proofErr w:type="spellEnd"/>
      <w:r>
        <w:rPr>
          <w:color w:val="000000"/>
        </w:rPr>
        <w:t xml:space="preserve">, </w:t>
      </w:r>
      <w:proofErr w:type="spellStart"/>
      <w:r>
        <w:rPr>
          <w:color w:val="000000"/>
        </w:rPr>
        <w:t>and</w:t>
      </w:r>
      <w:proofErr w:type="spellEnd"/>
      <w:r>
        <w:rPr>
          <w:color w:val="000000"/>
        </w:rPr>
        <w:t xml:space="preserve"> Future Perspectives in </w:t>
      </w:r>
      <w:proofErr w:type="spellStart"/>
      <w:r>
        <w:rPr>
          <w:color w:val="000000"/>
        </w:rPr>
        <w:t>Logistics</w:t>
      </w:r>
      <w:proofErr w:type="spellEnd"/>
      <w:r>
        <w:rPr>
          <w:color w:val="000000"/>
        </w:rPr>
        <w:t xml:space="preserve">. </w:t>
      </w:r>
      <w:r>
        <w:rPr>
          <w:b/>
          <w:bCs/>
          <w:color w:val="000000"/>
        </w:rPr>
        <w:t>Procedia Computer Science</w:t>
      </w:r>
      <w:r>
        <w:rPr>
          <w:color w:val="000000"/>
        </w:rPr>
        <w:t xml:space="preserve">, v. 253, p. 2941-2950, 2025. Disponível em: </w:t>
      </w:r>
      <w:hyperlink r:id="rId20" w:history="1">
        <w:r>
          <w:rPr>
            <w:rStyle w:val="Hyperlink"/>
            <w:color w:val="1155CC"/>
          </w:rPr>
          <w:t>https://doi.org/10.1016/j.procs.2025.02.018</w:t>
        </w:r>
      </w:hyperlink>
      <w:r>
        <w:rPr>
          <w:color w:val="000000"/>
        </w:rPr>
        <w:t>. Acesso em: 10 jul. 2025.</w:t>
      </w:r>
    </w:p>
    <w:p w14:paraId="1D28448B" w14:textId="77777777" w:rsidR="00B470B5" w:rsidRDefault="00B470B5" w:rsidP="00B470B5">
      <w:pPr>
        <w:pStyle w:val="NormalWeb"/>
        <w:spacing w:afterLines="100" w:after="240"/>
      </w:pPr>
      <w:r>
        <w:rPr>
          <w:color w:val="000000"/>
        </w:rPr>
        <w:lastRenderedPageBreak/>
        <w:t xml:space="preserve">NAHAVANDI, S. </w:t>
      </w:r>
      <w:proofErr w:type="spellStart"/>
      <w:r>
        <w:rPr>
          <w:color w:val="000000"/>
        </w:rPr>
        <w:t>Industry</w:t>
      </w:r>
      <w:proofErr w:type="spellEnd"/>
      <w:r>
        <w:rPr>
          <w:color w:val="000000"/>
        </w:rPr>
        <w:t xml:space="preserve"> 5.0—A </w:t>
      </w:r>
      <w:proofErr w:type="spellStart"/>
      <w:r>
        <w:rPr>
          <w:color w:val="000000"/>
        </w:rPr>
        <w:t>human-centric</w:t>
      </w:r>
      <w:proofErr w:type="spellEnd"/>
      <w:r>
        <w:rPr>
          <w:color w:val="000000"/>
        </w:rPr>
        <w:t xml:space="preserve"> </w:t>
      </w:r>
      <w:proofErr w:type="spellStart"/>
      <w:r>
        <w:rPr>
          <w:color w:val="000000"/>
        </w:rPr>
        <w:t>solution</w:t>
      </w:r>
      <w:proofErr w:type="spellEnd"/>
      <w:r>
        <w:rPr>
          <w:color w:val="000000"/>
        </w:rPr>
        <w:t xml:space="preserve">. </w:t>
      </w:r>
      <w:r>
        <w:rPr>
          <w:b/>
          <w:bCs/>
          <w:color w:val="000000"/>
        </w:rPr>
        <w:t>Sustainability</w:t>
      </w:r>
      <w:r>
        <w:rPr>
          <w:color w:val="000000"/>
        </w:rPr>
        <w:t xml:space="preserve">, v. 11, n. 16, p. 4371, 2019. Disponível em: </w:t>
      </w:r>
      <w:hyperlink r:id="rId21" w:history="1">
        <w:r>
          <w:rPr>
            <w:rStyle w:val="Hyperlink"/>
            <w:color w:val="1155CC"/>
          </w:rPr>
          <w:t>https://doi.org/10.3390/su11164371</w:t>
        </w:r>
      </w:hyperlink>
      <w:r>
        <w:rPr>
          <w:color w:val="000000"/>
        </w:rPr>
        <w:t>. Acesso em: 10 jul. 2025.</w:t>
      </w:r>
    </w:p>
    <w:p w14:paraId="2CDA5BF8" w14:textId="77777777" w:rsidR="00B470B5" w:rsidRDefault="00B470B5" w:rsidP="00B470B5">
      <w:pPr>
        <w:pStyle w:val="NormalWeb"/>
        <w:spacing w:afterLines="100" w:after="240"/>
      </w:pPr>
      <w:r>
        <w:rPr>
          <w:color w:val="000000"/>
        </w:rPr>
        <w:t xml:space="preserve">NONAKA, I.; TAKEUCHI, H. </w:t>
      </w:r>
      <w:r>
        <w:rPr>
          <w:b/>
          <w:bCs/>
          <w:color w:val="000000"/>
        </w:rPr>
        <w:t xml:space="preserve">The </w:t>
      </w:r>
      <w:proofErr w:type="spellStart"/>
      <w:r>
        <w:rPr>
          <w:b/>
          <w:bCs/>
          <w:color w:val="000000"/>
        </w:rPr>
        <w:t>Knowledge-Creating</w:t>
      </w:r>
      <w:proofErr w:type="spellEnd"/>
      <w:r>
        <w:rPr>
          <w:b/>
          <w:bCs/>
          <w:color w:val="000000"/>
        </w:rPr>
        <w:t xml:space="preserve"> </w:t>
      </w:r>
      <w:proofErr w:type="spellStart"/>
      <w:r>
        <w:rPr>
          <w:b/>
          <w:bCs/>
          <w:color w:val="000000"/>
        </w:rPr>
        <w:t>Company</w:t>
      </w:r>
      <w:proofErr w:type="spellEnd"/>
      <w:r>
        <w:rPr>
          <w:color w:val="000000"/>
        </w:rPr>
        <w:t xml:space="preserve">: </w:t>
      </w:r>
      <w:proofErr w:type="spellStart"/>
      <w:r>
        <w:rPr>
          <w:color w:val="000000"/>
        </w:rPr>
        <w:t>How</w:t>
      </w:r>
      <w:proofErr w:type="spellEnd"/>
      <w:r>
        <w:rPr>
          <w:color w:val="000000"/>
        </w:rPr>
        <w:t xml:space="preserve"> </w:t>
      </w:r>
      <w:proofErr w:type="spellStart"/>
      <w:r>
        <w:rPr>
          <w:color w:val="000000"/>
        </w:rPr>
        <w:t>Japanese</w:t>
      </w:r>
      <w:proofErr w:type="spellEnd"/>
      <w:r>
        <w:rPr>
          <w:color w:val="000000"/>
        </w:rPr>
        <w:t xml:space="preserve"> </w:t>
      </w:r>
      <w:proofErr w:type="spellStart"/>
      <w:r>
        <w:rPr>
          <w:color w:val="000000"/>
        </w:rPr>
        <w:t>Companies</w:t>
      </w:r>
      <w:proofErr w:type="spellEnd"/>
      <w:r>
        <w:rPr>
          <w:color w:val="000000"/>
        </w:rPr>
        <w:t xml:space="preserve"> </w:t>
      </w:r>
      <w:proofErr w:type="spellStart"/>
      <w:r>
        <w:rPr>
          <w:color w:val="000000"/>
        </w:rPr>
        <w:t>Create</w:t>
      </w:r>
      <w:proofErr w:type="spellEnd"/>
      <w:r>
        <w:rPr>
          <w:color w:val="000000"/>
        </w:rPr>
        <w:t xml:space="preserve"> </w:t>
      </w:r>
      <w:proofErr w:type="spellStart"/>
      <w:r>
        <w:rPr>
          <w:color w:val="000000"/>
        </w:rPr>
        <w:t>the</w:t>
      </w:r>
      <w:proofErr w:type="spellEnd"/>
      <w:r>
        <w:rPr>
          <w:color w:val="000000"/>
        </w:rPr>
        <w:t xml:space="preserve"> Dynamics </w:t>
      </w:r>
      <w:proofErr w:type="spellStart"/>
      <w:r>
        <w:rPr>
          <w:color w:val="000000"/>
        </w:rPr>
        <w:t>of</w:t>
      </w:r>
      <w:proofErr w:type="spellEnd"/>
      <w:r>
        <w:rPr>
          <w:color w:val="000000"/>
        </w:rPr>
        <w:t xml:space="preserve"> </w:t>
      </w:r>
      <w:proofErr w:type="spellStart"/>
      <w:r>
        <w:rPr>
          <w:color w:val="000000"/>
        </w:rPr>
        <w:t>Innovation</w:t>
      </w:r>
      <w:proofErr w:type="spellEnd"/>
      <w:r>
        <w:rPr>
          <w:color w:val="000000"/>
        </w:rPr>
        <w:t xml:space="preserve">. Oxford, UK: Oxford </w:t>
      </w:r>
      <w:proofErr w:type="spellStart"/>
      <w:r>
        <w:rPr>
          <w:color w:val="000000"/>
        </w:rPr>
        <w:t>University</w:t>
      </w:r>
      <w:proofErr w:type="spellEnd"/>
      <w:r>
        <w:rPr>
          <w:color w:val="000000"/>
        </w:rPr>
        <w:t xml:space="preserve"> Press, 1995.</w:t>
      </w:r>
    </w:p>
    <w:p w14:paraId="5006F9E8" w14:textId="77777777" w:rsidR="00B470B5" w:rsidRDefault="00B470B5" w:rsidP="00B470B5">
      <w:pPr>
        <w:pStyle w:val="NormalWeb"/>
        <w:spacing w:afterLines="100" w:after="240"/>
      </w:pPr>
      <w:r>
        <w:rPr>
          <w:color w:val="000000"/>
        </w:rPr>
        <w:t xml:space="preserve">ORGANIZAÇÃO DAS NAÇÕES UNIDAS. </w:t>
      </w:r>
      <w:r>
        <w:rPr>
          <w:b/>
          <w:bCs/>
          <w:color w:val="000000"/>
        </w:rPr>
        <w:t>Transformando nosso mundo</w:t>
      </w:r>
      <w:r>
        <w:rPr>
          <w:color w:val="000000"/>
        </w:rPr>
        <w:t xml:space="preserve">: A Agenda 2030 para o Desenvolvimento Sustentável. 2015. Disponível em: </w:t>
      </w:r>
      <w:hyperlink r:id="rId22" w:history="1">
        <w:r>
          <w:rPr>
            <w:rStyle w:val="Hyperlink"/>
            <w:color w:val="1155CC"/>
          </w:rPr>
          <w:t>https://brasil.un.org/pt-br/sdgs</w:t>
        </w:r>
      </w:hyperlink>
      <w:r>
        <w:rPr>
          <w:color w:val="000000"/>
        </w:rPr>
        <w:t>. Acesso em: 10 jul. 2025.</w:t>
      </w:r>
    </w:p>
    <w:p w14:paraId="36AE17B1" w14:textId="77777777" w:rsidR="00B470B5" w:rsidRDefault="00B470B5" w:rsidP="00B470B5">
      <w:pPr>
        <w:pStyle w:val="NormalWeb"/>
        <w:spacing w:afterLines="100" w:after="240"/>
      </w:pPr>
      <w:r>
        <w:rPr>
          <w:color w:val="000000"/>
        </w:rPr>
        <w:t xml:space="preserve">ÖZDEMIR, V.; HEKIM, N. </w:t>
      </w:r>
      <w:proofErr w:type="spellStart"/>
      <w:r>
        <w:rPr>
          <w:color w:val="000000"/>
        </w:rPr>
        <w:t>Birth</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Industry</w:t>
      </w:r>
      <w:proofErr w:type="spellEnd"/>
      <w:r>
        <w:rPr>
          <w:color w:val="000000"/>
        </w:rPr>
        <w:t xml:space="preserve"> 5.0: Making </w:t>
      </w:r>
      <w:proofErr w:type="spellStart"/>
      <w:r>
        <w:rPr>
          <w:color w:val="000000"/>
        </w:rPr>
        <w:t>sense</w:t>
      </w:r>
      <w:proofErr w:type="spellEnd"/>
      <w:r>
        <w:rPr>
          <w:color w:val="000000"/>
        </w:rPr>
        <w:t xml:space="preserve"> </w:t>
      </w:r>
      <w:proofErr w:type="spellStart"/>
      <w:r>
        <w:rPr>
          <w:color w:val="000000"/>
        </w:rPr>
        <w:t>of</w:t>
      </w:r>
      <w:proofErr w:type="spellEnd"/>
      <w:r>
        <w:rPr>
          <w:color w:val="000000"/>
        </w:rPr>
        <w:t xml:space="preserve"> big data </w:t>
      </w:r>
      <w:proofErr w:type="spellStart"/>
      <w:r>
        <w:rPr>
          <w:color w:val="000000"/>
        </w:rPr>
        <w:t>with</w:t>
      </w:r>
      <w:proofErr w:type="spellEnd"/>
      <w:r>
        <w:rPr>
          <w:color w:val="000000"/>
        </w:rPr>
        <w:t xml:space="preserve"> artificial </w:t>
      </w:r>
      <w:proofErr w:type="spellStart"/>
      <w:r>
        <w:rPr>
          <w:color w:val="000000"/>
        </w:rPr>
        <w:t>intelligence</w:t>
      </w:r>
      <w:proofErr w:type="spellEnd"/>
      <w:r>
        <w:rPr>
          <w:color w:val="000000"/>
        </w:rPr>
        <w:t>, “</w:t>
      </w:r>
      <w:proofErr w:type="spellStart"/>
      <w:r>
        <w:rPr>
          <w:color w:val="000000"/>
        </w:rPr>
        <w:t>the</w:t>
      </w:r>
      <w:proofErr w:type="spellEnd"/>
      <w:r>
        <w:rPr>
          <w:color w:val="000000"/>
        </w:rPr>
        <w:t xml:space="preserve"> Internet </w:t>
      </w:r>
      <w:proofErr w:type="spellStart"/>
      <w:r>
        <w:rPr>
          <w:color w:val="000000"/>
        </w:rPr>
        <w:t>of</w:t>
      </w:r>
      <w:proofErr w:type="spellEnd"/>
      <w:r>
        <w:rPr>
          <w:color w:val="000000"/>
        </w:rPr>
        <w:t xml:space="preserve"> </w:t>
      </w:r>
      <w:proofErr w:type="spellStart"/>
      <w:r>
        <w:rPr>
          <w:color w:val="000000"/>
        </w:rPr>
        <w:t>Things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next-generation</w:t>
      </w:r>
      <w:proofErr w:type="spellEnd"/>
      <w:r>
        <w:rPr>
          <w:color w:val="000000"/>
        </w:rPr>
        <w:t xml:space="preserve"> </w:t>
      </w:r>
      <w:proofErr w:type="spellStart"/>
      <w:r>
        <w:rPr>
          <w:color w:val="000000"/>
        </w:rPr>
        <w:t>technology</w:t>
      </w:r>
      <w:proofErr w:type="spellEnd"/>
      <w:r>
        <w:rPr>
          <w:color w:val="000000"/>
        </w:rPr>
        <w:t xml:space="preserve"> </w:t>
      </w:r>
      <w:proofErr w:type="spellStart"/>
      <w:r>
        <w:rPr>
          <w:color w:val="000000"/>
        </w:rPr>
        <w:t>policy</w:t>
      </w:r>
      <w:proofErr w:type="spellEnd"/>
      <w:r>
        <w:rPr>
          <w:color w:val="000000"/>
        </w:rPr>
        <w:t xml:space="preserve">. </w:t>
      </w:r>
      <w:r>
        <w:rPr>
          <w:b/>
          <w:bCs/>
          <w:color w:val="000000"/>
        </w:rPr>
        <w:t xml:space="preserve">OMICS: A </w:t>
      </w:r>
      <w:proofErr w:type="spellStart"/>
      <w:r>
        <w:rPr>
          <w:b/>
          <w:bCs/>
          <w:color w:val="000000"/>
        </w:rPr>
        <w:t>Journal</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Integrative</w:t>
      </w:r>
      <w:proofErr w:type="spellEnd"/>
      <w:r>
        <w:rPr>
          <w:b/>
          <w:bCs/>
          <w:color w:val="000000"/>
        </w:rPr>
        <w:t xml:space="preserve"> </w:t>
      </w:r>
      <w:proofErr w:type="spellStart"/>
      <w:r>
        <w:rPr>
          <w:b/>
          <w:bCs/>
          <w:color w:val="000000"/>
        </w:rPr>
        <w:t>Biology</w:t>
      </w:r>
      <w:proofErr w:type="spellEnd"/>
      <w:r>
        <w:rPr>
          <w:color w:val="000000"/>
        </w:rPr>
        <w:t xml:space="preserve">, v. 22, n. 1, p. 65-76, 2018. Disponível em: </w:t>
      </w:r>
      <w:hyperlink r:id="rId23" w:history="1">
        <w:r>
          <w:rPr>
            <w:rStyle w:val="Hyperlink"/>
            <w:color w:val="1155CC"/>
          </w:rPr>
          <w:t>https://doi.org/10.1089/omi.2017.0194</w:t>
        </w:r>
      </w:hyperlink>
      <w:r>
        <w:rPr>
          <w:color w:val="000000"/>
        </w:rPr>
        <w:t>. Acesso em: 10 jul. 2025.</w:t>
      </w:r>
    </w:p>
    <w:p w14:paraId="4FCFB60B" w14:textId="77777777" w:rsidR="00B470B5" w:rsidRDefault="00B470B5" w:rsidP="00B470B5">
      <w:pPr>
        <w:pStyle w:val="NormalWeb"/>
        <w:spacing w:afterLines="100" w:after="240"/>
      </w:pPr>
      <w:r>
        <w:rPr>
          <w:color w:val="000000"/>
        </w:rPr>
        <w:t xml:space="preserve">PACTO GLOBAL DAS NAÇÕES UNIDAS. </w:t>
      </w:r>
      <w:r>
        <w:rPr>
          <w:b/>
          <w:bCs/>
          <w:color w:val="000000"/>
        </w:rPr>
        <w:t>Integrando os ODS na estratégia empresarial</w:t>
      </w:r>
      <w:r>
        <w:rPr>
          <w:color w:val="000000"/>
        </w:rPr>
        <w:t xml:space="preserve">: Um guia prático. 2020. Disponível em: </w:t>
      </w:r>
      <w:hyperlink r:id="rId24" w:history="1">
        <w:r>
          <w:rPr>
            <w:rStyle w:val="Hyperlink"/>
            <w:color w:val="1155CC"/>
          </w:rPr>
          <w:t>https://www.pactoglobal.org.br</w:t>
        </w:r>
      </w:hyperlink>
      <w:r>
        <w:rPr>
          <w:color w:val="000000"/>
        </w:rPr>
        <w:t>. Acesso em: 1 ago. 2025.</w:t>
      </w:r>
    </w:p>
    <w:p w14:paraId="6E87AE8B" w14:textId="77777777" w:rsidR="00B470B5" w:rsidRDefault="00B470B5" w:rsidP="00B470B5">
      <w:pPr>
        <w:pStyle w:val="NormalWeb"/>
        <w:spacing w:afterLines="100" w:after="240"/>
      </w:pPr>
      <w:r>
        <w:rPr>
          <w:color w:val="000000"/>
        </w:rPr>
        <w:t xml:space="preserve">PANZA, L.; BRUNO, G.; LOMBARDI, F. Integrar a sustentabilidade absoluta e a sustentabilidade social no passaporte digital do produto para promover a indústria 5.0. </w:t>
      </w:r>
      <w:r>
        <w:rPr>
          <w:b/>
          <w:bCs/>
          <w:color w:val="000000"/>
        </w:rPr>
        <w:t>Sustentabilidade</w:t>
      </w:r>
      <w:r>
        <w:rPr>
          <w:color w:val="000000"/>
        </w:rPr>
        <w:t xml:space="preserve">, v. 15, n. 16, p. 12552, 2023. Disponível em: </w:t>
      </w:r>
      <w:hyperlink r:id="rId25" w:history="1">
        <w:r>
          <w:rPr>
            <w:rStyle w:val="Hyperlink"/>
            <w:color w:val="1155CC"/>
          </w:rPr>
          <w:t>https://doi.org/10.3390/su151612552</w:t>
        </w:r>
      </w:hyperlink>
      <w:r>
        <w:rPr>
          <w:color w:val="000000"/>
        </w:rPr>
        <w:t>. Acesso em: 10 jul. 2025.</w:t>
      </w:r>
    </w:p>
    <w:p w14:paraId="663FEF93" w14:textId="77777777" w:rsidR="00B470B5" w:rsidRDefault="00B470B5" w:rsidP="00B470B5">
      <w:pPr>
        <w:pStyle w:val="NormalWeb"/>
        <w:spacing w:afterLines="100" w:after="240"/>
      </w:pPr>
      <w:r>
        <w:rPr>
          <w:color w:val="000000"/>
        </w:rPr>
        <w:t xml:space="preserve">PNUD. </w:t>
      </w:r>
      <w:r>
        <w:rPr>
          <w:b/>
          <w:bCs/>
          <w:color w:val="000000"/>
        </w:rPr>
        <w:t>Programa das Nações Unidas para o Desenvolvimento</w:t>
      </w:r>
      <w:r>
        <w:rPr>
          <w:color w:val="000000"/>
        </w:rPr>
        <w:t xml:space="preserve">: os objetivos do desenvolvimento sustentável. </w:t>
      </w:r>
      <w:proofErr w:type="spellStart"/>
      <w:r>
        <w:rPr>
          <w:color w:val="000000"/>
        </w:rPr>
        <w:t>dosODM</w:t>
      </w:r>
      <w:proofErr w:type="spellEnd"/>
      <w:r>
        <w:rPr>
          <w:color w:val="000000"/>
        </w:rPr>
        <w:t xml:space="preserve"> aos ODS. Disponível em: </w:t>
      </w:r>
      <w:hyperlink r:id="rId26" w:history="1">
        <w:r>
          <w:rPr>
            <w:rStyle w:val="Hyperlink"/>
            <w:color w:val="1155CC"/>
          </w:rPr>
          <w:t>http://www.pnud.org.br/ods.aspx</w:t>
        </w:r>
      </w:hyperlink>
      <w:r>
        <w:rPr>
          <w:color w:val="000000"/>
        </w:rPr>
        <w:t>. Acesso em: 27 jul. 2025.</w:t>
      </w:r>
    </w:p>
    <w:p w14:paraId="3DD6B597" w14:textId="77777777" w:rsidR="00B470B5" w:rsidRDefault="00B470B5" w:rsidP="00B470B5">
      <w:pPr>
        <w:pStyle w:val="NormalWeb"/>
        <w:spacing w:afterLines="100" w:after="240"/>
      </w:pPr>
      <w:r>
        <w:rPr>
          <w:color w:val="000000"/>
        </w:rPr>
        <w:t xml:space="preserve">PRUSAK, L. Where </w:t>
      </w:r>
      <w:proofErr w:type="spellStart"/>
      <w:r>
        <w:rPr>
          <w:color w:val="000000"/>
        </w:rPr>
        <w:t>did</w:t>
      </w:r>
      <w:proofErr w:type="spellEnd"/>
      <w:r>
        <w:rPr>
          <w:color w:val="000000"/>
        </w:rPr>
        <w:t xml:space="preserve"> </w:t>
      </w:r>
      <w:proofErr w:type="spellStart"/>
      <w:r>
        <w:rPr>
          <w:color w:val="000000"/>
        </w:rPr>
        <w:t>Knowledge</w:t>
      </w:r>
      <w:proofErr w:type="spellEnd"/>
      <w:r>
        <w:rPr>
          <w:color w:val="000000"/>
        </w:rPr>
        <w:t xml:space="preserve"> Management Come </w:t>
      </w:r>
      <w:proofErr w:type="spellStart"/>
      <w:r>
        <w:rPr>
          <w:color w:val="000000"/>
        </w:rPr>
        <w:t>from</w:t>
      </w:r>
      <w:proofErr w:type="spellEnd"/>
      <w:r>
        <w:rPr>
          <w:color w:val="000000"/>
        </w:rPr>
        <w:t xml:space="preserve">? </w:t>
      </w:r>
      <w:r>
        <w:rPr>
          <w:b/>
          <w:bCs/>
          <w:color w:val="000000"/>
        </w:rPr>
        <w:t xml:space="preserve">IBM Systems </w:t>
      </w:r>
      <w:proofErr w:type="spellStart"/>
      <w:r>
        <w:rPr>
          <w:b/>
          <w:bCs/>
          <w:color w:val="000000"/>
        </w:rPr>
        <w:t>Journal</w:t>
      </w:r>
      <w:proofErr w:type="spellEnd"/>
      <w:r>
        <w:rPr>
          <w:color w:val="000000"/>
        </w:rPr>
        <w:t>, v. 40, n. 4, p. 1002-1007, 2001.</w:t>
      </w:r>
    </w:p>
    <w:p w14:paraId="71013DDD" w14:textId="77777777" w:rsidR="00B470B5" w:rsidRDefault="00B470B5" w:rsidP="00B470B5">
      <w:pPr>
        <w:pStyle w:val="NormalWeb"/>
        <w:spacing w:afterLines="100" w:after="240"/>
      </w:pPr>
      <w:r>
        <w:rPr>
          <w:color w:val="000000"/>
        </w:rPr>
        <w:t xml:space="preserve">REJEB, A. et al. The </w:t>
      </w:r>
      <w:proofErr w:type="spellStart"/>
      <w:r>
        <w:rPr>
          <w:color w:val="000000"/>
        </w:rPr>
        <w:t>research</w:t>
      </w:r>
      <w:proofErr w:type="spellEnd"/>
      <w:r>
        <w:rPr>
          <w:color w:val="000000"/>
        </w:rPr>
        <w:t xml:space="preserve"> </w:t>
      </w:r>
      <w:proofErr w:type="spellStart"/>
      <w:r>
        <w:rPr>
          <w:color w:val="000000"/>
        </w:rPr>
        <w:t>landscape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industry</w:t>
      </w:r>
      <w:proofErr w:type="spellEnd"/>
      <w:r>
        <w:rPr>
          <w:color w:val="000000"/>
        </w:rPr>
        <w:t xml:space="preserve"> 5.0: a </w:t>
      </w:r>
      <w:proofErr w:type="spellStart"/>
      <w:r>
        <w:rPr>
          <w:color w:val="000000"/>
        </w:rPr>
        <w:t>scientific</w:t>
      </w:r>
      <w:proofErr w:type="spellEnd"/>
      <w:r>
        <w:rPr>
          <w:color w:val="000000"/>
        </w:rPr>
        <w:t xml:space="preserve"> mapping </w:t>
      </w:r>
      <w:proofErr w:type="spellStart"/>
      <w:r>
        <w:rPr>
          <w:color w:val="000000"/>
        </w:rPr>
        <w:t>based</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bibliometric</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topic</w:t>
      </w:r>
      <w:proofErr w:type="spellEnd"/>
      <w:r>
        <w:rPr>
          <w:color w:val="000000"/>
        </w:rPr>
        <w:t xml:space="preserve"> </w:t>
      </w:r>
      <w:proofErr w:type="spellStart"/>
      <w:r>
        <w:rPr>
          <w:color w:val="000000"/>
        </w:rPr>
        <w:t>modeling</w:t>
      </w:r>
      <w:proofErr w:type="spellEnd"/>
      <w:r>
        <w:rPr>
          <w:color w:val="000000"/>
        </w:rPr>
        <w:t xml:space="preserve"> </w:t>
      </w:r>
      <w:proofErr w:type="spellStart"/>
      <w:r>
        <w:rPr>
          <w:color w:val="000000"/>
        </w:rPr>
        <w:t>techniques</w:t>
      </w:r>
      <w:proofErr w:type="spellEnd"/>
      <w:r>
        <w:rPr>
          <w:color w:val="000000"/>
        </w:rPr>
        <w:t xml:space="preserve">. </w:t>
      </w:r>
      <w:proofErr w:type="spellStart"/>
      <w:r>
        <w:rPr>
          <w:b/>
          <w:bCs/>
          <w:color w:val="000000"/>
        </w:rPr>
        <w:t>Flexible</w:t>
      </w:r>
      <w:proofErr w:type="spellEnd"/>
      <w:r>
        <w:rPr>
          <w:b/>
          <w:bCs/>
          <w:color w:val="000000"/>
        </w:rPr>
        <w:t xml:space="preserve"> Services </w:t>
      </w:r>
      <w:proofErr w:type="spellStart"/>
      <w:r>
        <w:rPr>
          <w:b/>
          <w:bCs/>
          <w:color w:val="000000"/>
        </w:rPr>
        <w:t>and</w:t>
      </w:r>
      <w:proofErr w:type="spellEnd"/>
      <w:r>
        <w:rPr>
          <w:b/>
          <w:bCs/>
          <w:color w:val="000000"/>
        </w:rPr>
        <w:t xml:space="preserve"> Manufacturing </w:t>
      </w:r>
      <w:proofErr w:type="spellStart"/>
      <w:r>
        <w:rPr>
          <w:b/>
          <w:bCs/>
          <w:color w:val="000000"/>
        </w:rPr>
        <w:t>Journal</w:t>
      </w:r>
      <w:proofErr w:type="spellEnd"/>
      <w:r>
        <w:rPr>
          <w:color w:val="000000"/>
        </w:rPr>
        <w:t xml:space="preserve">, 2024. Disponível em: </w:t>
      </w:r>
      <w:hyperlink r:id="rId27" w:history="1">
        <w:r>
          <w:rPr>
            <w:rStyle w:val="Hyperlink"/>
            <w:color w:val="1155CC"/>
          </w:rPr>
          <w:t>https://doi.org/10.1007/s10696-024-09584-4</w:t>
        </w:r>
      </w:hyperlink>
      <w:r>
        <w:rPr>
          <w:color w:val="000000"/>
        </w:rPr>
        <w:t>. Acesso em: 2 ago. 2025.</w:t>
      </w:r>
    </w:p>
    <w:p w14:paraId="57AF4996" w14:textId="77777777" w:rsidR="00B470B5" w:rsidRDefault="00B470B5" w:rsidP="00B470B5">
      <w:pPr>
        <w:pStyle w:val="NormalWeb"/>
        <w:spacing w:afterLines="100" w:after="240"/>
      </w:pPr>
      <w:r>
        <w:rPr>
          <w:color w:val="000000"/>
        </w:rPr>
        <w:t xml:space="preserve">RAME, R.; PURWANTO, P.; SUDARNO, S. Indústria 5.0 e sustentabilidade: uma visão geral das tendências e desafios emergentes para um futuro verde. </w:t>
      </w:r>
      <w:r>
        <w:rPr>
          <w:b/>
          <w:bCs/>
          <w:color w:val="000000"/>
        </w:rPr>
        <w:t>Inovação e Desenvolvimento Verde</w:t>
      </w:r>
      <w:r>
        <w:rPr>
          <w:color w:val="000000"/>
        </w:rPr>
        <w:t xml:space="preserve">, v. 3, n. 4, p. 100173, 2024. Disponível em: </w:t>
      </w:r>
      <w:hyperlink r:id="rId28" w:history="1">
        <w:r>
          <w:rPr>
            <w:rStyle w:val="Hyperlink"/>
            <w:color w:val="1155CC"/>
          </w:rPr>
          <w:t>https://doi.org/10.1016/j.igd.2024.100173</w:t>
        </w:r>
      </w:hyperlink>
      <w:r>
        <w:rPr>
          <w:color w:val="000000"/>
        </w:rPr>
        <w:t>. Acesso em: 1 ago. 2025.</w:t>
      </w:r>
    </w:p>
    <w:p w14:paraId="7AA6D488" w14:textId="77777777" w:rsidR="00B470B5" w:rsidRDefault="00B470B5" w:rsidP="00B470B5">
      <w:pPr>
        <w:pStyle w:val="NormalWeb"/>
        <w:spacing w:afterLines="100" w:after="240"/>
      </w:pPr>
      <w:r>
        <w:rPr>
          <w:color w:val="000000"/>
        </w:rPr>
        <w:t xml:space="preserve">RAO, A.; GOHAR, A.; PARK, C. </w:t>
      </w:r>
      <w:proofErr w:type="spellStart"/>
      <w:r>
        <w:rPr>
          <w:color w:val="000000"/>
        </w:rPr>
        <w:t>Additive</w:t>
      </w:r>
      <w:proofErr w:type="spellEnd"/>
      <w:r>
        <w:rPr>
          <w:color w:val="000000"/>
        </w:rPr>
        <w:t xml:space="preserve"> </w:t>
      </w:r>
      <w:proofErr w:type="spellStart"/>
      <w:r>
        <w:rPr>
          <w:color w:val="000000"/>
        </w:rPr>
        <w:t>manufacturing</w:t>
      </w:r>
      <w:proofErr w:type="spellEnd"/>
      <w:r>
        <w:rPr>
          <w:color w:val="000000"/>
        </w:rPr>
        <w:t xml:space="preserve"> for </w:t>
      </w:r>
      <w:proofErr w:type="spellStart"/>
      <w:r>
        <w:rPr>
          <w:color w:val="000000"/>
        </w:rPr>
        <w:t>sustainable</w:t>
      </w:r>
      <w:proofErr w:type="spellEnd"/>
      <w:r>
        <w:rPr>
          <w:color w:val="000000"/>
        </w:rPr>
        <w:t xml:space="preserve"> </w:t>
      </w:r>
      <w:proofErr w:type="spellStart"/>
      <w:r>
        <w:rPr>
          <w:color w:val="000000"/>
        </w:rPr>
        <w:t>development</w:t>
      </w:r>
      <w:proofErr w:type="spellEnd"/>
      <w:r>
        <w:rPr>
          <w:color w:val="000000"/>
        </w:rPr>
        <w:t xml:space="preserve">: A review </w:t>
      </w:r>
      <w:proofErr w:type="spellStart"/>
      <w:r>
        <w:rPr>
          <w:color w:val="000000"/>
        </w:rPr>
        <w:t>on</w:t>
      </w:r>
      <w:proofErr w:type="spellEnd"/>
      <w:r>
        <w:rPr>
          <w:color w:val="000000"/>
        </w:rPr>
        <w:t xml:space="preserve"> </w:t>
      </w:r>
      <w:proofErr w:type="spellStart"/>
      <w:r>
        <w:rPr>
          <w:color w:val="000000"/>
        </w:rPr>
        <w:t>potential</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challenges</w:t>
      </w:r>
      <w:proofErr w:type="spellEnd"/>
      <w:r>
        <w:rPr>
          <w:color w:val="000000"/>
        </w:rPr>
        <w:t xml:space="preserve">. </w:t>
      </w:r>
      <w:proofErr w:type="spellStart"/>
      <w:r>
        <w:rPr>
          <w:b/>
          <w:bCs/>
          <w:color w:val="000000"/>
        </w:rPr>
        <w:t>Journal</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Cleaner</w:t>
      </w:r>
      <w:proofErr w:type="spellEnd"/>
      <w:r>
        <w:rPr>
          <w:b/>
          <w:bCs/>
          <w:color w:val="000000"/>
        </w:rPr>
        <w:t xml:space="preserve"> </w:t>
      </w:r>
      <w:proofErr w:type="spellStart"/>
      <w:r>
        <w:rPr>
          <w:b/>
          <w:bCs/>
          <w:color w:val="000000"/>
        </w:rPr>
        <w:t>Production</w:t>
      </w:r>
      <w:proofErr w:type="spellEnd"/>
      <w:r>
        <w:rPr>
          <w:color w:val="000000"/>
        </w:rPr>
        <w:t xml:space="preserve">, v. 337, p. 130547, 2022. Disponível em: </w:t>
      </w:r>
      <w:hyperlink r:id="rId29" w:history="1">
        <w:r>
          <w:rPr>
            <w:rStyle w:val="Hyperlink"/>
            <w:color w:val="1155CC"/>
          </w:rPr>
          <w:t>https://doi.org/10.1016/j.sftr.2022.100098</w:t>
        </w:r>
      </w:hyperlink>
      <w:r>
        <w:rPr>
          <w:color w:val="000000"/>
        </w:rPr>
        <w:t>. Acesso em: 10 jul. 2025.</w:t>
      </w:r>
    </w:p>
    <w:p w14:paraId="6D346BD3" w14:textId="77777777" w:rsidR="00B470B5" w:rsidRDefault="00B470B5" w:rsidP="00B470B5">
      <w:pPr>
        <w:pStyle w:val="NormalWeb"/>
        <w:spacing w:afterLines="100" w:after="240"/>
      </w:pPr>
      <w:r>
        <w:rPr>
          <w:color w:val="000000"/>
        </w:rPr>
        <w:t xml:space="preserve">RIBEIRO, J. S. D. A. N. et al. Criação de valor para Indústria 4.0: desafios e oportunidades para gestão do conhecimento e tecnologia da informação. In: CONGRESSO INTERNACIONAL DE CONHECIMENTO E INOVAÇÃO–CIKI, 1., [2019], [S. l.]. </w:t>
      </w:r>
      <w:r>
        <w:rPr>
          <w:b/>
          <w:bCs/>
          <w:color w:val="000000"/>
        </w:rPr>
        <w:t>Anais...</w:t>
      </w:r>
      <w:r>
        <w:rPr>
          <w:color w:val="000000"/>
        </w:rPr>
        <w:t xml:space="preserve"> [S. l.]: [s. n.], 2019a. v. 1, n. 1. Disponível em: </w:t>
      </w:r>
      <w:hyperlink r:id="rId30" w:history="1">
        <w:r>
          <w:rPr>
            <w:rStyle w:val="Hyperlink"/>
            <w:color w:val="1155CC"/>
          </w:rPr>
          <w:t>https://encurtador.com.br/vum84</w:t>
        </w:r>
      </w:hyperlink>
      <w:r>
        <w:rPr>
          <w:color w:val="000000"/>
        </w:rPr>
        <w:t>. Acesso em: 1 ago. 2025.</w:t>
      </w:r>
    </w:p>
    <w:p w14:paraId="0F1978C3" w14:textId="77777777" w:rsidR="00B470B5" w:rsidRDefault="00B470B5" w:rsidP="00B470B5">
      <w:pPr>
        <w:pStyle w:val="NormalWeb"/>
        <w:spacing w:afterLines="100" w:after="240"/>
      </w:pPr>
      <w:r>
        <w:rPr>
          <w:color w:val="000000"/>
        </w:rPr>
        <w:lastRenderedPageBreak/>
        <w:t xml:space="preserve">RIBEIRO, J. S. D. A. N. et al. Inovação social e gestão do conhecimento estratégico: estudo de caso na cadeia de suprimentos reversa. </w:t>
      </w:r>
      <w:r>
        <w:rPr>
          <w:b/>
          <w:bCs/>
          <w:color w:val="000000"/>
        </w:rPr>
        <w:t>Perspectivas em Gestão &amp; Conhecimento</w:t>
      </w:r>
      <w:r>
        <w:rPr>
          <w:color w:val="000000"/>
        </w:rPr>
        <w:t xml:space="preserve">, v. 9, n. 1, p. 285-302, 2019b. Disponível em: </w:t>
      </w:r>
      <w:hyperlink r:id="rId31" w:history="1">
        <w:r>
          <w:rPr>
            <w:rStyle w:val="Hyperlink"/>
            <w:color w:val="1155CC"/>
          </w:rPr>
          <w:t>http://dx.doi.org/10.21714/2236-417X2019v9n1p285</w:t>
        </w:r>
      </w:hyperlink>
      <w:r>
        <w:rPr>
          <w:color w:val="000000"/>
        </w:rPr>
        <w:t>. Acesso em: 10 jul. 2025.</w:t>
      </w:r>
    </w:p>
    <w:p w14:paraId="5F3A9519" w14:textId="77777777" w:rsidR="00B470B5" w:rsidRDefault="00B470B5" w:rsidP="00B470B5">
      <w:pPr>
        <w:pStyle w:val="NormalWeb"/>
        <w:spacing w:afterLines="100" w:after="240"/>
      </w:pPr>
      <w:r>
        <w:rPr>
          <w:color w:val="000000"/>
        </w:rPr>
        <w:t xml:space="preserve">SANIUK, S.; GRABOWSKA, S.; STRAKA, M. Identificação de Expectativas Sociais e Econômicas: Razões Contextuais para o Processo de Transformação da Indústria 4.0 no Conceito de Indústria 5.0. </w:t>
      </w:r>
      <w:r>
        <w:rPr>
          <w:b/>
          <w:bCs/>
          <w:color w:val="000000"/>
        </w:rPr>
        <w:t>Sustentabilidade</w:t>
      </w:r>
      <w:r>
        <w:rPr>
          <w:color w:val="000000"/>
        </w:rPr>
        <w:t xml:space="preserve">, v. 14, n. 3, p. 1391, 2022. Disponível em: </w:t>
      </w:r>
      <w:hyperlink r:id="rId32" w:history="1">
        <w:r>
          <w:rPr>
            <w:rStyle w:val="Hyperlink"/>
            <w:color w:val="1155CC"/>
          </w:rPr>
          <w:t>https://doi.org/10.3390/su14031391</w:t>
        </w:r>
      </w:hyperlink>
      <w:r>
        <w:rPr>
          <w:color w:val="000000"/>
        </w:rPr>
        <w:t>. Acesso em: 10 jul. 2025.</w:t>
      </w:r>
    </w:p>
    <w:p w14:paraId="6576CC20" w14:textId="77777777" w:rsidR="00B470B5" w:rsidRDefault="00B470B5" w:rsidP="00B470B5">
      <w:pPr>
        <w:pStyle w:val="NormalWeb"/>
        <w:spacing w:afterLines="100" w:after="240"/>
      </w:pPr>
      <w:r>
        <w:rPr>
          <w:color w:val="000000"/>
        </w:rPr>
        <w:t xml:space="preserve">SANTOS, B.; COSTA, R. L. C.; SANTOS, L. Cibersegurança na Indústria 5.0: desafios abertos e direções futuras. In: CONFERÊNCIA INTERNACIONAL ANUAL SOBRE PRIVACIDADE, SEGURANÇA E CONFIANÇA (PST), 21., 2024, [S. l.]. </w:t>
      </w:r>
      <w:r>
        <w:rPr>
          <w:b/>
          <w:bCs/>
          <w:color w:val="000000"/>
        </w:rPr>
        <w:t>Anais...</w:t>
      </w:r>
      <w:r>
        <w:rPr>
          <w:color w:val="000000"/>
        </w:rPr>
        <w:t xml:space="preserve"> [S. l.]: IEEE, 2024. p. 1-6. Disponível em: </w:t>
      </w:r>
      <w:hyperlink r:id="rId33" w:history="1">
        <w:r>
          <w:rPr>
            <w:rStyle w:val="Hyperlink"/>
            <w:color w:val="1155CC"/>
          </w:rPr>
          <w:t>https://doi.org/10.1109/PST62714.2024.10788065</w:t>
        </w:r>
      </w:hyperlink>
      <w:r>
        <w:rPr>
          <w:color w:val="000000"/>
        </w:rPr>
        <w:t>. Acesso em: 10 jul. 2025.</w:t>
      </w:r>
    </w:p>
    <w:p w14:paraId="1981E4FC" w14:textId="77777777" w:rsidR="00B470B5" w:rsidRDefault="00B470B5" w:rsidP="00B470B5">
      <w:pPr>
        <w:pStyle w:val="NormalWeb"/>
        <w:spacing w:afterLines="100" w:after="240"/>
      </w:pPr>
      <w:r>
        <w:rPr>
          <w:color w:val="000000"/>
        </w:rPr>
        <w:t xml:space="preserve">SILVA, H. M. D.; RECH, S. R. Impactos da indústria 5.0 e moda: uma revisão sistemática da literatura. 2024. Disponível em: </w:t>
      </w:r>
      <w:hyperlink r:id="rId34" w:history="1">
        <w:r>
          <w:rPr>
            <w:rStyle w:val="Hyperlink"/>
            <w:color w:val="1155CC"/>
          </w:rPr>
          <w:t>https://doi.org/10.29327/5457226.1-399</w:t>
        </w:r>
      </w:hyperlink>
      <w:r>
        <w:rPr>
          <w:color w:val="000000"/>
        </w:rPr>
        <w:t>. Acesso em: 10 jul. 2025.</w:t>
      </w:r>
    </w:p>
    <w:p w14:paraId="273A469B" w14:textId="77777777" w:rsidR="00B470B5" w:rsidRDefault="00B470B5" w:rsidP="00B470B5">
      <w:pPr>
        <w:pStyle w:val="NormalWeb"/>
        <w:spacing w:afterLines="100" w:after="240"/>
      </w:pPr>
      <w:r>
        <w:rPr>
          <w:color w:val="000000"/>
        </w:rPr>
        <w:t xml:space="preserve">TOPOL, E. </w:t>
      </w:r>
      <w:proofErr w:type="spellStart"/>
      <w:r>
        <w:rPr>
          <w:b/>
          <w:bCs/>
          <w:color w:val="000000"/>
        </w:rPr>
        <w:t>Deep</w:t>
      </w:r>
      <w:proofErr w:type="spellEnd"/>
      <w:r>
        <w:rPr>
          <w:b/>
          <w:bCs/>
          <w:color w:val="000000"/>
        </w:rPr>
        <w:t xml:space="preserve"> medicine</w:t>
      </w:r>
      <w:r>
        <w:rPr>
          <w:color w:val="000000"/>
        </w:rPr>
        <w:t xml:space="preserve">: </w:t>
      </w:r>
      <w:proofErr w:type="spellStart"/>
      <w:r>
        <w:rPr>
          <w:color w:val="000000"/>
        </w:rPr>
        <w:t>How</w:t>
      </w:r>
      <w:proofErr w:type="spellEnd"/>
      <w:r>
        <w:rPr>
          <w:color w:val="000000"/>
        </w:rPr>
        <w:t xml:space="preserve"> artificial </w:t>
      </w:r>
      <w:proofErr w:type="spellStart"/>
      <w:r>
        <w:rPr>
          <w:color w:val="000000"/>
        </w:rPr>
        <w:t>intelligence</w:t>
      </w:r>
      <w:proofErr w:type="spellEnd"/>
      <w:r>
        <w:rPr>
          <w:color w:val="000000"/>
        </w:rPr>
        <w:t xml:space="preserve"> </w:t>
      </w:r>
      <w:proofErr w:type="spellStart"/>
      <w:r>
        <w:rPr>
          <w:color w:val="000000"/>
        </w:rPr>
        <w:t>can</w:t>
      </w:r>
      <w:proofErr w:type="spellEnd"/>
      <w:r>
        <w:rPr>
          <w:color w:val="000000"/>
        </w:rPr>
        <w:t xml:space="preserve"> make healthcare </w:t>
      </w:r>
      <w:proofErr w:type="spellStart"/>
      <w:r>
        <w:rPr>
          <w:color w:val="000000"/>
        </w:rPr>
        <w:t>human</w:t>
      </w:r>
      <w:proofErr w:type="spellEnd"/>
      <w:r>
        <w:rPr>
          <w:color w:val="000000"/>
        </w:rPr>
        <w:t xml:space="preserve"> </w:t>
      </w:r>
      <w:proofErr w:type="spellStart"/>
      <w:r>
        <w:rPr>
          <w:color w:val="000000"/>
        </w:rPr>
        <w:t>again</w:t>
      </w:r>
      <w:proofErr w:type="spellEnd"/>
      <w:r>
        <w:rPr>
          <w:color w:val="000000"/>
        </w:rPr>
        <w:t>. Basic Books, 2019.</w:t>
      </w:r>
    </w:p>
    <w:p w14:paraId="01B35E7C" w14:textId="77777777" w:rsidR="00B470B5" w:rsidRDefault="00B470B5" w:rsidP="00B470B5">
      <w:pPr>
        <w:pStyle w:val="NormalWeb"/>
        <w:spacing w:afterLines="100" w:after="240"/>
      </w:pPr>
      <w:r>
        <w:rPr>
          <w:color w:val="000000"/>
        </w:rPr>
        <w:t xml:space="preserve">TUBIS, A. A.; POTURAJ, H.; SMOK, A. Interação entre um sistema humano e um sistema AGV em um espaço de trabalho compartilhado - uma revisão da literatura identificando áreas de pesquisa. </w:t>
      </w:r>
      <w:r>
        <w:rPr>
          <w:b/>
          <w:bCs/>
          <w:color w:val="000000"/>
        </w:rPr>
        <w:t>Sustentabilidade</w:t>
      </w:r>
      <w:r>
        <w:rPr>
          <w:color w:val="000000"/>
        </w:rPr>
        <w:t xml:space="preserve">, v. 16, n. 3, p. 974, 2024. Disponível em: </w:t>
      </w:r>
      <w:hyperlink r:id="rId35" w:history="1">
        <w:r>
          <w:rPr>
            <w:rStyle w:val="Hyperlink"/>
            <w:color w:val="1155CC"/>
          </w:rPr>
          <w:t>https://doi.org/10.3390/su16030974</w:t>
        </w:r>
      </w:hyperlink>
      <w:r>
        <w:rPr>
          <w:color w:val="000000"/>
        </w:rPr>
        <w:t>. Acesso em: 10 jul. 2025.</w:t>
      </w:r>
    </w:p>
    <w:p w14:paraId="593C7B09" w14:textId="77777777" w:rsidR="00B470B5" w:rsidRDefault="00B470B5" w:rsidP="00B470B5">
      <w:pPr>
        <w:pStyle w:val="NormalWeb"/>
        <w:spacing w:afterLines="100" w:after="240"/>
      </w:pPr>
      <w:r>
        <w:rPr>
          <w:color w:val="000000"/>
        </w:rPr>
        <w:t xml:space="preserve">UNIDO. </w:t>
      </w:r>
      <w:proofErr w:type="spellStart"/>
      <w:r>
        <w:rPr>
          <w:b/>
          <w:bCs/>
          <w:color w:val="000000"/>
        </w:rPr>
        <w:t>Gender</w:t>
      </w:r>
      <w:proofErr w:type="spellEnd"/>
      <w:r>
        <w:rPr>
          <w:b/>
          <w:bCs/>
          <w:color w:val="000000"/>
        </w:rPr>
        <w:t xml:space="preserve"> </w:t>
      </w:r>
      <w:proofErr w:type="spellStart"/>
      <w:r>
        <w:rPr>
          <w:b/>
          <w:bCs/>
          <w:color w:val="000000"/>
        </w:rPr>
        <w:t>equality</w:t>
      </w:r>
      <w:proofErr w:type="spellEnd"/>
      <w:r>
        <w:rPr>
          <w:b/>
          <w:bCs/>
          <w:color w:val="000000"/>
        </w:rPr>
        <w:t xml:space="preserve"> in </w:t>
      </w:r>
      <w:proofErr w:type="spellStart"/>
      <w:r>
        <w:rPr>
          <w:b/>
          <w:bCs/>
          <w:color w:val="000000"/>
        </w:rPr>
        <w:t>Industry</w:t>
      </w:r>
      <w:proofErr w:type="spellEnd"/>
      <w:r>
        <w:rPr>
          <w:b/>
          <w:bCs/>
          <w:color w:val="000000"/>
        </w:rPr>
        <w:t xml:space="preserve"> 4.0</w:t>
      </w:r>
      <w:r>
        <w:rPr>
          <w:color w:val="000000"/>
        </w:rPr>
        <w:t xml:space="preserve">: </w:t>
      </w:r>
      <w:proofErr w:type="spellStart"/>
      <w:r>
        <w:rPr>
          <w:color w:val="000000"/>
        </w:rPr>
        <w:t>Challenges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opportunities</w:t>
      </w:r>
      <w:proofErr w:type="spellEnd"/>
      <w:r>
        <w:rPr>
          <w:color w:val="000000"/>
        </w:rPr>
        <w:t xml:space="preserve">. United </w:t>
      </w:r>
      <w:proofErr w:type="spellStart"/>
      <w:r>
        <w:rPr>
          <w:color w:val="000000"/>
        </w:rPr>
        <w:t>Nations</w:t>
      </w:r>
      <w:proofErr w:type="spellEnd"/>
      <w:r>
        <w:rPr>
          <w:color w:val="000000"/>
        </w:rPr>
        <w:t xml:space="preserve"> Industrial </w:t>
      </w:r>
      <w:proofErr w:type="spellStart"/>
      <w:r>
        <w:rPr>
          <w:color w:val="000000"/>
        </w:rPr>
        <w:t>Development</w:t>
      </w:r>
      <w:proofErr w:type="spellEnd"/>
      <w:r>
        <w:rPr>
          <w:color w:val="000000"/>
        </w:rPr>
        <w:t xml:space="preserve"> </w:t>
      </w:r>
      <w:proofErr w:type="spellStart"/>
      <w:r>
        <w:rPr>
          <w:color w:val="000000"/>
        </w:rPr>
        <w:t>Organization</w:t>
      </w:r>
      <w:proofErr w:type="spellEnd"/>
      <w:r>
        <w:rPr>
          <w:color w:val="000000"/>
        </w:rPr>
        <w:t xml:space="preserve">, 2020. Disponível em: </w:t>
      </w:r>
      <w:hyperlink r:id="rId36" w:history="1">
        <w:r>
          <w:rPr>
            <w:rStyle w:val="Hyperlink"/>
            <w:color w:val="1155CC"/>
          </w:rPr>
          <w:t>https://www.unido.org/publications</w:t>
        </w:r>
      </w:hyperlink>
      <w:r>
        <w:rPr>
          <w:color w:val="000000"/>
        </w:rPr>
        <w:t>. Acesso em: 5 ago. 2025.</w:t>
      </w:r>
    </w:p>
    <w:p w14:paraId="0048E6C3" w14:textId="77777777" w:rsidR="00B470B5" w:rsidRDefault="00B470B5" w:rsidP="00B470B5">
      <w:pPr>
        <w:pStyle w:val="NormalWeb"/>
        <w:spacing w:afterLines="100" w:after="240"/>
      </w:pPr>
      <w:r>
        <w:rPr>
          <w:color w:val="000000"/>
        </w:rPr>
        <w:t xml:space="preserve">WEF. </w:t>
      </w:r>
      <w:r>
        <w:rPr>
          <w:b/>
          <w:bCs/>
          <w:color w:val="000000"/>
        </w:rPr>
        <w:t xml:space="preserve">The future </w:t>
      </w:r>
      <w:proofErr w:type="spellStart"/>
      <w:r>
        <w:rPr>
          <w:b/>
          <w:bCs/>
          <w:color w:val="000000"/>
        </w:rPr>
        <w:t>of</w:t>
      </w:r>
      <w:proofErr w:type="spellEnd"/>
      <w:r>
        <w:rPr>
          <w:b/>
          <w:bCs/>
          <w:color w:val="000000"/>
        </w:rPr>
        <w:t xml:space="preserve"> </w:t>
      </w:r>
      <w:proofErr w:type="spellStart"/>
      <w:r>
        <w:rPr>
          <w:b/>
          <w:bCs/>
          <w:color w:val="000000"/>
        </w:rPr>
        <w:t>jobs</w:t>
      </w:r>
      <w:proofErr w:type="spellEnd"/>
      <w:r>
        <w:rPr>
          <w:b/>
          <w:bCs/>
          <w:color w:val="000000"/>
        </w:rPr>
        <w:t xml:space="preserve"> </w:t>
      </w:r>
      <w:proofErr w:type="spellStart"/>
      <w:r>
        <w:rPr>
          <w:b/>
          <w:bCs/>
          <w:color w:val="000000"/>
        </w:rPr>
        <w:t>report</w:t>
      </w:r>
      <w:proofErr w:type="spellEnd"/>
      <w:r>
        <w:rPr>
          <w:b/>
          <w:bCs/>
          <w:color w:val="000000"/>
        </w:rPr>
        <w:t xml:space="preserve"> 2023</w:t>
      </w:r>
      <w:r>
        <w:rPr>
          <w:color w:val="000000"/>
        </w:rPr>
        <w:t xml:space="preserve">. World Economic </w:t>
      </w:r>
      <w:proofErr w:type="spellStart"/>
      <w:r>
        <w:rPr>
          <w:color w:val="000000"/>
        </w:rPr>
        <w:t>Forum</w:t>
      </w:r>
      <w:proofErr w:type="spellEnd"/>
      <w:r>
        <w:rPr>
          <w:color w:val="000000"/>
        </w:rPr>
        <w:t xml:space="preserve">, 2023. Disponível em: </w:t>
      </w:r>
      <w:hyperlink r:id="rId37" w:history="1">
        <w:r>
          <w:rPr>
            <w:rStyle w:val="Hyperlink"/>
            <w:color w:val="1155CC"/>
          </w:rPr>
          <w:t>https://www.weforum.org/reports</w:t>
        </w:r>
      </w:hyperlink>
      <w:r>
        <w:rPr>
          <w:color w:val="000000"/>
        </w:rPr>
        <w:t>. Acesso em: 10 jul. 2025.</w:t>
      </w:r>
    </w:p>
    <w:p w14:paraId="07C96CD5" w14:textId="77777777" w:rsidR="00B470B5" w:rsidRDefault="00B470B5" w:rsidP="00B470B5">
      <w:pPr>
        <w:pStyle w:val="NormalWeb"/>
        <w:spacing w:afterLines="100" w:after="240"/>
      </w:pPr>
      <w:r>
        <w:rPr>
          <w:color w:val="000000"/>
        </w:rPr>
        <w:t xml:space="preserve">XU, X. et al. </w:t>
      </w:r>
      <w:proofErr w:type="spellStart"/>
      <w:r>
        <w:rPr>
          <w:color w:val="000000"/>
        </w:rPr>
        <w:t>Industry</w:t>
      </w:r>
      <w:proofErr w:type="spellEnd"/>
      <w:r>
        <w:rPr>
          <w:color w:val="000000"/>
        </w:rPr>
        <w:t xml:space="preserve"> 4.0 </w:t>
      </w:r>
      <w:proofErr w:type="spellStart"/>
      <w:r>
        <w:rPr>
          <w:color w:val="000000"/>
        </w:rPr>
        <w:t>and</w:t>
      </w:r>
      <w:proofErr w:type="spellEnd"/>
      <w:r>
        <w:rPr>
          <w:color w:val="000000"/>
        </w:rPr>
        <w:t xml:space="preserve"> </w:t>
      </w:r>
      <w:proofErr w:type="spellStart"/>
      <w:r>
        <w:rPr>
          <w:color w:val="000000"/>
        </w:rPr>
        <w:t>Industry</w:t>
      </w:r>
      <w:proofErr w:type="spellEnd"/>
      <w:r>
        <w:rPr>
          <w:color w:val="000000"/>
        </w:rPr>
        <w:t xml:space="preserve"> 5.0—</w:t>
      </w:r>
      <w:proofErr w:type="spellStart"/>
      <w:r>
        <w:rPr>
          <w:color w:val="000000"/>
        </w:rPr>
        <w:t>Inception</w:t>
      </w:r>
      <w:proofErr w:type="spellEnd"/>
      <w:r>
        <w:rPr>
          <w:color w:val="000000"/>
        </w:rPr>
        <w:t xml:space="preserve">, </w:t>
      </w:r>
      <w:proofErr w:type="spellStart"/>
      <w:r>
        <w:rPr>
          <w:color w:val="000000"/>
        </w:rPr>
        <w:t>conception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perception</w:t>
      </w:r>
      <w:proofErr w:type="spellEnd"/>
      <w:r>
        <w:rPr>
          <w:color w:val="000000"/>
        </w:rPr>
        <w:t xml:space="preserve">. </w:t>
      </w:r>
      <w:proofErr w:type="spellStart"/>
      <w:r>
        <w:rPr>
          <w:b/>
          <w:bCs/>
          <w:color w:val="000000"/>
        </w:rPr>
        <w:t>Journal</w:t>
      </w:r>
      <w:proofErr w:type="spellEnd"/>
      <w:r>
        <w:rPr>
          <w:b/>
          <w:bCs/>
          <w:color w:val="000000"/>
        </w:rPr>
        <w:t xml:space="preserve"> </w:t>
      </w:r>
      <w:proofErr w:type="spellStart"/>
      <w:r>
        <w:rPr>
          <w:b/>
          <w:bCs/>
          <w:color w:val="000000"/>
        </w:rPr>
        <w:t>of</w:t>
      </w:r>
      <w:proofErr w:type="spellEnd"/>
      <w:r>
        <w:rPr>
          <w:b/>
          <w:bCs/>
          <w:color w:val="000000"/>
        </w:rPr>
        <w:t xml:space="preserve"> Manufacturing Systems</w:t>
      </w:r>
      <w:r>
        <w:rPr>
          <w:color w:val="000000"/>
        </w:rPr>
        <w:t xml:space="preserve">, v. 61, p. 530-535, 2021. Disponível em: </w:t>
      </w:r>
      <w:hyperlink r:id="rId38" w:history="1">
        <w:r>
          <w:rPr>
            <w:rStyle w:val="Hyperlink"/>
            <w:color w:val="1155CC"/>
          </w:rPr>
          <w:t>https://doi.org/10.1016/j.jmsy.2021.10.006</w:t>
        </w:r>
      </w:hyperlink>
      <w:r>
        <w:rPr>
          <w:color w:val="000000"/>
        </w:rPr>
        <w:t>. Acesso em: 10 jul. 2025.</w:t>
      </w:r>
    </w:p>
    <w:p w14:paraId="5560DE60" w14:textId="77777777" w:rsidR="00B470B5" w:rsidRDefault="00B470B5" w:rsidP="00B470B5">
      <w:pPr>
        <w:pStyle w:val="NormalWeb"/>
        <w:spacing w:afterLines="100" w:after="240"/>
      </w:pPr>
      <w:r>
        <w:rPr>
          <w:color w:val="000000"/>
        </w:rPr>
        <w:t xml:space="preserve">ZIZIC, M. C. et al. Da Indústria 4.0 à Indústria 5.0: Uma Revisão e Análise da Mudança de Paradigma para as Pessoas, Organização e Tecnologia. </w:t>
      </w:r>
      <w:r>
        <w:rPr>
          <w:b/>
          <w:bCs/>
          <w:color w:val="000000"/>
        </w:rPr>
        <w:t>Energias</w:t>
      </w:r>
      <w:r>
        <w:rPr>
          <w:color w:val="000000"/>
        </w:rPr>
        <w:t xml:space="preserve">, v. 15, n. 14, p. 5221, 2022. Disponível em: </w:t>
      </w:r>
      <w:hyperlink r:id="rId39" w:history="1">
        <w:r>
          <w:rPr>
            <w:rStyle w:val="Hyperlink"/>
            <w:color w:val="1155CC"/>
          </w:rPr>
          <w:t>https://doi.org/10.3390/en15145221</w:t>
        </w:r>
      </w:hyperlink>
      <w:r>
        <w:rPr>
          <w:color w:val="000000"/>
        </w:rPr>
        <w:t>. Acesso em: 10 jul. 2025.</w:t>
      </w:r>
    </w:p>
    <w:p w14:paraId="65686300" w14:textId="54E8D337" w:rsidR="00D8471E" w:rsidRDefault="00D8471E" w:rsidP="00B470B5">
      <w:pPr>
        <w:spacing w:line="240" w:lineRule="auto"/>
        <w:jc w:val="both"/>
        <w:rPr>
          <w:rFonts w:ascii="Times New Roman" w:eastAsia="Times New Roman" w:hAnsi="Times New Roman" w:cs="Times New Roman"/>
          <w:sz w:val="24"/>
          <w:szCs w:val="24"/>
        </w:rPr>
      </w:pPr>
    </w:p>
    <w:sectPr w:rsidR="00D8471E" w:rsidSect="00B009E4">
      <w:headerReference w:type="default" r:id="rId40"/>
      <w:footerReference w:type="default" r:id="rId41"/>
      <w:headerReference w:type="first" r:id="rId42"/>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B35E3" w14:textId="77777777" w:rsidR="00340A69" w:rsidRDefault="00340A69">
      <w:pPr>
        <w:spacing w:line="240" w:lineRule="auto"/>
      </w:pPr>
      <w:r>
        <w:separator/>
      </w:r>
    </w:p>
  </w:endnote>
  <w:endnote w:type="continuationSeparator" w:id="0">
    <w:p w14:paraId="22DA84A3" w14:textId="77777777" w:rsidR="00340A69" w:rsidRDefault="00340A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B6AE3F6-0173-4874-AD5F-F24D0FBCE238}"/>
  </w:font>
  <w:font w:name="Noto Sans">
    <w:charset w:val="00"/>
    <w:family w:val="swiss"/>
    <w:pitch w:val="variable"/>
    <w:sig w:usb0="E00082FF" w:usb1="400078FF" w:usb2="00000021" w:usb3="00000000" w:csb0="0000019F" w:csb1="00000000"/>
    <w:embedRegular r:id="rId2" w:fontKey="{5DE883BB-CA3A-407C-800B-CAE9A1CCA807}"/>
  </w:font>
  <w:font w:name="Noto Sans Symbols">
    <w:altName w:val="Times New Roman"/>
    <w:charset w:val="00"/>
    <w:family w:val="auto"/>
    <w:pitch w:val="default"/>
    <w:embedRegular r:id="rId3" w:fontKey="{FB118704-6636-4AF6-8136-0A57723E135A}"/>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6F5C337E-8840-407E-AA73-B872A1E29692}"/>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137B9833-EEEB-44CD-902A-3C07F6DF74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CF302" w14:textId="77777777" w:rsidR="00340A69" w:rsidRDefault="00340A69">
      <w:pPr>
        <w:spacing w:line="240" w:lineRule="auto"/>
      </w:pPr>
      <w:r>
        <w:separator/>
      </w:r>
    </w:p>
  </w:footnote>
  <w:footnote w:type="continuationSeparator" w:id="0">
    <w:p w14:paraId="2C456DC6" w14:textId="77777777" w:rsidR="00340A69" w:rsidRDefault="00340A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94148"/>
    <w:multiLevelType w:val="multilevel"/>
    <w:tmpl w:val="39B64EF8"/>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2DE60DAE"/>
    <w:multiLevelType w:val="hybridMultilevel"/>
    <w:tmpl w:val="E1F40F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8264A81"/>
    <w:multiLevelType w:val="multilevel"/>
    <w:tmpl w:val="0958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57E71322"/>
    <w:multiLevelType w:val="hybridMultilevel"/>
    <w:tmpl w:val="493047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2C6DAE"/>
    <w:multiLevelType w:val="multilevel"/>
    <w:tmpl w:val="CC407300"/>
    <w:lvl w:ilvl="0">
      <w:start w:val="1"/>
      <w:numFmt w:val="decimal"/>
      <w:lvlText w:val="%1."/>
      <w:lvlJc w:val="left"/>
      <w:pPr>
        <w:tabs>
          <w:tab w:val="num" w:pos="1070"/>
        </w:tabs>
        <w:ind w:left="1070" w:hanging="360"/>
      </w:pPr>
    </w:lvl>
    <w:lvl w:ilvl="1">
      <w:start w:val="1"/>
      <w:numFmt w:val="decimal"/>
      <w:lvlText w:val="%2."/>
      <w:lvlJc w:val="left"/>
      <w:pPr>
        <w:ind w:left="1790" w:hanging="360"/>
      </w:pPr>
      <w:rPr>
        <w:rFonts w:hint="default"/>
      </w:r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num w:numId="1" w16cid:durableId="628323819">
    <w:abstractNumId w:val="6"/>
  </w:num>
  <w:num w:numId="2" w16cid:durableId="691417632">
    <w:abstractNumId w:val="4"/>
  </w:num>
  <w:num w:numId="3" w16cid:durableId="754589262">
    <w:abstractNumId w:val="1"/>
  </w:num>
  <w:num w:numId="4" w16cid:durableId="652679048">
    <w:abstractNumId w:val="7"/>
  </w:num>
  <w:num w:numId="5" w16cid:durableId="1298533318">
    <w:abstractNumId w:val="3"/>
  </w:num>
  <w:num w:numId="6" w16cid:durableId="307516115">
    <w:abstractNumId w:val="2"/>
  </w:num>
  <w:num w:numId="7" w16cid:durableId="580793062">
    <w:abstractNumId w:val="5"/>
  </w:num>
  <w:num w:numId="8" w16cid:durableId="26415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340A69"/>
    <w:rsid w:val="00421B29"/>
    <w:rsid w:val="00512D7C"/>
    <w:rsid w:val="006A4F8D"/>
    <w:rsid w:val="006F452E"/>
    <w:rsid w:val="008B5191"/>
    <w:rsid w:val="0092081D"/>
    <w:rsid w:val="00A36362"/>
    <w:rsid w:val="00B009E4"/>
    <w:rsid w:val="00B21B5E"/>
    <w:rsid w:val="00B470B5"/>
    <w:rsid w:val="00B72C81"/>
    <w:rsid w:val="00D8471E"/>
    <w:rsid w:val="00DD1E49"/>
    <w:rsid w:val="00EF44BD"/>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59"/>
    <w:rsid w:val="00B470B5"/>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l1nq.com/WiEXp" TargetMode="External"/><Relationship Id="rId18" Type="http://schemas.openxmlformats.org/officeDocument/2006/relationships/hyperlink" Target="https://doi.org/10.3390/logistics6020026" TargetMode="External"/><Relationship Id="rId26" Type="http://schemas.openxmlformats.org/officeDocument/2006/relationships/hyperlink" Target="http://www.pnud.org.br/ods.aspx" TargetMode="External"/><Relationship Id="rId39" Type="http://schemas.openxmlformats.org/officeDocument/2006/relationships/hyperlink" Target="https://doi.org/10.3390/en15145221" TargetMode="External"/><Relationship Id="rId21" Type="http://schemas.openxmlformats.org/officeDocument/2006/relationships/hyperlink" Target="https://doi.org/10.3390/su11164371" TargetMode="External"/><Relationship Id="rId34" Type="http://schemas.openxmlformats.org/officeDocument/2006/relationships/hyperlink" Target="https://doi.org/10.29327/5457226.1-399" TargetMode="External"/><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590/2318-0889202335e237319" TargetMode="External"/><Relationship Id="rId20" Type="http://schemas.openxmlformats.org/officeDocument/2006/relationships/hyperlink" Target="https://doi.org/10.1016/j.procs.2025.02.018" TargetMode="External"/><Relationship Id="rId29" Type="http://schemas.openxmlformats.org/officeDocument/2006/relationships/hyperlink" Target="https://doi.org/10.1016/j.sftr.2022.100098"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re.ink/xDDi" TargetMode="External"/><Relationship Id="rId24" Type="http://schemas.openxmlformats.org/officeDocument/2006/relationships/hyperlink" Target="https://www.pactoglobal.org.br" TargetMode="External"/><Relationship Id="rId32" Type="http://schemas.openxmlformats.org/officeDocument/2006/relationships/hyperlink" Target="https://doi.org/10.3390/su14031391" TargetMode="External"/><Relationship Id="rId37" Type="http://schemas.openxmlformats.org/officeDocument/2006/relationships/hyperlink" Target="https://www.weforum.org/reports"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oi.org/10.3390/s21175745" TargetMode="External"/><Relationship Id="rId23" Type="http://schemas.openxmlformats.org/officeDocument/2006/relationships/hyperlink" Target="https://doi.org/10.1089/omi.2017.0194" TargetMode="External"/><Relationship Id="rId28" Type="http://schemas.openxmlformats.org/officeDocument/2006/relationships/hyperlink" Target="https://doi.org/10.1016/j.igd.2024.100173" TargetMode="External"/><Relationship Id="rId36" Type="http://schemas.openxmlformats.org/officeDocument/2006/relationships/hyperlink" Target="https://www.unido.org/publications" TargetMode="External"/><Relationship Id="rId10" Type="http://schemas.openxmlformats.org/officeDocument/2006/relationships/hyperlink" Target="https://doi.org/10.1016/j.ijpe.2020.107776" TargetMode="External"/><Relationship Id="rId19" Type="http://schemas.openxmlformats.org/officeDocument/2006/relationships/hyperlink" Target="https://doi.org/10.1016/j.jmsy.2022.02.001" TargetMode="External"/><Relationship Id="rId31" Type="http://schemas.openxmlformats.org/officeDocument/2006/relationships/hyperlink" Target="http://dx.doi.org/10.21714/2236-417X2019v9n1p285"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doi.org/10.3390/asi5010027" TargetMode="External"/><Relationship Id="rId14" Type="http://schemas.openxmlformats.org/officeDocument/2006/relationships/hyperlink" Target="https://doi.org/10.33448/rsd-v10i17.23867" TargetMode="External"/><Relationship Id="rId22" Type="http://schemas.openxmlformats.org/officeDocument/2006/relationships/hyperlink" Target="https://brasil.un.org/pt-br/sdgs" TargetMode="External"/><Relationship Id="rId27" Type="http://schemas.openxmlformats.org/officeDocument/2006/relationships/hyperlink" Target="https://doi.org/10.1007/s10696-024-09584-4" TargetMode="External"/><Relationship Id="rId30" Type="http://schemas.openxmlformats.org/officeDocument/2006/relationships/hyperlink" Target="https://encurtador.com.br/vum84" TargetMode="External"/><Relationship Id="rId35" Type="http://schemas.openxmlformats.org/officeDocument/2006/relationships/hyperlink" Target="https://doi.org/10.3390/su16030974"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doi.org/10.3390/math12172737" TargetMode="External"/><Relationship Id="rId17" Type="http://schemas.openxmlformats.org/officeDocument/2006/relationships/hyperlink" Target="https://doi.org/10.1142/S2424862220500220" TargetMode="External"/><Relationship Id="rId25" Type="http://schemas.openxmlformats.org/officeDocument/2006/relationships/hyperlink" Target="https://doi.org/10.3390/su151612552" TargetMode="External"/><Relationship Id="rId33" Type="http://schemas.openxmlformats.org/officeDocument/2006/relationships/hyperlink" Target="https://doi.org/10.1109/PST62714.2024.10788065" TargetMode="External"/><Relationship Id="rId38" Type="http://schemas.openxmlformats.org/officeDocument/2006/relationships/hyperlink" Target="https://doi.org/10.1016/j.jmsy.2021.10.00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8236</Words>
  <Characters>44479</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Fabiana Furtado</dc:creator>
  <cp:lastModifiedBy>Fabiana Furtado</cp:lastModifiedBy>
  <cp:revision>2</cp:revision>
  <dcterms:created xsi:type="dcterms:W3CDTF">2025-09-05T15:14:00Z</dcterms:created>
  <dcterms:modified xsi:type="dcterms:W3CDTF">2025-09-05T15:14:00Z</dcterms:modified>
</cp:coreProperties>
</file>