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44" w:rsidRDefault="000836DB" w:rsidP="00800B44">
      <w:pPr>
        <w:pStyle w:val="Ttulo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ANÁLISE DA EFICIÊNCIA OPERACIONAL </w:t>
      </w:r>
      <w:r w:rsidR="00251800">
        <w:rPr>
          <w:rFonts w:ascii="Times New Roman" w:hAnsi="Times New Roman"/>
          <w:i w:val="0"/>
          <w:sz w:val="24"/>
          <w:szCs w:val="24"/>
        </w:rPr>
        <w:t xml:space="preserve">DE UM BRITADOR </w:t>
      </w:r>
      <w:r>
        <w:rPr>
          <w:rFonts w:ascii="Times New Roman" w:hAnsi="Times New Roman"/>
          <w:i w:val="0"/>
          <w:sz w:val="24"/>
          <w:szCs w:val="24"/>
        </w:rPr>
        <w:t xml:space="preserve">ATRAVÉS DO ÍNDICADOR </w:t>
      </w:r>
      <w:r w:rsidR="002C731A">
        <w:rPr>
          <w:rFonts w:ascii="Times New Roman" w:hAnsi="Times New Roman"/>
          <w:i w:val="0"/>
          <w:sz w:val="24"/>
          <w:szCs w:val="24"/>
        </w:rPr>
        <w:t>OEE DE</w:t>
      </w:r>
      <w:r>
        <w:rPr>
          <w:rFonts w:ascii="Times New Roman" w:hAnsi="Times New Roman"/>
          <w:i w:val="0"/>
          <w:sz w:val="24"/>
          <w:szCs w:val="24"/>
        </w:rPr>
        <w:t xml:space="preserve"> UMA MINERADORA DA REGIÃO METROPOLITANA DE BELO HORIZONTE</w:t>
      </w:r>
    </w:p>
    <w:p w:rsidR="00D132FC" w:rsidRPr="002C731A" w:rsidRDefault="00D132FC" w:rsidP="00D132FC">
      <w:pPr>
        <w:pStyle w:val="Corpodetexto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31A">
        <w:rPr>
          <w:rFonts w:ascii="Times New Roman" w:hAnsi="Times New Roman" w:cs="Times New Roman"/>
          <w:sz w:val="24"/>
          <w:szCs w:val="24"/>
        </w:rPr>
        <w:t>Larissa Tayla Alfenas, (UNA)</w:t>
      </w:r>
    </w:p>
    <w:p w:rsidR="00D132FC" w:rsidRPr="002C731A" w:rsidRDefault="002C731A" w:rsidP="00D132FC">
      <w:pPr>
        <w:pStyle w:val="Corpodetexto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31A">
        <w:rPr>
          <w:rFonts w:ascii="Times New Roman" w:hAnsi="Times New Roman" w:cs="Times New Roman"/>
          <w:sz w:val="24"/>
          <w:szCs w:val="24"/>
        </w:rPr>
        <w:t>laratayla@hotmail.com</w:t>
      </w:r>
    </w:p>
    <w:p w:rsidR="002C731A" w:rsidRPr="002C731A" w:rsidRDefault="009F7F0D" w:rsidP="00D132FC">
      <w:pPr>
        <w:pStyle w:val="Corpodetexto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Moacir A</w:t>
      </w:r>
      <w:r w:rsidR="002C731A" w:rsidRPr="002C731A">
        <w:rPr>
          <w:rFonts w:ascii="Times New Roman" w:hAnsi="Times New Roman" w:cs="Times New Roman"/>
          <w:sz w:val="24"/>
          <w:szCs w:val="24"/>
        </w:rPr>
        <w:t>ndretti Sabino Mota</w:t>
      </w:r>
      <w:r w:rsidR="002C731A">
        <w:rPr>
          <w:rFonts w:ascii="Times New Roman" w:hAnsi="Times New Roman" w:cs="Times New Roman"/>
          <w:sz w:val="24"/>
          <w:szCs w:val="24"/>
        </w:rPr>
        <w:t>, (IFMG)</w:t>
      </w:r>
    </w:p>
    <w:p w:rsidR="002C731A" w:rsidRPr="002C731A" w:rsidRDefault="002C731A" w:rsidP="00D132FC">
      <w:pPr>
        <w:pStyle w:val="Corpodetexto"/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31A">
        <w:rPr>
          <w:rFonts w:ascii="Times New Roman" w:hAnsi="Times New Roman" w:cs="Times New Roman"/>
          <w:sz w:val="24"/>
          <w:szCs w:val="24"/>
        </w:rPr>
        <w:t>moacir.andretti@gmail.com</w:t>
      </w:r>
    </w:p>
    <w:p w:rsidR="00BC5AB8" w:rsidRDefault="00BC5AB8" w:rsidP="00800B44"/>
    <w:p w:rsidR="00050E48" w:rsidRDefault="00050E48" w:rsidP="00800B44">
      <w:r w:rsidRPr="00BC5AB8">
        <w:rPr>
          <w:b/>
        </w:rPr>
        <w:t>Resumo</w:t>
      </w:r>
      <w:r>
        <w:t>:</w:t>
      </w:r>
      <w:r w:rsidR="004A0C52">
        <w:t xml:space="preserve"> </w:t>
      </w:r>
      <w:r w:rsidR="004A0C52" w:rsidRPr="004A0C52">
        <w:t xml:space="preserve">O presente trabalho aborda a utilização do indicador de Eficiência Global – OEE, para análise do processo produtivo de uma mineradora que atua na extração da rocha </w:t>
      </w:r>
      <w:r w:rsidR="00700164">
        <w:t>Mármore</w:t>
      </w:r>
      <w:r w:rsidR="004A0C52" w:rsidRPr="004A0C52">
        <w:t xml:space="preserve"> para produção de britas e areias industriais</w:t>
      </w:r>
      <w:r w:rsidR="004A0C52">
        <w:t xml:space="preserve"> localizada</w:t>
      </w:r>
      <w:r w:rsidR="006C26ED">
        <w:t xml:space="preserve"> na região metropolitana de Bel</w:t>
      </w:r>
      <w:r w:rsidR="004A0C52">
        <w:t>o Horizonte</w:t>
      </w:r>
      <w:r w:rsidR="004A0C52" w:rsidRPr="004A0C52">
        <w:t>. A</w:t>
      </w:r>
      <w:r w:rsidR="004A0C52">
        <w:t xml:space="preserve">través de visitas técnicas e análises dos dados de vendas da empresa, descobriu-se </w:t>
      </w:r>
      <w:r w:rsidR="002C731A">
        <w:t xml:space="preserve">que </w:t>
      </w:r>
      <w:r w:rsidR="002C731A" w:rsidRPr="004A0C52">
        <w:t>mineradora</w:t>
      </w:r>
      <w:r w:rsidR="004A0C52" w:rsidRPr="004A0C52">
        <w:t xml:space="preserve"> mostra-se incapaz de atender à meta de previsão de demanda do mercado, motivo pelo qual surgiu a necessidade de análise do indicador de desempenho operacional. </w:t>
      </w:r>
      <w:r w:rsidR="00274E30">
        <w:t>O OEE da mineradora é de 60,21</w:t>
      </w:r>
      <w:r w:rsidR="002C731A">
        <w:t>%,</w:t>
      </w:r>
      <w:r w:rsidR="00274E30">
        <w:t xml:space="preserve"> o que explica a média eficiência</w:t>
      </w:r>
      <w:r w:rsidR="006C26ED">
        <w:t xml:space="preserve"> de seus processos de produção e o não atendimento dos pedidos </w:t>
      </w:r>
      <w:r w:rsidR="00D132FC">
        <w:t>dos cientes.</w:t>
      </w:r>
    </w:p>
    <w:p w:rsidR="004A0C52" w:rsidRDefault="007A0EAF" w:rsidP="004A0C52">
      <w:r w:rsidRPr="007A0EAF">
        <w:rPr>
          <w:b/>
        </w:rPr>
        <w:t>Palavras-chave</w:t>
      </w:r>
      <w:r>
        <w:t xml:space="preserve">: </w:t>
      </w:r>
      <w:r w:rsidR="009414C0">
        <w:t>Administração da Produção, Indicador de desempenho,</w:t>
      </w:r>
      <w:r w:rsidR="004A0C52">
        <w:t xml:space="preserve"> </w:t>
      </w:r>
      <w:r w:rsidR="009414C0">
        <w:t xml:space="preserve">OEE, </w:t>
      </w:r>
      <w:r w:rsidR="004A0C52">
        <w:t xml:space="preserve">Processo Produtivo. </w:t>
      </w:r>
    </w:p>
    <w:p w:rsidR="006D701F" w:rsidRPr="004A0C52" w:rsidRDefault="006D701F" w:rsidP="004A0C52"/>
    <w:p w:rsidR="003C0B49" w:rsidRDefault="006D701F" w:rsidP="006D701F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D701F">
        <w:rPr>
          <w:rFonts w:ascii="Times New Roman" w:hAnsi="Times New Roman"/>
          <w:i w:val="0"/>
          <w:sz w:val="24"/>
          <w:szCs w:val="24"/>
        </w:rPr>
        <w:t>1.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3C0B49" w:rsidRPr="00800B44">
        <w:rPr>
          <w:rFonts w:ascii="Times New Roman" w:hAnsi="Times New Roman"/>
          <w:i w:val="0"/>
          <w:sz w:val="24"/>
          <w:szCs w:val="24"/>
        </w:rPr>
        <w:t>Introdução</w:t>
      </w:r>
    </w:p>
    <w:p w:rsidR="006D701F" w:rsidRPr="006D701F" w:rsidRDefault="006D701F" w:rsidP="006D701F"/>
    <w:p w:rsidR="004A0C52" w:rsidRDefault="004A0C52" w:rsidP="004A0C52">
      <w:r>
        <w:t>Devido às necessidades organizacionais de alcançarem um alto índice de eficiência de produção, os processos produtivos não utilizam de forma racional todos os recursos disponíveis para a consecução de suas atividades. Como consequência da falta de análise e mensuração de tais recursos, a produção tem sido cada vez mais prejudicada e maiores são os custos envolvidos nos processos.</w:t>
      </w:r>
    </w:p>
    <w:p w:rsidR="004A0C52" w:rsidRDefault="004A0C52" w:rsidP="004A0C52">
      <w:r>
        <w:lastRenderedPageBreak/>
        <w:t>A falta de acompanhamento dos indicadores de desempenho do processo dificulta a visualização dos motivos que impossibilitam o atendimento da demanda de mercado, deixando a indústria de transformação incapaz de se manter estável em um ambiente cada vez mais competitivo.</w:t>
      </w:r>
    </w:p>
    <w:p w:rsidR="000B6957" w:rsidRDefault="004A0C52" w:rsidP="00D256D9">
      <w:r>
        <w:t xml:space="preserve">Para análise da atual situação da indústria, </w:t>
      </w:r>
      <w:r w:rsidR="000C5682">
        <w:t>foi necessário utilizar o indicador OEE (</w:t>
      </w:r>
      <w:r w:rsidR="000C5682" w:rsidRPr="000C5682">
        <w:rPr>
          <w:i/>
        </w:rPr>
        <w:t xml:space="preserve">Overall </w:t>
      </w:r>
      <w:proofErr w:type="spellStart"/>
      <w:r w:rsidR="000C5682" w:rsidRPr="000C5682">
        <w:rPr>
          <w:i/>
        </w:rPr>
        <w:t>Equipament</w:t>
      </w:r>
      <w:proofErr w:type="spellEnd"/>
      <w:r w:rsidR="000C5682" w:rsidRPr="000C5682">
        <w:rPr>
          <w:i/>
        </w:rPr>
        <w:t xml:space="preserve"> </w:t>
      </w:r>
      <w:proofErr w:type="spellStart"/>
      <w:r w:rsidR="000C5682" w:rsidRPr="000C5682">
        <w:rPr>
          <w:i/>
        </w:rPr>
        <w:t>Effectivences</w:t>
      </w:r>
      <w:proofErr w:type="spellEnd"/>
      <w:r w:rsidR="000C5682">
        <w:t xml:space="preserve"> – Eficiência Global do Equipamento), no qual foi calculado os indicadores de </w:t>
      </w:r>
      <w:r w:rsidR="000C5682" w:rsidRPr="000A7255">
        <w:rPr>
          <w:i/>
        </w:rPr>
        <w:t>performance</w:t>
      </w:r>
      <w:r w:rsidR="000A7255">
        <w:rPr>
          <w:i/>
        </w:rPr>
        <w:t xml:space="preserve">, </w:t>
      </w:r>
      <w:r w:rsidR="000A7255" w:rsidRPr="000A7255">
        <w:t>disponibilidade e qualidade</w:t>
      </w:r>
      <w:r w:rsidR="000A7255">
        <w:rPr>
          <w:i/>
        </w:rPr>
        <w:t>.</w:t>
      </w:r>
      <w:r w:rsidR="000C5682">
        <w:t xml:space="preserve"> Através dos </w:t>
      </w:r>
      <w:r w:rsidR="000A7255">
        <w:t>cálculos</w:t>
      </w:r>
      <w:r w:rsidR="000C5682">
        <w:t xml:space="preserve"> foi possível ap</w:t>
      </w:r>
      <w:r w:rsidR="00E2354B">
        <w:t xml:space="preserve">ontar sugestões de melhoria no </w:t>
      </w:r>
      <w:r w:rsidR="000C5682">
        <w:t>processo produtivo, com o intuito de deixar a indústria mais competitiva e responsiva frente às mudanças do mercado.</w:t>
      </w:r>
    </w:p>
    <w:p w:rsidR="004917B0" w:rsidRPr="00D256D9" w:rsidRDefault="004917B0" w:rsidP="00D256D9"/>
    <w:p w:rsidR="004917B0" w:rsidRDefault="003C0B49" w:rsidP="004917B0">
      <w:pPr>
        <w:pStyle w:val="Ttulo2"/>
        <w:spacing w:before="0" w:after="120"/>
        <w:rPr>
          <w:rFonts w:ascii="Times New Roman" w:hAnsi="Times New Roman"/>
          <w:i w:val="0"/>
          <w:sz w:val="24"/>
          <w:szCs w:val="24"/>
        </w:rPr>
      </w:pPr>
      <w:r w:rsidRPr="00800B44">
        <w:rPr>
          <w:rFonts w:ascii="Times New Roman" w:hAnsi="Times New Roman"/>
          <w:i w:val="0"/>
          <w:sz w:val="24"/>
          <w:szCs w:val="24"/>
        </w:rPr>
        <w:t xml:space="preserve">2. </w:t>
      </w:r>
      <w:r w:rsidR="000B6957">
        <w:rPr>
          <w:rFonts w:ascii="Times New Roman" w:hAnsi="Times New Roman"/>
          <w:i w:val="0"/>
          <w:sz w:val="24"/>
          <w:szCs w:val="24"/>
        </w:rPr>
        <w:t>Referencial teórico</w:t>
      </w:r>
    </w:p>
    <w:p w:rsidR="006D701F" w:rsidRPr="006D701F" w:rsidRDefault="006D701F" w:rsidP="006D701F"/>
    <w:p w:rsidR="006D701F" w:rsidRDefault="00161DE9" w:rsidP="000B6957">
      <w:pPr>
        <w:rPr>
          <w:b/>
        </w:rPr>
      </w:pPr>
      <w:r>
        <w:rPr>
          <w:b/>
        </w:rPr>
        <w:t xml:space="preserve">2.1. </w:t>
      </w:r>
      <w:r w:rsidR="00E2354B">
        <w:rPr>
          <w:b/>
        </w:rPr>
        <w:t>Controle de p</w:t>
      </w:r>
      <w:r w:rsidR="009414C0" w:rsidRPr="009414C0">
        <w:rPr>
          <w:b/>
        </w:rPr>
        <w:t>rocesso</w:t>
      </w:r>
    </w:p>
    <w:p w:rsidR="006D701F" w:rsidRDefault="006D701F" w:rsidP="000B6957">
      <w:pPr>
        <w:rPr>
          <w:b/>
        </w:rPr>
      </w:pPr>
    </w:p>
    <w:p w:rsidR="004C11B5" w:rsidRDefault="00FD50D3" w:rsidP="000B6957">
      <w:r>
        <w:t>O</w:t>
      </w:r>
      <w:r w:rsidR="000B6957">
        <w:t xml:space="preserve"> controle de processo é o pilar do gerenciamento em todos os níveis hierárquicos da organização, desde o chão de fábrica até o nível institucional. Para a compreensão do controle de processo, faz-se necessário entender o relacionamento causa-efeito. Quando algo ocorre, há por trás um conjunto de causas (meios) que podem ter influenciado.</w:t>
      </w:r>
      <w:r w:rsidR="009414C0">
        <w:t xml:space="preserve"> Para uma gestão mais eficaz dos processos produtivos, faz-se necessário a utilização de indicadores de desempenho como uma forma de monitorar e controlar as variáve</w:t>
      </w:r>
      <w:r>
        <w:t>is que interferem nos processos (FALCONI,</w:t>
      </w:r>
      <w:r w:rsidR="00D256D9">
        <w:t xml:space="preserve"> </w:t>
      </w:r>
      <w:r>
        <w:t>2004</w:t>
      </w:r>
      <w:r w:rsidR="004C11B5">
        <w:t>)</w:t>
      </w:r>
      <w:r w:rsidR="00D256D9">
        <w:t>.</w:t>
      </w:r>
    </w:p>
    <w:p w:rsidR="004917B0" w:rsidRDefault="004917B0" w:rsidP="000B6957"/>
    <w:p w:rsidR="006D701F" w:rsidRDefault="00161DE9" w:rsidP="000B6957">
      <w:pPr>
        <w:rPr>
          <w:b/>
        </w:rPr>
      </w:pPr>
      <w:r>
        <w:rPr>
          <w:b/>
        </w:rPr>
        <w:t xml:space="preserve">2.2. </w:t>
      </w:r>
      <w:r w:rsidR="009414C0" w:rsidRPr="009414C0">
        <w:rPr>
          <w:b/>
        </w:rPr>
        <w:t>Processo de britagem</w:t>
      </w:r>
    </w:p>
    <w:p w:rsidR="006D701F" w:rsidRDefault="006D701F" w:rsidP="000B6957">
      <w:pPr>
        <w:rPr>
          <w:b/>
        </w:rPr>
      </w:pPr>
    </w:p>
    <w:p w:rsidR="000B6957" w:rsidRDefault="000B6957" w:rsidP="000B6957">
      <w:r>
        <w:lastRenderedPageBreak/>
        <w:t xml:space="preserve">Segundo Young &amp; </w:t>
      </w:r>
      <w:proofErr w:type="spellStart"/>
      <w:r>
        <w:t>Freendman</w:t>
      </w:r>
      <w:proofErr w:type="spellEnd"/>
      <w:r>
        <w:t xml:space="preserve"> (2008), ondas mecânicas são perturbações que se deslocam em um determinado meio, e a medida que as ondas se propagam, as partículas que constituem o meio sofrem deslocamentos diversos, que dependem da natureza da onda.</w:t>
      </w:r>
    </w:p>
    <w:p w:rsidR="000B6957" w:rsidRDefault="00C36277" w:rsidP="000B6957">
      <w:r>
        <w:t>O</w:t>
      </w:r>
      <w:r w:rsidR="000B6957">
        <w:t xml:space="preserve"> processo de britagem consiste em quebrar a matéria prima (rocha) através de esforços compressivos ou de impacto. Normalmente são utilizados britadores de mandíbulas, giratórios e cônicos.</w:t>
      </w:r>
      <w:r w:rsidR="00E61B91" w:rsidRPr="00E61B91">
        <w:t xml:space="preserve"> </w:t>
      </w:r>
      <w:r w:rsidR="00E61B91">
        <w:t xml:space="preserve">No processo de detonação da rocha </w:t>
      </w:r>
      <w:r w:rsidR="00700164">
        <w:t>Mármore</w:t>
      </w:r>
      <w:r w:rsidR="00E61B91">
        <w:t>, após a utilização de explosivos, uma onda de choque é formada e percorre a rocha com uma velo</w:t>
      </w:r>
      <w:r w:rsidR="00700164">
        <w:t>cidade (λ) de 3.000 a 5.000 m/s</w:t>
      </w:r>
      <w:bookmarkStart w:id="0" w:name="_GoBack"/>
      <w:bookmarkEnd w:id="0"/>
      <w:r w:rsidR="00E61B91">
        <w:t>. Esta onda mecânica de grande amplitude provoca a ruptura do material, fragmentando-o e possibilitando sua utilização nos processos posteriores</w:t>
      </w:r>
      <w:r>
        <w:t xml:space="preserve"> (GALERY, 2011).</w:t>
      </w:r>
    </w:p>
    <w:p w:rsidR="000B6957" w:rsidRDefault="004C11B5" w:rsidP="000B6957">
      <w:r>
        <w:t xml:space="preserve">Ainda conforme </w:t>
      </w:r>
      <w:proofErr w:type="spellStart"/>
      <w:r w:rsidR="00E61B91">
        <w:t>Galery</w:t>
      </w:r>
      <w:proofErr w:type="spellEnd"/>
      <w:r w:rsidR="00E61B91">
        <w:t xml:space="preserve"> (2011), nesse processo </w:t>
      </w:r>
      <w:r w:rsidR="000B6957">
        <w:t xml:space="preserve">a ação das forças de compressão provoca a deformação da partícula gerando tensões internas de cisalhamento (tensões geradas por forças aplicadas em sentidos opostos e direções semelhantes no interior da partícula). Caso as forças compressivas não consigam gerar tensões de cisalhamento capazes de provocar fratura, as ondas compressivas provocadas podem gerar </w:t>
      </w:r>
      <w:proofErr w:type="spellStart"/>
      <w:r w:rsidR="000B6957">
        <w:t>tracionamento</w:t>
      </w:r>
      <w:proofErr w:type="spellEnd"/>
      <w:r w:rsidR="000B6957">
        <w:t xml:space="preserve"> suficiente p</w:t>
      </w:r>
      <w:r w:rsidR="00E61B91">
        <w:t>ara causar ruptura nas trincas.</w:t>
      </w:r>
    </w:p>
    <w:p w:rsidR="004917B0" w:rsidRDefault="00481748" w:rsidP="00036A6E">
      <w:r>
        <w:t>Para Val</w:t>
      </w:r>
      <w:r w:rsidR="00C36277">
        <w:t>a</w:t>
      </w:r>
      <w:r>
        <w:t>dão e Araújo (2007), a</w:t>
      </w:r>
      <w:r w:rsidR="000B6957">
        <w:t xml:space="preserve"> fratura ocorre quando forças são aplicadas de forma rápida e em intensidade muito superior à resistência das partículas. Em geral, a energia cinética (1/2 mv²) de corpos em movimentos circulares ou cadentes, resulta quebra de um grande número de partículas em uma vasta faixa granulomé</w:t>
      </w:r>
      <w:r>
        <w:t>trica.</w:t>
      </w:r>
    </w:p>
    <w:p w:rsidR="006D701F" w:rsidRDefault="006D701F" w:rsidP="00036A6E"/>
    <w:p w:rsidR="00036A6E" w:rsidRDefault="000B6957" w:rsidP="00036A6E">
      <w:pPr>
        <w:spacing w:after="0"/>
        <w:rPr>
          <w:b/>
        </w:rPr>
      </w:pPr>
      <w:r w:rsidRPr="009414C0">
        <w:rPr>
          <w:b/>
        </w:rPr>
        <w:t>2.3.</w:t>
      </w:r>
      <w:r w:rsidR="009414C0">
        <w:t xml:space="preserve"> </w:t>
      </w:r>
      <w:r w:rsidRPr="009414C0">
        <w:rPr>
          <w:b/>
        </w:rPr>
        <w:t>Administração da produção</w:t>
      </w:r>
    </w:p>
    <w:p w:rsidR="006D701F" w:rsidRPr="00036A6E" w:rsidRDefault="006D701F" w:rsidP="00036A6E">
      <w:pPr>
        <w:spacing w:after="0"/>
        <w:rPr>
          <w:b/>
        </w:rPr>
      </w:pPr>
    </w:p>
    <w:p w:rsidR="000B6957" w:rsidRDefault="000B6957" w:rsidP="000B6957">
      <w:r w:rsidRPr="009D2B84">
        <w:t xml:space="preserve">Slack </w:t>
      </w:r>
      <w:r w:rsidR="009D2B84" w:rsidRPr="009D2B84">
        <w:t>et al.</w:t>
      </w:r>
      <w:r w:rsidRPr="009D2B84">
        <w:t>(2009)</w:t>
      </w:r>
      <w:r w:rsidR="009D2B84" w:rsidRPr="009D2B84">
        <w:t>,</w:t>
      </w:r>
      <w:r w:rsidRPr="009D2B84">
        <w:t xml:space="preserve"> observam que a administração da produção é a atividade de gerenciar recursos distintos à produção</w:t>
      </w:r>
      <w:r>
        <w:t xml:space="preserve"> e disponibilização de bens e serviços. A função de produção é a parte da organização responsável por esta atividade. Toda organização possui uma função de </w:t>
      </w:r>
      <w:r w:rsidRPr="00EB461F">
        <w:t xml:space="preserve">produção porque toda organização produz algum tipo de produto e ou serviços. </w:t>
      </w:r>
      <w:r w:rsidR="004C11B5">
        <w:t xml:space="preserve">A </w:t>
      </w:r>
      <w:r>
        <w:t xml:space="preserve">produção </w:t>
      </w:r>
      <w:r>
        <w:lastRenderedPageBreak/>
        <w:t>como função é central para a organização, pois produz os bens e serviços que são a razão de sua existência, sendo uma das três funções mais importantes da organização.</w:t>
      </w:r>
    </w:p>
    <w:p w:rsidR="00D256D9" w:rsidRDefault="00EE00ED" w:rsidP="000B6957">
      <w:r>
        <w:t>Para Peina</w:t>
      </w:r>
      <w:r w:rsidR="009D2B84" w:rsidRPr="004104C6">
        <w:t xml:space="preserve">do e </w:t>
      </w:r>
      <w:proofErr w:type="spellStart"/>
      <w:r w:rsidR="009D2B84" w:rsidRPr="004104C6">
        <w:t>Graelm</w:t>
      </w:r>
      <w:proofErr w:type="spellEnd"/>
      <w:r w:rsidR="009D2B84" w:rsidRPr="004104C6">
        <w:t xml:space="preserve"> (</w:t>
      </w:r>
      <w:r w:rsidR="00EB461F" w:rsidRPr="004104C6">
        <w:t>2007</w:t>
      </w:r>
      <w:r w:rsidR="009D2B84" w:rsidRPr="004104C6">
        <w:t>)</w:t>
      </w:r>
      <w:r w:rsidR="004104C6">
        <w:t>,</w:t>
      </w:r>
      <w:r w:rsidR="009D2B84">
        <w:t xml:space="preserve"> </w:t>
      </w:r>
      <w:r w:rsidR="00EB461F">
        <w:t xml:space="preserve">a administração da produção pode ser entendida como uma atividade que une os conceitos de organização, administração e atividades de produção com o intuito de gerir de forma mais eficiente os recurso de entrada em um processo produtivo – </w:t>
      </w:r>
      <w:r w:rsidR="00EB461F" w:rsidRPr="00EB461F">
        <w:rPr>
          <w:i/>
        </w:rPr>
        <w:t xml:space="preserve">inputs </w:t>
      </w:r>
      <w:r w:rsidR="004104C6">
        <w:t>-</w:t>
      </w:r>
      <w:r w:rsidR="00EB461F">
        <w:t>,</w:t>
      </w:r>
      <w:r w:rsidR="00D256D9">
        <w:t xml:space="preserve"> </w:t>
      </w:r>
      <w:r w:rsidR="00EB461F">
        <w:t xml:space="preserve">para que os mesmos sejam transformados em </w:t>
      </w:r>
      <w:r w:rsidR="00EB461F" w:rsidRPr="00EB461F">
        <w:rPr>
          <w:i/>
        </w:rPr>
        <w:t>outputs</w:t>
      </w:r>
      <w:r w:rsidR="00EB461F">
        <w:t xml:space="preserve"> através do sistema de produção.</w:t>
      </w:r>
    </w:p>
    <w:p w:rsidR="006D701F" w:rsidRDefault="006D701F" w:rsidP="000B6957"/>
    <w:p w:rsidR="000B6957" w:rsidRDefault="000B6957" w:rsidP="000B6957">
      <w:pPr>
        <w:rPr>
          <w:b/>
        </w:rPr>
      </w:pPr>
      <w:r w:rsidRPr="00EB461F">
        <w:rPr>
          <w:b/>
        </w:rPr>
        <w:t>2.4.</w:t>
      </w:r>
      <w:r w:rsidRPr="00161DE9">
        <w:rPr>
          <w:b/>
          <w:i/>
        </w:rPr>
        <w:tab/>
        <w:t>Overall</w:t>
      </w:r>
      <w:r w:rsidRPr="00161DE9">
        <w:rPr>
          <w:b/>
          <w:i/>
        </w:rPr>
        <w:tab/>
      </w:r>
      <w:proofErr w:type="spellStart"/>
      <w:r w:rsidRPr="00161DE9">
        <w:rPr>
          <w:b/>
          <w:i/>
        </w:rPr>
        <w:t>Equipment</w:t>
      </w:r>
      <w:proofErr w:type="spellEnd"/>
      <w:r w:rsidRPr="00161DE9">
        <w:rPr>
          <w:b/>
          <w:i/>
        </w:rPr>
        <w:tab/>
      </w:r>
      <w:proofErr w:type="spellStart"/>
      <w:r w:rsidR="00161DE9">
        <w:rPr>
          <w:b/>
          <w:i/>
        </w:rPr>
        <w:t>Efectivene</w:t>
      </w:r>
      <w:r w:rsidR="00161DE9" w:rsidRPr="00EE00ED">
        <w:rPr>
          <w:b/>
          <w:i/>
        </w:rPr>
        <w:t>ss</w:t>
      </w:r>
      <w:proofErr w:type="spellEnd"/>
      <w:r w:rsidR="00161DE9">
        <w:rPr>
          <w:b/>
          <w:i/>
        </w:rPr>
        <w:tab/>
        <w:t>(</w:t>
      </w:r>
      <w:r w:rsidR="00161DE9" w:rsidRPr="00F862A4">
        <w:rPr>
          <w:b/>
        </w:rPr>
        <w:t>OEE</w:t>
      </w:r>
      <w:r w:rsidR="00161DE9">
        <w:rPr>
          <w:b/>
          <w:i/>
        </w:rPr>
        <w:t>)</w:t>
      </w:r>
      <w:r w:rsidR="00161DE9">
        <w:rPr>
          <w:b/>
          <w:i/>
        </w:rPr>
        <w:tab/>
        <w:t xml:space="preserve"> </w:t>
      </w:r>
      <w:r w:rsidR="00161DE9">
        <w:rPr>
          <w:b/>
        </w:rPr>
        <w:t xml:space="preserve">ou </w:t>
      </w:r>
      <w:r w:rsidR="00161DE9" w:rsidRPr="00161DE9">
        <w:rPr>
          <w:b/>
        </w:rPr>
        <w:t xml:space="preserve">Índice de </w:t>
      </w:r>
      <w:r w:rsidRPr="00161DE9">
        <w:rPr>
          <w:b/>
        </w:rPr>
        <w:t>Rendimento Operacional Global (IROG)</w:t>
      </w:r>
    </w:p>
    <w:p w:rsidR="004917B0" w:rsidRPr="00161DE9" w:rsidRDefault="004917B0" w:rsidP="000B6957">
      <w:pPr>
        <w:rPr>
          <w:b/>
        </w:rPr>
      </w:pPr>
    </w:p>
    <w:p w:rsidR="000B6957" w:rsidRPr="00FD50D3" w:rsidRDefault="004104C6" w:rsidP="000B6957">
      <w:r w:rsidRPr="00FD50D3">
        <w:t>Oliveira et al</w:t>
      </w:r>
      <w:r w:rsidR="00AE0969">
        <w:t>.</w:t>
      </w:r>
      <w:r w:rsidRPr="00FD50D3">
        <w:t xml:space="preserve"> (2012), observam que </w:t>
      </w:r>
      <w:r w:rsidR="000B6957" w:rsidRPr="00FD50D3">
        <w:t>o controle dos indicadores de produção é importante para a redução dos custos, por meio da redução dos desperdícios e, assim, aumento da ef</w:t>
      </w:r>
      <w:r w:rsidRPr="00FD50D3">
        <w:t>iciência no processo produtivo.</w:t>
      </w:r>
    </w:p>
    <w:p w:rsidR="00E1310E" w:rsidRDefault="00FD50D3" w:rsidP="00036A6E">
      <w:r w:rsidRPr="00FD50D3">
        <w:t>Palomino et al</w:t>
      </w:r>
      <w:r w:rsidR="00AE0969">
        <w:t>.</w:t>
      </w:r>
      <w:r w:rsidRPr="00FD50D3">
        <w:t>(2010), afirmam que o</w:t>
      </w:r>
      <w:r w:rsidR="000B6957" w:rsidRPr="00FD50D3">
        <w:t xml:space="preserve"> índice OEE é a medida usada pela Manutenção Produtiva </w:t>
      </w:r>
      <w:r w:rsidR="000B6957" w:rsidRPr="008708D2">
        <w:t>Total (TPM) para indicar como está a efi</w:t>
      </w:r>
      <w:r w:rsidRPr="008708D2">
        <w:t>ciência de trabalho de uma determinada máquina.</w:t>
      </w:r>
      <w:r w:rsidR="00AE0969" w:rsidRPr="008708D2">
        <w:t xml:space="preserve"> So</w:t>
      </w:r>
      <w:r w:rsidR="000B6957" w:rsidRPr="008708D2">
        <w:t>mente no final dos anos 80 que o OEE começou a ser reconhecido como importante método para medição de desempenho</w:t>
      </w:r>
      <w:r w:rsidR="000B6957" w:rsidRPr="00FD50D3">
        <w:t xml:space="preserve"> e que ao ser apresentado em seminários por profissionais, ele começou a ser visto como uma ferramenta autônoma para medir o desempenho de um equipamento, por meio de </w:t>
      </w:r>
      <w:proofErr w:type="spellStart"/>
      <w:r w:rsidR="000B6957" w:rsidRPr="00FD50D3">
        <w:t>inter</w:t>
      </w:r>
      <w:proofErr w:type="spellEnd"/>
      <w:r w:rsidR="000B6957" w:rsidRPr="00FD50D3">
        <w:t>- relacionamento de indicadores de disponibilidade, eficiência e qualidade</w:t>
      </w:r>
      <w:r w:rsidR="00036A6E">
        <w:t>.</w:t>
      </w:r>
    </w:p>
    <w:p w:rsidR="00036A6E" w:rsidRPr="00036A6E" w:rsidRDefault="00036A6E" w:rsidP="00036A6E"/>
    <w:p w:rsidR="00036A6E" w:rsidRDefault="003C0B49" w:rsidP="00036A6E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800B44">
        <w:rPr>
          <w:rFonts w:ascii="Times New Roman" w:hAnsi="Times New Roman"/>
          <w:i w:val="0"/>
          <w:sz w:val="24"/>
          <w:szCs w:val="24"/>
        </w:rPr>
        <w:t xml:space="preserve">3. </w:t>
      </w:r>
      <w:r w:rsidR="007C05F7">
        <w:rPr>
          <w:rFonts w:ascii="Times New Roman" w:hAnsi="Times New Roman"/>
          <w:i w:val="0"/>
          <w:sz w:val="24"/>
          <w:szCs w:val="24"/>
        </w:rPr>
        <w:t>Me</w:t>
      </w:r>
      <w:r w:rsidR="00EB461F">
        <w:rPr>
          <w:rFonts w:ascii="Times New Roman" w:hAnsi="Times New Roman"/>
          <w:i w:val="0"/>
          <w:sz w:val="24"/>
          <w:szCs w:val="24"/>
        </w:rPr>
        <w:t>todologia</w:t>
      </w:r>
    </w:p>
    <w:p w:rsidR="006D701F" w:rsidRPr="006D701F" w:rsidRDefault="006D701F" w:rsidP="006D701F"/>
    <w:p w:rsidR="004C11B5" w:rsidRPr="008708D2" w:rsidRDefault="004C11B5" w:rsidP="004C11B5">
      <w:r>
        <w:lastRenderedPageBreak/>
        <w:t>O</w:t>
      </w:r>
      <w:r w:rsidR="000A510E">
        <w:t xml:space="preserve"> </w:t>
      </w:r>
      <w:r w:rsidR="00EB461F">
        <w:t>estudo de caso trat</w:t>
      </w:r>
      <w:r w:rsidR="000A510E">
        <w:t xml:space="preserve">a-se de uma </w:t>
      </w:r>
      <w:r w:rsidR="000A510E" w:rsidRPr="008708D2">
        <w:t>pesquisa quantitativa</w:t>
      </w:r>
      <w:r w:rsidR="00EB461F" w:rsidRPr="008708D2">
        <w:t xml:space="preserve">, </w:t>
      </w:r>
      <w:r w:rsidRPr="008708D2">
        <w:t>que para Rodrigues (2007</w:t>
      </w:r>
      <w:r w:rsidR="00AE0969" w:rsidRPr="008708D2">
        <w:t>),</w:t>
      </w:r>
      <w:r w:rsidRPr="008708D2">
        <w:t xml:space="preserve"> é a pesquisa que pondera, analisa e interpreta dados relativos à natureza dos fenômenos, ou seja, é denominação dada a pesquisa que se vale da razão discursiva. </w:t>
      </w:r>
    </w:p>
    <w:p w:rsidR="00EB461F" w:rsidRDefault="004C11B5" w:rsidP="00EB461F">
      <w:r w:rsidRPr="008708D2">
        <w:t xml:space="preserve">O estudo </w:t>
      </w:r>
      <w:r w:rsidR="00EB461F" w:rsidRPr="008708D2">
        <w:t xml:space="preserve">que tem como objetivo analisar o Índice de Eficiência Global – OEE, por meio da aplicação de métodos estatísticos. </w:t>
      </w:r>
      <w:r w:rsidR="00AE0969" w:rsidRPr="008708D2">
        <w:t xml:space="preserve">Segundo </w:t>
      </w:r>
      <w:proofErr w:type="spellStart"/>
      <w:r w:rsidR="00AE0969" w:rsidRPr="008708D2">
        <w:t>Hasen</w:t>
      </w:r>
      <w:proofErr w:type="spellEnd"/>
      <w:r w:rsidR="00AE0969" w:rsidRPr="008708D2">
        <w:t xml:space="preserve"> (2006), o</w:t>
      </w:r>
      <w:r w:rsidR="00EB461F" w:rsidRPr="008708D2">
        <w:t xml:space="preserve"> OEE é uma importante ferramenta de mensuração de desempenho de um determinado</w:t>
      </w:r>
      <w:r w:rsidR="00EB461F">
        <w:t xml:space="preserve"> equipamento ou processo, levando em consideração a inter-relação dos indicadores de disponibilidade, </w:t>
      </w:r>
      <w:r w:rsidR="00481748" w:rsidRPr="00481748">
        <w:rPr>
          <w:i/>
        </w:rPr>
        <w:t>performance</w:t>
      </w:r>
      <w:r w:rsidR="00481748">
        <w:t xml:space="preserve"> </w:t>
      </w:r>
      <w:r w:rsidR="00EB461F">
        <w:t>e qualidade.</w:t>
      </w:r>
    </w:p>
    <w:p w:rsidR="00A03220" w:rsidRDefault="00EB461F" w:rsidP="00036A6E">
      <w:r>
        <w:t xml:space="preserve">Quanto aos fins, trata-se de uma pesquisa descritiva, que através da caracterização do processo, da identificação de dados e da análise estatística dos mesmos, busca encontrar melhorias para o processo produtivo da empresa. Quanto aos meios, refere-se a uma pesquisa de campo, já que foi necessária uma visita </w:t>
      </w:r>
      <w:r w:rsidR="00657BB5">
        <w:t xml:space="preserve">técnica </w:t>
      </w:r>
      <w:r>
        <w:t xml:space="preserve">na mineradora para conhecer e obter dados do processo produtivo. </w:t>
      </w:r>
    </w:p>
    <w:p w:rsidR="00E844FE" w:rsidRDefault="00EB461F" w:rsidP="00036A6E">
      <w:r>
        <w:t>A pesquisa também é de caráter documental e bibliográfico, uma vez que para fazer o referencial teórico é necessário consultar livros, artigos, monografias, revistas, entre outros</w:t>
      </w:r>
      <w:r w:rsidR="00A03220">
        <w:t xml:space="preserve"> (RODRIGUES,2007). </w:t>
      </w:r>
      <w:r w:rsidR="006C26ED">
        <w:t xml:space="preserve"> O fluxograma do processo encontra-se no ANEXO.</w:t>
      </w:r>
    </w:p>
    <w:p w:rsidR="00E844FE" w:rsidRDefault="00E844FE" w:rsidP="00036A6E"/>
    <w:p w:rsidR="006D701F" w:rsidRDefault="000A7255" w:rsidP="000A7255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Resultados experimentais</w:t>
      </w:r>
    </w:p>
    <w:p w:rsidR="00E844FE" w:rsidRDefault="00E844FE" w:rsidP="000A7255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255" w:rsidRPr="0014096A" w:rsidRDefault="000A7255" w:rsidP="0014096A">
      <w:r w:rsidRPr="000A7255">
        <w:t>Para a aplicação de métodos estatísticos, utilizando o Índice de Eficiência - OEE no processo, primeiramente foi identificado e analisado os indicadores do mesmo. O OEE é constituído pelos indicadores de</w:t>
      </w:r>
      <w:r w:rsidRPr="0014096A">
        <w:t xml:space="preserve"> </w:t>
      </w:r>
      <w:r w:rsidRPr="0014096A">
        <w:rPr>
          <w:i/>
        </w:rPr>
        <w:t>performance</w:t>
      </w:r>
      <w:r w:rsidRPr="000A7255">
        <w:t>, disponibilidade e qualidade.</w:t>
      </w:r>
      <w:r w:rsidR="00E92C70">
        <w:t xml:space="preserve"> </w:t>
      </w:r>
      <w:r w:rsidR="00251800">
        <w:t>Os cálculos foram baseados numa média mensal e foram calculados por dia, par</w:t>
      </w:r>
      <w:r w:rsidR="0014096A">
        <w:t xml:space="preserve">a facilitação do estudo de caso (o cálculo </w:t>
      </w:r>
      <w:r w:rsidR="0014096A" w:rsidRPr="0014096A">
        <w:t>mensal é feito da mesma maneira, porém fez-se necessário multiplicar os valores tanto no numerador quanto no denominador por 22 dias – média de dias úteis trabalhados).</w:t>
      </w:r>
    </w:p>
    <w:p w:rsidR="000B62C9" w:rsidRDefault="000B62C9" w:rsidP="000A7255">
      <w:r>
        <w:t xml:space="preserve">Para encontrar o </w:t>
      </w:r>
      <w:r w:rsidR="000A7255">
        <w:t>Indicador de Disponibilidade (</w:t>
      </w:r>
      <w:r w:rsidR="000A7255" w:rsidRPr="000A7255">
        <w:t>ID</w:t>
      </w:r>
      <w:r w:rsidR="000A7255">
        <w:t>)</w:t>
      </w:r>
      <w:r w:rsidR="000A7255" w:rsidRPr="000A7255">
        <w:t xml:space="preserve">, </w:t>
      </w:r>
      <w:r>
        <w:t xml:space="preserve">foi calculado o tempo total disponível (TTD) dividido pelo tempo programado disponível (TPD). Para isso foram efetuados os </w:t>
      </w:r>
      <w:r>
        <w:lastRenderedPageBreak/>
        <w:t>seguintes procedimentos: p</w:t>
      </w:r>
      <w:r w:rsidR="000A7255" w:rsidRPr="000A7255">
        <w:t xml:space="preserve">egou-se o tempo total dos funcionários na empresa </w:t>
      </w:r>
      <w:r>
        <w:t>(</w:t>
      </w:r>
      <w:r w:rsidR="000A7255" w:rsidRPr="000A7255">
        <w:t>TTE</w:t>
      </w:r>
      <w:r>
        <w:t>)</w:t>
      </w:r>
      <w:r w:rsidR="000A7255" w:rsidRPr="000A7255">
        <w:t xml:space="preserve"> e subtra</w:t>
      </w:r>
      <w:r>
        <w:t>iu-o pelas paradas programadas (</w:t>
      </w:r>
      <w:r w:rsidR="000A7255" w:rsidRPr="000A7255">
        <w:t>PP</w:t>
      </w:r>
      <w:r>
        <w:t>)</w:t>
      </w:r>
      <w:r w:rsidR="000A7255" w:rsidRPr="000A7255">
        <w:t>, sendo elas a realização do Diálogo Diário de Segura</w:t>
      </w:r>
      <w:r>
        <w:t>nça – DDS (15 minutos, entre 07Hr</w:t>
      </w:r>
      <w:r w:rsidR="000A7255" w:rsidRPr="000A7255">
        <w:t>00min e</w:t>
      </w:r>
      <w:r>
        <w:t xml:space="preserve"> 07Hr</w:t>
      </w:r>
      <w:r w:rsidR="000A7255" w:rsidRPr="000A7255">
        <w:t xml:space="preserve">15min) e parada </w:t>
      </w:r>
      <w:r>
        <w:t>para o almoço (1 hora, entre 12Hr00min e 13Hr</w:t>
      </w:r>
      <w:r w:rsidR="000A7255" w:rsidRPr="000A7255">
        <w:t>00min).</w:t>
      </w:r>
    </w:p>
    <w:p w:rsidR="000B62C9" w:rsidRDefault="000A7255" w:rsidP="000A7255">
      <w:r w:rsidRPr="000A7255">
        <w:t xml:space="preserve"> Desse valor, subtraiu- se o tempo de paradas não programadas, considerando-se este o período de deslocamento dos funcionários no processo produtivo depo</w:t>
      </w:r>
      <w:r w:rsidR="000B62C9">
        <w:t>is do DDS (15 minutos, entre 07Hr</w:t>
      </w:r>
      <w:r w:rsidRPr="000A7255">
        <w:t>1</w:t>
      </w:r>
      <w:r w:rsidR="000B62C9">
        <w:t>5min e 07Hr</w:t>
      </w:r>
      <w:r w:rsidRPr="000A7255">
        <w:t>30min), antes e depois d</w:t>
      </w:r>
      <w:r w:rsidR="000B62C9">
        <w:t>o almoço (20 minutos, entre 11Hr50min e 12Hr00min, e 13Hr00min e 13Hr</w:t>
      </w:r>
      <w:r w:rsidRPr="000A7255">
        <w:t xml:space="preserve">10min) e antes de </w:t>
      </w:r>
      <w:r w:rsidR="000B62C9">
        <w:t>ir embora (10 minutos, entre 16Hr50min e 17Hr</w:t>
      </w:r>
      <w:r w:rsidRPr="000A7255">
        <w:t>00min), total</w:t>
      </w:r>
      <w:r w:rsidR="00F73721">
        <w:t>izando 45 minutos</w:t>
      </w:r>
      <w:r w:rsidR="000B62C9">
        <w:t>, o equivalente a</w:t>
      </w:r>
      <w:r>
        <w:t xml:space="preserve"> 0,75 horas.</w:t>
      </w:r>
      <w:r w:rsidRPr="000A7255">
        <w:t xml:space="preserve"> </w:t>
      </w:r>
    </w:p>
    <w:p w:rsidR="000B62C9" w:rsidRDefault="000A7255" w:rsidP="000A7255">
      <w:r w:rsidRPr="000A7255">
        <w:t>Com a razão entre o tempo total disponível - TTD (7 horas) e o tempo programad</w:t>
      </w:r>
      <w:r w:rsidR="000B62C9">
        <w:t>o disponível – TPD (7,75 horas</w:t>
      </w:r>
      <w:r w:rsidRPr="000A7255">
        <w:t>), encont</w:t>
      </w:r>
      <w:r w:rsidR="000B62C9">
        <w:t xml:space="preserve">rou-se o valor do Indicador de disponibilidade, que é de </w:t>
      </w:r>
      <w:r w:rsidRPr="000A7255">
        <w:t>90,32%.</w:t>
      </w:r>
    </w:p>
    <w:p w:rsidR="000B62C9" w:rsidRDefault="000B62C9" w:rsidP="000A7255"/>
    <w:p w:rsidR="000A510E" w:rsidRPr="000A510E" w:rsidRDefault="000A510E" w:rsidP="000A510E">
      <w:pPr>
        <w:jc w:val="center"/>
        <w:rPr>
          <w:sz w:val="20"/>
        </w:rPr>
      </w:pPr>
      <w:r w:rsidRPr="000A510E">
        <w:rPr>
          <w:noProof/>
          <w:sz w:val="20"/>
          <w:lang w:eastAsia="pt-BR"/>
        </w:rPr>
        <w:drawing>
          <wp:anchor distT="0" distB="0" distL="114300" distR="114300" simplePos="0" relativeHeight="251660288" behindDoc="1" locked="0" layoutInCell="1" allowOverlap="1" wp14:anchorId="79686999" wp14:editId="35A7FE84">
            <wp:simplePos x="0" y="0"/>
            <wp:positionH relativeFrom="column">
              <wp:posOffset>4445</wp:posOffset>
            </wp:positionH>
            <wp:positionV relativeFrom="paragraph">
              <wp:posOffset>266700</wp:posOffset>
            </wp:positionV>
            <wp:extent cx="567690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528" y="21457"/>
                <wp:lineTo x="21528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9" t="62511" r="44591" b="20876"/>
                    <a:stretch/>
                  </pic:blipFill>
                  <pic:spPr bwMode="auto">
                    <a:xfrm>
                      <a:off x="0" y="0"/>
                      <a:ext cx="5676900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510E">
        <w:rPr>
          <w:sz w:val="20"/>
        </w:rPr>
        <w:t>Figura 1 – Indicador de Disponibilidade (ID)</w:t>
      </w:r>
    </w:p>
    <w:p w:rsidR="000B62C9" w:rsidRPr="000A510E" w:rsidRDefault="000A510E" w:rsidP="000A510E">
      <w:pPr>
        <w:jc w:val="center"/>
        <w:rPr>
          <w:sz w:val="20"/>
        </w:rPr>
      </w:pPr>
      <w:r w:rsidRPr="000A510E">
        <w:rPr>
          <w:sz w:val="20"/>
        </w:rPr>
        <w:t xml:space="preserve">Fonte: </w:t>
      </w:r>
      <w:r>
        <w:rPr>
          <w:sz w:val="20"/>
        </w:rPr>
        <w:t>Elaborado pelos autores (2017)</w:t>
      </w:r>
    </w:p>
    <w:p w:rsidR="000A7255" w:rsidRDefault="000A7255" w:rsidP="000A7255">
      <w:r w:rsidRPr="000A7255">
        <w:t xml:space="preserve">No Indicador de </w:t>
      </w:r>
      <w:r w:rsidRPr="000A7255">
        <w:rPr>
          <w:i/>
        </w:rPr>
        <w:t>Performance</w:t>
      </w:r>
      <w:r w:rsidR="002624EE">
        <w:t xml:space="preserve"> (</w:t>
      </w:r>
      <w:r w:rsidRPr="000A7255">
        <w:t>IP</w:t>
      </w:r>
      <w:r w:rsidR="002624EE">
        <w:t>)</w:t>
      </w:r>
      <w:r w:rsidRPr="000A7255">
        <w:t>, foi analisado o desempenho do britador, que é a razão entre a produção média obtida – PMO (450 toneladas/hora) e a capacidade máxima de produção – CMP (600 toneladas/</w:t>
      </w:r>
      <w:r w:rsidR="00F73721">
        <w:t xml:space="preserve">hora). </w:t>
      </w:r>
      <w:r w:rsidR="00AE0969" w:rsidRPr="008708D2">
        <w:t>Este i</w:t>
      </w:r>
      <w:r w:rsidR="00F73721" w:rsidRPr="008708D2">
        <w:t>ndicador obteve</w:t>
      </w:r>
      <w:r w:rsidRPr="008708D2">
        <w:t xml:space="preserve"> o valor de 75</w:t>
      </w:r>
      <w:r w:rsidR="002624EE" w:rsidRPr="008708D2">
        <w:t>,00</w:t>
      </w:r>
      <w:r w:rsidRPr="008708D2">
        <w:t>%.</w:t>
      </w:r>
    </w:p>
    <w:p w:rsidR="000A510E" w:rsidRDefault="000A510E" w:rsidP="000A7255"/>
    <w:p w:rsidR="000A510E" w:rsidRPr="000A510E" w:rsidRDefault="000A510E" w:rsidP="000A510E">
      <w:pPr>
        <w:jc w:val="center"/>
        <w:rPr>
          <w:sz w:val="20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1" locked="0" layoutInCell="1" allowOverlap="1" wp14:anchorId="3C61170C" wp14:editId="73BDF3DC">
            <wp:simplePos x="0" y="0"/>
            <wp:positionH relativeFrom="column">
              <wp:posOffset>-53340</wp:posOffset>
            </wp:positionH>
            <wp:positionV relativeFrom="paragraph">
              <wp:posOffset>165100</wp:posOffset>
            </wp:positionV>
            <wp:extent cx="5895975" cy="1438275"/>
            <wp:effectExtent l="0" t="0" r="9525" b="9525"/>
            <wp:wrapThrough wrapText="bothSides">
              <wp:wrapPolygon edited="0">
                <wp:start x="0" y="0"/>
                <wp:lineTo x="0" y="21457"/>
                <wp:lineTo x="21565" y="21457"/>
                <wp:lineTo x="21565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3" t="59819" r="41569" b="23284"/>
                    <a:stretch/>
                  </pic:blipFill>
                  <pic:spPr bwMode="auto">
                    <a:xfrm>
                      <a:off x="0" y="0"/>
                      <a:ext cx="5895975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>Figura 2</w:t>
      </w:r>
      <w:r w:rsidRPr="000A510E">
        <w:rPr>
          <w:sz w:val="20"/>
        </w:rPr>
        <w:t xml:space="preserve"> – Indicador </w:t>
      </w:r>
      <w:r>
        <w:rPr>
          <w:sz w:val="20"/>
        </w:rPr>
        <w:t xml:space="preserve">de </w:t>
      </w:r>
      <w:proofErr w:type="gramStart"/>
      <w:r w:rsidRPr="0014096A">
        <w:rPr>
          <w:i/>
          <w:sz w:val="20"/>
        </w:rPr>
        <w:t>Performance</w:t>
      </w:r>
      <w:r>
        <w:rPr>
          <w:sz w:val="20"/>
        </w:rPr>
        <w:t xml:space="preserve"> </w:t>
      </w:r>
      <w:r w:rsidRPr="000A510E">
        <w:rPr>
          <w:sz w:val="20"/>
        </w:rPr>
        <w:t xml:space="preserve"> (</w:t>
      </w:r>
      <w:proofErr w:type="gramEnd"/>
      <w:r w:rsidRPr="000A510E">
        <w:rPr>
          <w:sz w:val="20"/>
        </w:rPr>
        <w:t>I</w:t>
      </w:r>
      <w:r>
        <w:rPr>
          <w:sz w:val="20"/>
        </w:rPr>
        <w:t>P</w:t>
      </w:r>
      <w:r w:rsidRPr="000A510E">
        <w:rPr>
          <w:sz w:val="20"/>
        </w:rPr>
        <w:t>)</w:t>
      </w:r>
    </w:p>
    <w:p w:rsidR="00251800" w:rsidRPr="000A510E" w:rsidRDefault="000A510E" w:rsidP="000A510E">
      <w:pPr>
        <w:jc w:val="center"/>
        <w:rPr>
          <w:sz w:val="20"/>
        </w:rPr>
      </w:pPr>
      <w:r w:rsidRPr="000A510E">
        <w:rPr>
          <w:sz w:val="20"/>
        </w:rPr>
        <w:t xml:space="preserve">Fonte: </w:t>
      </w:r>
      <w:r>
        <w:rPr>
          <w:sz w:val="20"/>
        </w:rPr>
        <w:t>Elaborado pelos autores (2017)</w:t>
      </w:r>
    </w:p>
    <w:p w:rsidR="00AA73F5" w:rsidRDefault="000A7255" w:rsidP="000A7255">
      <w:r w:rsidRPr="000A7255">
        <w:t>O último indicado</w:t>
      </w:r>
      <w:r w:rsidR="002624EE">
        <w:t>r analisado foi o de Qualidade (</w:t>
      </w:r>
      <w:r w:rsidRPr="000A7255">
        <w:t>IQ</w:t>
      </w:r>
      <w:r w:rsidR="002624EE">
        <w:t>)</w:t>
      </w:r>
      <w:r w:rsidRPr="000A7255">
        <w:t xml:space="preserve">. </w:t>
      </w:r>
      <w:r w:rsidR="00D92690">
        <w:t>Ele é a razão entre os produtos que estejam dentro dos padrões de qualidade aceitáveis (</w:t>
      </w:r>
      <w:r w:rsidR="00D92690" w:rsidRPr="008708D2">
        <w:t xml:space="preserve">PC) e </w:t>
      </w:r>
      <w:r w:rsidR="00EE00ED" w:rsidRPr="008708D2">
        <w:t xml:space="preserve">a </w:t>
      </w:r>
      <w:r w:rsidR="00D92690" w:rsidRPr="008708D2">
        <w:t>m</w:t>
      </w:r>
      <w:r w:rsidR="00EE00ED" w:rsidRPr="008708D2">
        <w:t xml:space="preserve">édia de produção </w:t>
      </w:r>
      <w:r w:rsidR="00D92690" w:rsidRPr="008708D2">
        <w:t>obtida (PMO). O resultado foi de 88,89%.</w:t>
      </w:r>
    </w:p>
    <w:p w:rsidR="00AA73F5" w:rsidRDefault="00AA73F5" w:rsidP="000A7255"/>
    <w:p w:rsidR="00AA73F5" w:rsidRPr="00AA73F5" w:rsidRDefault="00AA73F5" w:rsidP="00AA73F5">
      <w:pPr>
        <w:jc w:val="center"/>
        <w:rPr>
          <w:sz w:val="20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19E1B338" wp14:editId="02A53095">
            <wp:simplePos x="0" y="0"/>
            <wp:positionH relativeFrom="column">
              <wp:posOffset>61595</wp:posOffset>
            </wp:positionH>
            <wp:positionV relativeFrom="paragraph">
              <wp:posOffset>238125</wp:posOffset>
            </wp:positionV>
            <wp:extent cx="5633720" cy="1476375"/>
            <wp:effectExtent l="0" t="0" r="5080" b="9525"/>
            <wp:wrapThrough wrapText="bothSides">
              <wp:wrapPolygon edited="0">
                <wp:start x="0" y="0"/>
                <wp:lineTo x="0" y="21461"/>
                <wp:lineTo x="21546" y="21461"/>
                <wp:lineTo x="21546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7" t="60445" r="42264" b="23354"/>
                    <a:stretch/>
                  </pic:blipFill>
                  <pic:spPr bwMode="auto">
                    <a:xfrm>
                      <a:off x="0" y="0"/>
                      <a:ext cx="563372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3F5">
        <w:rPr>
          <w:sz w:val="20"/>
        </w:rPr>
        <w:t>Figura 3 – Indicador de Qualidade (IQ)</w:t>
      </w:r>
    </w:p>
    <w:p w:rsidR="008C5098" w:rsidRPr="00AE0969" w:rsidRDefault="00AA73F5" w:rsidP="00AE0969">
      <w:pPr>
        <w:ind w:left="1440" w:firstLine="720"/>
        <w:rPr>
          <w:sz w:val="20"/>
        </w:rPr>
      </w:pPr>
      <w:r>
        <w:rPr>
          <w:sz w:val="20"/>
        </w:rPr>
        <w:t xml:space="preserve">                </w:t>
      </w:r>
      <w:r w:rsidRPr="00AA73F5">
        <w:rPr>
          <w:sz w:val="20"/>
        </w:rPr>
        <w:t>Fonte:</w:t>
      </w:r>
      <w:r w:rsidR="00671433">
        <w:rPr>
          <w:sz w:val="20"/>
        </w:rPr>
        <w:t xml:space="preserve"> Elaborado pelos autores (2017)</w:t>
      </w:r>
    </w:p>
    <w:p w:rsidR="008C5098" w:rsidRDefault="008C5098" w:rsidP="00AA73F5">
      <w:pPr>
        <w:jc w:val="center"/>
        <w:rPr>
          <w:sz w:val="20"/>
          <w:highlight w:val="yellow"/>
        </w:rPr>
      </w:pPr>
    </w:p>
    <w:p w:rsidR="00F82BC4" w:rsidRPr="00AA73F5" w:rsidRDefault="00F82BC4" w:rsidP="00AA73F5">
      <w:pPr>
        <w:jc w:val="center"/>
        <w:rPr>
          <w:sz w:val="20"/>
        </w:rPr>
      </w:pPr>
      <w:r w:rsidRPr="00AA73F5">
        <w:rPr>
          <w:sz w:val="20"/>
        </w:rPr>
        <w:t>Tabela</w:t>
      </w:r>
      <w:r w:rsidR="00AA73F5" w:rsidRPr="00AA73F5">
        <w:rPr>
          <w:sz w:val="20"/>
        </w:rPr>
        <w:t xml:space="preserve"> 1 – Indicador de Eficiência Global (OEE)</w:t>
      </w:r>
    </w:p>
    <w:tbl>
      <w:tblPr>
        <w:tblStyle w:val="EstiloArtigoLarissa"/>
        <w:tblW w:w="0" w:type="auto"/>
        <w:tblLayout w:type="fixed"/>
        <w:tblLook w:val="01E0" w:firstRow="1" w:lastRow="1" w:firstColumn="1" w:lastColumn="1" w:noHBand="0" w:noVBand="0"/>
      </w:tblPr>
      <w:tblGrid>
        <w:gridCol w:w="325"/>
        <w:gridCol w:w="1343"/>
        <w:gridCol w:w="1104"/>
        <w:gridCol w:w="3340"/>
        <w:gridCol w:w="800"/>
        <w:gridCol w:w="1898"/>
      </w:tblGrid>
      <w:tr w:rsidR="00534663" w:rsidRPr="001B6DB0" w:rsidTr="00B86DF2">
        <w:trPr>
          <w:trHeight w:val="202"/>
        </w:trPr>
        <w:tc>
          <w:tcPr>
            <w:tcW w:w="6112" w:type="dxa"/>
            <w:gridSpan w:val="4"/>
            <w:tcBorders>
              <w:bottom w:val="single" w:sz="4" w:space="0" w:color="auto"/>
            </w:tcBorders>
          </w:tcPr>
          <w:p w:rsidR="00534663" w:rsidRPr="008C5098" w:rsidRDefault="00274E30" w:rsidP="00274E30">
            <w:pPr>
              <w:pStyle w:val="TableParagraph"/>
              <w:ind w:left="194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b/>
                <w:color w:val="000000" w:themeColor="text1"/>
                <w:w w:val="95"/>
                <w:sz w:val="20"/>
                <w:szCs w:val="20"/>
              </w:rPr>
              <w:t>OEE – Indicador de Eficiência Global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534663" w:rsidRPr="008C5098" w:rsidRDefault="00534663" w:rsidP="00DC1359">
            <w:pPr>
              <w:pStyle w:val="TableParagraph"/>
              <w:ind w:left="59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b/>
                <w:color w:val="000000" w:themeColor="text1"/>
                <w:w w:val="95"/>
                <w:sz w:val="20"/>
                <w:szCs w:val="20"/>
              </w:rPr>
              <w:t>Turno analisado</w:t>
            </w:r>
          </w:p>
        </w:tc>
      </w:tr>
      <w:tr w:rsidR="00534663" w:rsidRPr="001B6DB0" w:rsidTr="008C5098">
        <w:trPr>
          <w:trHeight w:val="445"/>
        </w:trPr>
        <w:tc>
          <w:tcPr>
            <w:tcW w:w="325" w:type="dxa"/>
            <w:tcBorders>
              <w:top w:val="single" w:sz="4" w:space="0" w:color="auto"/>
            </w:tcBorders>
          </w:tcPr>
          <w:p w:rsidR="00534663" w:rsidRPr="008C5098" w:rsidRDefault="00534663" w:rsidP="00DC13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534663" w:rsidRPr="008C5098" w:rsidRDefault="00534663" w:rsidP="00DC1359">
            <w:pPr>
              <w:pStyle w:val="TableParagraph"/>
              <w:ind w:left="28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Fórmula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534663" w:rsidRPr="008C5098" w:rsidRDefault="00534663" w:rsidP="001B6DB0">
            <w:pPr>
              <w:rPr>
                <w:b/>
                <w:color w:val="000000" w:themeColor="text1"/>
              </w:rPr>
            </w:pPr>
            <w:r w:rsidRPr="008C5098">
              <w:rPr>
                <w:b/>
                <w:color w:val="000000" w:themeColor="text1"/>
                <w:w w:val="85"/>
                <w:sz w:val="20"/>
              </w:rPr>
              <w:t>Abreviação</w:t>
            </w:r>
          </w:p>
        </w:tc>
        <w:tc>
          <w:tcPr>
            <w:tcW w:w="3340" w:type="dxa"/>
            <w:tcBorders>
              <w:top w:val="single" w:sz="4" w:space="0" w:color="auto"/>
            </w:tcBorders>
          </w:tcPr>
          <w:p w:rsidR="00534663" w:rsidRPr="008C5098" w:rsidRDefault="00534663" w:rsidP="00DC1359">
            <w:pPr>
              <w:pStyle w:val="TableParagraph"/>
              <w:ind w:left="98" w:right="9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b/>
                <w:color w:val="000000" w:themeColor="text1"/>
                <w:w w:val="95"/>
                <w:sz w:val="20"/>
                <w:szCs w:val="20"/>
              </w:rPr>
              <w:t>Significado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534663" w:rsidRPr="008C5098" w:rsidRDefault="00534663" w:rsidP="00DC1359">
            <w:pPr>
              <w:pStyle w:val="TableParagraph"/>
              <w:ind w:left="35" w:right="3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b/>
                <w:color w:val="000000" w:themeColor="text1"/>
                <w:w w:val="95"/>
                <w:sz w:val="20"/>
                <w:szCs w:val="20"/>
              </w:rPr>
              <w:t>Valor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534663" w:rsidRPr="008C5098" w:rsidRDefault="00534663" w:rsidP="00DC1359">
            <w:pPr>
              <w:pStyle w:val="TableParagraph"/>
              <w:ind w:left="65" w:right="5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Unidade</w:t>
            </w:r>
          </w:p>
        </w:tc>
      </w:tr>
      <w:tr w:rsidR="00534663" w:rsidRPr="001B6DB0" w:rsidTr="008C5098">
        <w:trPr>
          <w:trHeight w:val="447"/>
        </w:trPr>
        <w:tc>
          <w:tcPr>
            <w:tcW w:w="325" w:type="dxa"/>
          </w:tcPr>
          <w:p w:rsidR="00534663" w:rsidRPr="008C5098" w:rsidRDefault="00534663" w:rsidP="00DC1359">
            <w:pPr>
              <w:pStyle w:val="TableParagraph"/>
              <w:ind w:right="89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84"/>
                <w:sz w:val="20"/>
                <w:szCs w:val="20"/>
              </w:rPr>
              <w:t>A</w:t>
            </w:r>
          </w:p>
        </w:tc>
        <w:tc>
          <w:tcPr>
            <w:tcW w:w="1343" w:type="dxa"/>
          </w:tcPr>
          <w:p w:rsidR="00534663" w:rsidRPr="008C5098" w:rsidRDefault="00534663" w:rsidP="00DC13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</w:tcPr>
          <w:p w:rsidR="00534663" w:rsidRPr="008C5098" w:rsidRDefault="00534663" w:rsidP="00DC1359">
            <w:pPr>
              <w:pStyle w:val="TableParagraph"/>
              <w:ind w:left="55" w:right="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0"/>
                <w:sz w:val="20"/>
                <w:szCs w:val="20"/>
              </w:rPr>
              <w:t>TTE</w:t>
            </w:r>
          </w:p>
        </w:tc>
        <w:tc>
          <w:tcPr>
            <w:tcW w:w="3340" w:type="dxa"/>
          </w:tcPr>
          <w:p w:rsidR="00534663" w:rsidRPr="008C5098" w:rsidRDefault="00534663" w:rsidP="0014096A">
            <w:pPr>
              <w:pStyle w:val="TableParagraph"/>
              <w:ind w:left="98" w:right="9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Tempo Total </w:t>
            </w:r>
          </w:p>
        </w:tc>
        <w:tc>
          <w:tcPr>
            <w:tcW w:w="800" w:type="dxa"/>
          </w:tcPr>
          <w:p w:rsidR="00534663" w:rsidRPr="008C5098" w:rsidRDefault="00534663" w:rsidP="00DC1359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1"/>
                <w:sz w:val="20"/>
                <w:szCs w:val="20"/>
              </w:rPr>
              <w:t>9</w:t>
            </w:r>
          </w:p>
        </w:tc>
        <w:tc>
          <w:tcPr>
            <w:tcW w:w="1898" w:type="dxa"/>
          </w:tcPr>
          <w:p w:rsidR="00534663" w:rsidRPr="008C5098" w:rsidRDefault="00534663" w:rsidP="00DC1359">
            <w:pPr>
              <w:pStyle w:val="TableParagraph"/>
              <w:ind w:left="65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Horas por dia</w:t>
            </w:r>
          </w:p>
        </w:tc>
      </w:tr>
      <w:tr w:rsidR="00534663" w:rsidRPr="001B6DB0" w:rsidTr="008C5098">
        <w:trPr>
          <w:trHeight w:val="445"/>
        </w:trPr>
        <w:tc>
          <w:tcPr>
            <w:tcW w:w="325" w:type="dxa"/>
          </w:tcPr>
          <w:p w:rsidR="00534663" w:rsidRPr="008C5098" w:rsidRDefault="00534663" w:rsidP="00DC1359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77"/>
                <w:sz w:val="20"/>
                <w:szCs w:val="20"/>
              </w:rPr>
              <w:t>B</w:t>
            </w:r>
          </w:p>
        </w:tc>
        <w:tc>
          <w:tcPr>
            <w:tcW w:w="1343" w:type="dxa"/>
          </w:tcPr>
          <w:p w:rsidR="00534663" w:rsidRPr="008C5098" w:rsidRDefault="00534663" w:rsidP="00DC13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</w:tcPr>
          <w:p w:rsidR="00534663" w:rsidRPr="008C5098" w:rsidRDefault="00534663" w:rsidP="00DC1359">
            <w:pPr>
              <w:pStyle w:val="TableParagraph"/>
              <w:ind w:left="56" w:right="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0"/>
                <w:sz w:val="20"/>
                <w:szCs w:val="20"/>
              </w:rPr>
              <w:t>PP</w:t>
            </w:r>
          </w:p>
        </w:tc>
        <w:tc>
          <w:tcPr>
            <w:tcW w:w="3340" w:type="dxa"/>
          </w:tcPr>
          <w:p w:rsidR="00534663" w:rsidRPr="008C5098" w:rsidRDefault="00534663" w:rsidP="00DC1359">
            <w:pPr>
              <w:pStyle w:val="TableParagraph"/>
              <w:ind w:left="98" w:right="9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Paradas Programadas</w:t>
            </w:r>
          </w:p>
        </w:tc>
        <w:tc>
          <w:tcPr>
            <w:tcW w:w="800" w:type="dxa"/>
          </w:tcPr>
          <w:p w:rsidR="00534663" w:rsidRPr="008C5098" w:rsidRDefault="00534663" w:rsidP="00DC1359">
            <w:pPr>
              <w:pStyle w:val="TableParagraph"/>
              <w:ind w:left="34" w:right="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1,25</w:t>
            </w:r>
          </w:p>
        </w:tc>
        <w:tc>
          <w:tcPr>
            <w:tcW w:w="1898" w:type="dxa"/>
          </w:tcPr>
          <w:p w:rsidR="00534663" w:rsidRPr="008C5098" w:rsidRDefault="00534663" w:rsidP="00DC1359">
            <w:pPr>
              <w:pStyle w:val="TableParagraph"/>
              <w:ind w:left="65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Horas por dia</w:t>
            </w:r>
          </w:p>
        </w:tc>
      </w:tr>
      <w:tr w:rsidR="00534663" w:rsidRPr="001B6DB0" w:rsidTr="008C5098">
        <w:trPr>
          <w:trHeight w:val="447"/>
        </w:trPr>
        <w:tc>
          <w:tcPr>
            <w:tcW w:w="325" w:type="dxa"/>
          </w:tcPr>
          <w:p w:rsidR="00534663" w:rsidRPr="008C5098" w:rsidRDefault="00534663" w:rsidP="00DC1359">
            <w:pPr>
              <w:pStyle w:val="TableParagraph"/>
              <w:ind w:right="99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73"/>
                <w:sz w:val="20"/>
                <w:szCs w:val="20"/>
              </w:rPr>
              <w:t>C</w:t>
            </w:r>
          </w:p>
        </w:tc>
        <w:tc>
          <w:tcPr>
            <w:tcW w:w="1343" w:type="dxa"/>
          </w:tcPr>
          <w:p w:rsidR="00534663" w:rsidRPr="008C5098" w:rsidRDefault="00534663" w:rsidP="00DC1359">
            <w:pPr>
              <w:pStyle w:val="TableParagraph"/>
              <w:ind w:left="3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C=A-B</w:t>
            </w:r>
          </w:p>
        </w:tc>
        <w:tc>
          <w:tcPr>
            <w:tcW w:w="1104" w:type="dxa"/>
          </w:tcPr>
          <w:p w:rsidR="00534663" w:rsidRPr="008C5098" w:rsidRDefault="00534663" w:rsidP="00DC1359">
            <w:pPr>
              <w:pStyle w:val="TableParagraph"/>
              <w:ind w:left="56" w:right="4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TPD</w:t>
            </w:r>
          </w:p>
        </w:tc>
        <w:tc>
          <w:tcPr>
            <w:tcW w:w="3340" w:type="dxa"/>
          </w:tcPr>
          <w:p w:rsidR="00534663" w:rsidRPr="008C5098" w:rsidRDefault="00534663" w:rsidP="00DC1359">
            <w:pPr>
              <w:pStyle w:val="TableParagraph"/>
              <w:ind w:left="98" w:right="9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0"/>
                <w:sz w:val="20"/>
                <w:szCs w:val="20"/>
              </w:rPr>
              <w:t>Tempo Programado Disponível</w:t>
            </w:r>
          </w:p>
        </w:tc>
        <w:tc>
          <w:tcPr>
            <w:tcW w:w="800" w:type="dxa"/>
          </w:tcPr>
          <w:p w:rsidR="00534663" w:rsidRPr="008C5098" w:rsidRDefault="00534663" w:rsidP="00DC1359">
            <w:pPr>
              <w:pStyle w:val="TableParagraph"/>
              <w:ind w:left="34" w:right="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7,75</w:t>
            </w:r>
          </w:p>
        </w:tc>
        <w:tc>
          <w:tcPr>
            <w:tcW w:w="1898" w:type="dxa"/>
          </w:tcPr>
          <w:p w:rsidR="00534663" w:rsidRPr="008C5098" w:rsidRDefault="00534663" w:rsidP="00DC1359">
            <w:pPr>
              <w:pStyle w:val="TableParagraph"/>
              <w:ind w:left="65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Horas por dia</w:t>
            </w:r>
          </w:p>
        </w:tc>
      </w:tr>
      <w:tr w:rsidR="00534663" w:rsidRPr="001B6DB0" w:rsidTr="008C5098">
        <w:trPr>
          <w:trHeight w:val="446"/>
        </w:trPr>
        <w:tc>
          <w:tcPr>
            <w:tcW w:w="325" w:type="dxa"/>
          </w:tcPr>
          <w:p w:rsidR="00534663" w:rsidRPr="008C5098" w:rsidRDefault="00534663" w:rsidP="00DC1359">
            <w:pPr>
              <w:pStyle w:val="TableParagraph"/>
              <w:ind w:right="86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87"/>
                <w:sz w:val="20"/>
                <w:szCs w:val="20"/>
              </w:rPr>
              <w:t>D</w:t>
            </w:r>
          </w:p>
        </w:tc>
        <w:tc>
          <w:tcPr>
            <w:tcW w:w="1343" w:type="dxa"/>
          </w:tcPr>
          <w:p w:rsidR="00534663" w:rsidRPr="008C5098" w:rsidRDefault="00534663" w:rsidP="00DC13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</w:tcPr>
          <w:p w:rsidR="00534663" w:rsidRPr="008C5098" w:rsidRDefault="00534663" w:rsidP="00DC1359">
            <w:pPr>
              <w:pStyle w:val="TableParagraph"/>
              <w:ind w:left="56" w:right="4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PNP</w:t>
            </w:r>
          </w:p>
        </w:tc>
        <w:tc>
          <w:tcPr>
            <w:tcW w:w="3340" w:type="dxa"/>
          </w:tcPr>
          <w:p w:rsidR="00534663" w:rsidRPr="008C5098" w:rsidRDefault="00534663" w:rsidP="00DC1359">
            <w:pPr>
              <w:pStyle w:val="TableParagraph"/>
              <w:ind w:left="98" w:right="9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Paradas Não Programadas</w:t>
            </w:r>
          </w:p>
        </w:tc>
        <w:tc>
          <w:tcPr>
            <w:tcW w:w="800" w:type="dxa"/>
          </w:tcPr>
          <w:p w:rsidR="00534663" w:rsidRPr="008C5098" w:rsidRDefault="00534663" w:rsidP="00DC1359">
            <w:pPr>
              <w:pStyle w:val="TableParagraph"/>
              <w:ind w:left="34" w:right="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1898" w:type="dxa"/>
          </w:tcPr>
          <w:p w:rsidR="00534663" w:rsidRPr="008C5098" w:rsidRDefault="00534663" w:rsidP="00DC1359">
            <w:pPr>
              <w:pStyle w:val="TableParagraph"/>
              <w:ind w:left="65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Horas por dia</w:t>
            </w:r>
          </w:p>
        </w:tc>
      </w:tr>
      <w:tr w:rsidR="00534663" w:rsidRPr="001B6DB0" w:rsidTr="008C5098">
        <w:trPr>
          <w:trHeight w:val="447"/>
        </w:trPr>
        <w:tc>
          <w:tcPr>
            <w:tcW w:w="325" w:type="dxa"/>
          </w:tcPr>
          <w:p w:rsidR="00534663" w:rsidRPr="008C5098" w:rsidRDefault="00534663" w:rsidP="00DC1359">
            <w:pPr>
              <w:pStyle w:val="TableParagraph"/>
              <w:spacing w:before="2"/>
              <w:ind w:right="10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73"/>
                <w:sz w:val="20"/>
                <w:szCs w:val="20"/>
              </w:rPr>
              <w:lastRenderedPageBreak/>
              <w:t>E</w:t>
            </w:r>
          </w:p>
        </w:tc>
        <w:tc>
          <w:tcPr>
            <w:tcW w:w="1343" w:type="dxa"/>
          </w:tcPr>
          <w:p w:rsidR="00534663" w:rsidRPr="008C5098" w:rsidRDefault="00534663" w:rsidP="00DC1359">
            <w:pPr>
              <w:pStyle w:val="TableParagraph"/>
              <w:spacing w:before="2"/>
              <w:ind w:left="3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0"/>
                <w:sz w:val="20"/>
                <w:szCs w:val="20"/>
              </w:rPr>
              <w:t>E=C-D</w:t>
            </w:r>
          </w:p>
        </w:tc>
        <w:tc>
          <w:tcPr>
            <w:tcW w:w="1104" w:type="dxa"/>
          </w:tcPr>
          <w:p w:rsidR="00534663" w:rsidRPr="008C5098" w:rsidRDefault="00534663" w:rsidP="00DC1359">
            <w:pPr>
              <w:pStyle w:val="TableParagraph"/>
              <w:spacing w:before="2"/>
              <w:ind w:left="56" w:right="5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TTD</w:t>
            </w:r>
          </w:p>
        </w:tc>
        <w:tc>
          <w:tcPr>
            <w:tcW w:w="3340" w:type="dxa"/>
          </w:tcPr>
          <w:p w:rsidR="00534663" w:rsidRPr="008C5098" w:rsidRDefault="00534663" w:rsidP="00DC1359">
            <w:pPr>
              <w:pStyle w:val="TableParagraph"/>
              <w:spacing w:before="2"/>
              <w:ind w:left="98" w:right="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Tempo Total Disponível</w:t>
            </w:r>
          </w:p>
        </w:tc>
        <w:tc>
          <w:tcPr>
            <w:tcW w:w="800" w:type="dxa"/>
          </w:tcPr>
          <w:p w:rsidR="00534663" w:rsidRPr="008C5098" w:rsidRDefault="00534663" w:rsidP="00DC1359">
            <w:pPr>
              <w:pStyle w:val="TableParagraph"/>
              <w:spacing w:before="2"/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1"/>
                <w:sz w:val="20"/>
                <w:szCs w:val="20"/>
              </w:rPr>
              <w:t>7</w:t>
            </w:r>
          </w:p>
        </w:tc>
        <w:tc>
          <w:tcPr>
            <w:tcW w:w="1898" w:type="dxa"/>
          </w:tcPr>
          <w:p w:rsidR="00534663" w:rsidRPr="008C5098" w:rsidRDefault="00534663" w:rsidP="00DC1359">
            <w:pPr>
              <w:pStyle w:val="TableParagraph"/>
              <w:spacing w:before="2"/>
              <w:ind w:left="65" w:right="5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Horas por dia</w:t>
            </w:r>
          </w:p>
        </w:tc>
      </w:tr>
      <w:tr w:rsidR="00534663" w:rsidRPr="001B6DB0" w:rsidTr="008C5098">
        <w:trPr>
          <w:trHeight w:val="447"/>
        </w:trPr>
        <w:tc>
          <w:tcPr>
            <w:tcW w:w="325" w:type="dxa"/>
          </w:tcPr>
          <w:p w:rsidR="00534663" w:rsidRPr="008C5098" w:rsidRDefault="00534663" w:rsidP="00DC1359">
            <w:pPr>
              <w:pStyle w:val="TableParagraph"/>
              <w:ind w:right="105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75"/>
                <w:sz w:val="20"/>
                <w:szCs w:val="20"/>
              </w:rPr>
              <w:t>F</w:t>
            </w:r>
          </w:p>
        </w:tc>
        <w:tc>
          <w:tcPr>
            <w:tcW w:w="1343" w:type="dxa"/>
          </w:tcPr>
          <w:p w:rsidR="00534663" w:rsidRPr="008C5098" w:rsidRDefault="00534663" w:rsidP="00DC1359">
            <w:pPr>
              <w:pStyle w:val="TableParagraph"/>
              <w:ind w:right="9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80"/>
                <w:sz w:val="20"/>
                <w:szCs w:val="20"/>
              </w:rPr>
              <w:t>F=(</w:t>
            </w:r>
            <w:r w:rsidRPr="008C5098">
              <w:rPr>
                <w:rFonts w:ascii="Times New Roman" w:hAnsi="Times New Roman" w:cs="Times New Roman"/>
                <w:color w:val="000000" w:themeColor="text1"/>
                <w:spacing w:val="-2"/>
                <w:w w:val="80"/>
                <w:sz w:val="20"/>
                <w:szCs w:val="20"/>
              </w:rPr>
              <w:t>E</w:t>
            </w:r>
            <w:r w:rsidRPr="008C5098">
              <w:rPr>
                <w:rFonts w:ascii="Times New Roman" w:hAnsi="Times New Roman" w:cs="Times New Roman"/>
                <w:color w:val="000000" w:themeColor="text1"/>
                <w:w w:val="155"/>
                <w:sz w:val="20"/>
                <w:szCs w:val="20"/>
              </w:rPr>
              <w:t>/</w:t>
            </w:r>
            <w:proofErr w:type="gramStart"/>
            <w:r w:rsidRPr="008C5098">
              <w:rPr>
                <w:rFonts w:ascii="Times New Roman" w:hAnsi="Times New Roman" w:cs="Times New Roman"/>
                <w:color w:val="000000" w:themeColor="text1"/>
                <w:spacing w:val="-2"/>
                <w:w w:val="73"/>
                <w:sz w:val="20"/>
                <w:szCs w:val="20"/>
              </w:rPr>
              <w:t>C</w:t>
            </w:r>
            <w:r w:rsidRPr="008C5098">
              <w:rPr>
                <w:rFonts w:ascii="Times New Roman" w:hAnsi="Times New Roman" w:cs="Times New Roman"/>
                <w:color w:val="000000" w:themeColor="text1"/>
                <w:w w:val="93"/>
                <w:sz w:val="20"/>
                <w:szCs w:val="20"/>
              </w:rPr>
              <w:t>)</w:t>
            </w:r>
            <w:r w:rsidRPr="008C5098">
              <w:rPr>
                <w:rFonts w:ascii="Times New Roman" w:hAnsi="Times New Roman" w:cs="Times New Roman"/>
                <w:color w:val="000000" w:themeColor="text1"/>
                <w:spacing w:val="-1"/>
                <w:w w:val="106"/>
                <w:sz w:val="20"/>
                <w:szCs w:val="20"/>
              </w:rPr>
              <w:t>*</w:t>
            </w:r>
            <w:proofErr w:type="gramEnd"/>
            <w:r w:rsidRPr="008C5098">
              <w:rPr>
                <w:rFonts w:ascii="Times New Roman" w:hAnsi="Times New Roman" w:cs="Times New Roman"/>
                <w:color w:val="000000" w:themeColor="text1"/>
                <w:spacing w:val="-2"/>
                <w:w w:val="106"/>
                <w:sz w:val="20"/>
                <w:szCs w:val="20"/>
              </w:rPr>
              <w:t>1</w:t>
            </w:r>
            <w:r w:rsidRPr="008C5098">
              <w:rPr>
                <w:rFonts w:ascii="Times New Roman" w:hAnsi="Times New Roman" w:cs="Times New Roman"/>
                <w:color w:val="000000" w:themeColor="text1"/>
                <w:w w:val="91"/>
                <w:sz w:val="20"/>
                <w:szCs w:val="20"/>
              </w:rPr>
              <w:t>00</w:t>
            </w:r>
          </w:p>
        </w:tc>
        <w:tc>
          <w:tcPr>
            <w:tcW w:w="1104" w:type="dxa"/>
          </w:tcPr>
          <w:p w:rsidR="00534663" w:rsidRPr="008C5098" w:rsidRDefault="00534663" w:rsidP="00DC1359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87"/>
                <w:sz w:val="20"/>
                <w:szCs w:val="20"/>
              </w:rPr>
              <w:t>D</w:t>
            </w:r>
          </w:p>
        </w:tc>
        <w:tc>
          <w:tcPr>
            <w:tcW w:w="3340" w:type="dxa"/>
          </w:tcPr>
          <w:p w:rsidR="00534663" w:rsidRPr="008C5098" w:rsidRDefault="00534663" w:rsidP="00DC1359">
            <w:pPr>
              <w:pStyle w:val="TableParagraph"/>
              <w:ind w:left="98" w:right="9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Disponibilidade</w:t>
            </w:r>
          </w:p>
        </w:tc>
        <w:tc>
          <w:tcPr>
            <w:tcW w:w="800" w:type="dxa"/>
          </w:tcPr>
          <w:p w:rsidR="00534663" w:rsidRPr="008C5098" w:rsidRDefault="00534663" w:rsidP="00DC1359">
            <w:pPr>
              <w:pStyle w:val="TableParagraph"/>
              <w:ind w:left="34" w:right="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90,32</w:t>
            </w:r>
          </w:p>
        </w:tc>
        <w:tc>
          <w:tcPr>
            <w:tcW w:w="1898" w:type="dxa"/>
          </w:tcPr>
          <w:p w:rsidR="00534663" w:rsidRPr="008C5098" w:rsidRDefault="00534663" w:rsidP="00DC135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82"/>
                <w:sz w:val="20"/>
                <w:szCs w:val="20"/>
              </w:rPr>
              <w:t>%</w:t>
            </w:r>
          </w:p>
        </w:tc>
      </w:tr>
      <w:tr w:rsidR="00534663" w:rsidRPr="001B6DB0" w:rsidTr="008C5098">
        <w:trPr>
          <w:trHeight w:val="445"/>
        </w:trPr>
        <w:tc>
          <w:tcPr>
            <w:tcW w:w="325" w:type="dxa"/>
          </w:tcPr>
          <w:p w:rsidR="00534663" w:rsidRPr="008C5098" w:rsidRDefault="00534663" w:rsidP="00DC1359">
            <w:pPr>
              <w:pStyle w:val="TableParagraph"/>
              <w:ind w:right="8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82"/>
                <w:sz w:val="20"/>
                <w:szCs w:val="20"/>
              </w:rPr>
              <w:t>G</w:t>
            </w:r>
          </w:p>
        </w:tc>
        <w:tc>
          <w:tcPr>
            <w:tcW w:w="1343" w:type="dxa"/>
          </w:tcPr>
          <w:p w:rsidR="00534663" w:rsidRPr="008C5098" w:rsidRDefault="00534663" w:rsidP="00DC13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</w:tcPr>
          <w:p w:rsidR="00534663" w:rsidRPr="008C5098" w:rsidRDefault="00534663" w:rsidP="00DC1359">
            <w:pPr>
              <w:pStyle w:val="TableParagraph"/>
              <w:ind w:left="56" w:right="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CMP</w:t>
            </w:r>
          </w:p>
        </w:tc>
        <w:tc>
          <w:tcPr>
            <w:tcW w:w="3340" w:type="dxa"/>
          </w:tcPr>
          <w:p w:rsidR="00534663" w:rsidRPr="008C5098" w:rsidRDefault="00534663" w:rsidP="00DC1359">
            <w:pPr>
              <w:pStyle w:val="TableParagraph"/>
              <w:ind w:left="98" w:right="9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0"/>
                <w:sz w:val="20"/>
                <w:szCs w:val="20"/>
              </w:rPr>
              <w:t>Capacidade Máxima de Produção</w:t>
            </w:r>
          </w:p>
        </w:tc>
        <w:tc>
          <w:tcPr>
            <w:tcW w:w="800" w:type="dxa"/>
          </w:tcPr>
          <w:p w:rsidR="00534663" w:rsidRPr="008C5098" w:rsidRDefault="00534663" w:rsidP="00DC1359">
            <w:pPr>
              <w:pStyle w:val="TableParagraph"/>
              <w:ind w:left="34" w:right="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898" w:type="dxa"/>
          </w:tcPr>
          <w:p w:rsidR="00534663" w:rsidRPr="008C5098" w:rsidRDefault="00534663" w:rsidP="00DC1359">
            <w:pPr>
              <w:pStyle w:val="TableParagraph"/>
              <w:ind w:left="65" w:right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0"/>
                <w:sz w:val="20"/>
                <w:szCs w:val="20"/>
              </w:rPr>
              <w:t>Toneladas por hora</w:t>
            </w:r>
          </w:p>
        </w:tc>
      </w:tr>
      <w:tr w:rsidR="00534663" w:rsidRPr="001B6DB0" w:rsidTr="008C5098">
        <w:trPr>
          <w:trHeight w:val="447"/>
        </w:trPr>
        <w:tc>
          <w:tcPr>
            <w:tcW w:w="325" w:type="dxa"/>
          </w:tcPr>
          <w:p w:rsidR="00534663" w:rsidRPr="008C5098" w:rsidRDefault="00534663" w:rsidP="00DC1359">
            <w:pPr>
              <w:pStyle w:val="TableParagraph"/>
              <w:ind w:right="86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87"/>
                <w:sz w:val="20"/>
                <w:szCs w:val="20"/>
              </w:rPr>
              <w:t>H</w:t>
            </w:r>
          </w:p>
        </w:tc>
        <w:tc>
          <w:tcPr>
            <w:tcW w:w="1343" w:type="dxa"/>
          </w:tcPr>
          <w:p w:rsidR="00534663" w:rsidRPr="008C5098" w:rsidRDefault="00534663" w:rsidP="00DC13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</w:tcPr>
          <w:p w:rsidR="00534663" w:rsidRPr="008C5098" w:rsidRDefault="00534663" w:rsidP="00DC1359">
            <w:pPr>
              <w:pStyle w:val="TableParagraph"/>
              <w:ind w:left="54" w:right="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PMO</w:t>
            </w:r>
          </w:p>
        </w:tc>
        <w:tc>
          <w:tcPr>
            <w:tcW w:w="3340" w:type="dxa"/>
          </w:tcPr>
          <w:p w:rsidR="00534663" w:rsidRPr="008C5098" w:rsidRDefault="00534663" w:rsidP="00DC1359">
            <w:pPr>
              <w:pStyle w:val="TableParagraph"/>
              <w:ind w:left="98" w:right="9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Produção Média Obtida</w:t>
            </w:r>
          </w:p>
        </w:tc>
        <w:tc>
          <w:tcPr>
            <w:tcW w:w="800" w:type="dxa"/>
          </w:tcPr>
          <w:p w:rsidR="00534663" w:rsidRPr="008C5098" w:rsidRDefault="00534663" w:rsidP="00DC1359">
            <w:pPr>
              <w:pStyle w:val="TableParagraph"/>
              <w:ind w:left="34" w:right="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898" w:type="dxa"/>
          </w:tcPr>
          <w:p w:rsidR="00534663" w:rsidRPr="008C5098" w:rsidRDefault="00534663" w:rsidP="00DC1359">
            <w:pPr>
              <w:pStyle w:val="TableParagraph"/>
              <w:ind w:left="65" w:right="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0"/>
                <w:sz w:val="20"/>
                <w:szCs w:val="20"/>
              </w:rPr>
              <w:t>Toneladas por hora</w:t>
            </w:r>
          </w:p>
        </w:tc>
      </w:tr>
      <w:tr w:rsidR="00534663" w:rsidRPr="001B6DB0" w:rsidTr="008C5098">
        <w:trPr>
          <w:trHeight w:val="445"/>
        </w:trPr>
        <w:tc>
          <w:tcPr>
            <w:tcW w:w="325" w:type="dxa"/>
          </w:tcPr>
          <w:p w:rsidR="00534663" w:rsidRPr="008C5098" w:rsidRDefault="00534663" w:rsidP="00DC1359">
            <w:pPr>
              <w:pStyle w:val="TableParagraph"/>
              <w:ind w:right="125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I</w:t>
            </w:r>
          </w:p>
        </w:tc>
        <w:tc>
          <w:tcPr>
            <w:tcW w:w="1343" w:type="dxa"/>
          </w:tcPr>
          <w:p w:rsidR="00534663" w:rsidRPr="008C5098" w:rsidRDefault="00534663" w:rsidP="00DC1359">
            <w:pPr>
              <w:pStyle w:val="TableParagraph"/>
              <w:ind w:right="61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P=(H/</w:t>
            </w:r>
            <w:proofErr w:type="gramStart"/>
            <w:r w:rsidRPr="008C50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G)*</w:t>
            </w:r>
            <w:proofErr w:type="gramEnd"/>
            <w:r w:rsidRPr="008C50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100</w:t>
            </w:r>
          </w:p>
        </w:tc>
        <w:tc>
          <w:tcPr>
            <w:tcW w:w="1104" w:type="dxa"/>
          </w:tcPr>
          <w:p w:rsidR="00534663" w:rsidRPr="008C5098" w:rsidRDefault="00534663" w:rsidP="00DC1359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80"/>
                <w:sz w:val="20"/>
                <w:szCs w:val="20"/>
              </w:rPr>
              <w:t>P</w:t>
            </w:r>
          </w:p>
        </w:tc>
        <w:tc>
          <w:tcPr>
            <w:tcW w:w="3340" w:type="dxa"/>
          </w:tcPr>
          <w:p w:rsidR="00534663" w:rsidRPr="008C5098" w:rsidRDefault="00534663" w:rsidP="00DC1359">
            <w:pPr>
              <w:pStyle w:val="TableParagraph"/>
              <w:ind w:left="98" w:right="9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Performance</w:t>
            </w:r>
          </w:p>
        </w:tc>
        <w:tc>
          <w:tcPr>
            <w:tcW w:w="800" w:type="dxa"/>
          </w:tcPr>
          <w:p w:rsidR="00534663" w:rsidRPr="008C5098" w:rsidRDefault="00534663" w:rsidP="00DC1359">
            <w:pPr>
              <w:pStyle w:val="TableParagraph"/>
              <w:ind w:left="35" w:right="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898" w:type="dxa"/>
          </w:tcPr>
          <w:p w:rsidR="00534663" w:rsidRPr="008C5098" w:rsidRDefault="00534663" w:rsidP="00DC135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82"/>
                <w:sz w:val="20"/>
                <w:szCs w:val="20"/>
              </w:rPr>
              <w:t>%</w:t>
            </w:r>
          </w:p>
        </w:tc>
      </w:tr>
      <w:tr w:rsidR="00534663" w:rsidRPr="001B6DB0" w:rsidTr="008C5098">
        <w:trPr>
          <w:trHeight w:val="447"/>
        </w:trPr>
        <w:tc>
          <w:tcPr>
            <w:tcW w:w="325" w:type="dxa"/>
          </w:tcPr>
          <w:p w:rsidR="00534663" w:rsidRPr="008C5098" w:rsidRDefault="00534663" w:rsidP="00DC1359">
            <w:pPr>
              <w:pStyle w:val="TableParagraph"/>
              <w:spacing w:before="2"/>
              <w:ind w:right="118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59"/>
                <w:sz w:val="20"/>
                <w:szCs w:val="20"/>
              </w:rPr>
              <w:t>J</w:t>
            </w:r>
          </w:p>
        </w:tc>
        <w:tc>
          <w:tcPr>
            <w:tcW w:w="1343" w:type="dxa"/>
          </w:tcPr>
          <w:p w:rsidR="00534663" w:rsidRPr="008C5098" w:rsidRDefault="00534663" w:rsidP="00DC13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</w:tcPr>
          <w:p w:rsidR="00534663" w:rsidRPr="008C5098" w:rsidRDefault="00534663" w:rsidP="00DC1359">
            <w:pPr>
              <w:pStyle w:val="TableParagraph"/>
              <w:spacing w:before="2"/>
              <w:ind w:left="56" w:right="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85"/>
                <w:sz w:val="20"/>
                <w:szCs w:val="20"/>
              </w:rPr>
              <w:t>PMO</w:t>
            </w:r>
          </w:p>
        </w:tc>
        <w:tc>
          <w:tcPr>
            <w:tcW w:w="3340" w:type="dxa"/>
          </w:tcPr>
          <w:p w:rsidR="00534663" w:rsidRPr="008C5098" w:rsidRDefault="00534663" w:rsidP="00DC1359">
            <w:pPr>
              <w:pStyle w:val="TableParagraph"/>
              <w:spacing w:before="2"/>
              <w:ind w:left="98" w:right="9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Produção Média Obtida</w:t>
            </w:r>
          </w:p>
        </w:tc>
        <w:tc>
          <w:tcPr>
            <w:tcW w:w="800" w:type="dxa"/>
          </w:tcPr>
          <w:p w:rsidR="00534663" w:rsidRPr="008C5098" w:rsidRDefault="00534663" w:rsidP="00DC1359">
            <w:pPr>
              <w:pStyle w:val="TableParagraph"/>
              <w:spacing w:before="2"/>
              <w:ind w:left="35" w:right="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450 </w:t>
            </w:r>
          </w:p>
        </w:tc>
        <w:tc>
          <w:tcPr>
            <w:tcW w:w="1898" w:type="dxa"/>
          </w:tcPr>
          <w:p w:rsidR="00534663" w:rsidRPr="008C5098" w:rsidRDefault="00534663" w:rsidP="00DC1359">
            <w:pPr>
              <w:pStyle w:val="TableParagraph"/>
              <w:spacing w:before="2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0"/>
                <w:sz w:val="20"/>
                <w:szCs w:val="20"/>
              </w:rPr>
              <w:t>Toneladas por hora</w:t>
            </w:r>
            <w:r w:rsidRPr="008C5098">
              <w:rPr>
                <w:rFonts w:ascii="Times New Roman" w:hAnsi="Times New Roman" w:cs="Times New Roman"/>
                <w:color w:val="000000" w:themeColor="text1"/>
                <w:w w:val="82"/>
                <w:sz w:val="20"/>
                <w:szCs w:val="20"/>
              </w:rPr>
              <w:t xml:space="preserve"> </w:t>
            </w:r>
          </w:p>
        </w:tc>
      </w:tr>
      <w:tr w:rsidR="00534663" w:rsidRPr="001B6DB0" w:rsidTr="008C5098">
        <w:trPr>
          <w:trHeight w:val="447"/>
        </w:trPr>
        <w:tc>
          <w:tcPr>
            <w:tcW w:w="325" w:type="dxa"/>
          </w:tcPr>
          <w:p w:rsidR="00534663" w:rsidRPr="008C5098" w:rsidRDefault="00534663" w:rsidP="00DC1359">
            <w:pPr>
              <w:pStyle w:val="TableParagraph"/>
              <w:ind w:right="95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76"/>
                <w:sz w:val="20"/>
                <w:szCs w:val="20"/>
              </w:rPr>
              <w:t>K</w:t>
            </w:r>
          </w:p>
        </w:tc>
        <w:tc>
          <w:tcPr>
            <w:tcW w:w="1343" w:type="dxa"/>
          </w:tcPr>
          <w:p w:rsidR="00534663" w:rsidRPr="008C5098" w:rsidRDefault="00534663" w:rsidP="00DC135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4" w:type="dxa"/>
          </w:tcPr>
          <w:p w:rsidR="00534663" w:rsidRPr="008C5098" w:rsidRDefault="00534663" w:rsidP="00DC1359">
            <w:pPr>
              <w:pStyle w:val="TableParagraph"/>
              <w:ind w:left="54" w:right="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</w:t>
            </w:r>
          </w:p>
        </w:tc>
        <w:tc>
          <w:tcPr>
            <w:tcW w:w="3340" w:type="dxa"/>
          </w:tcPr>
          <w:p w:rsidR="00534663" w:rsidRPr="008C5098" w:rsidRDefault="00534663" w:rsidP="00DC1359">
            <w:pPr>
              <w:pStyle w:val="TableParagraph"/>
              <w:ind w:left="98" w:right="9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Produtos Conformes</w:t>
            </w:r>
          </w:p>
        </w:tc>
        <w:tc>
          <w:tcPr>
            <w:tcW w:w="800" w:type="dxa"/>
          </w:tcPr>
          <w:p w:rsidR="00534663" w:rsidRPr="008C5098" w:rsidRDefault="00534663" w:rsidP="00DC1359">
            <w:pPr>
              <w:pStyle w:val="TableParagraph"/>
              <w:ind w:left="35" w:right="3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898" w:type="dxa"/>
          </w:tcPr>
          <w:p w:rsidR="00534663" w:rsidRPr="008C5098" w:rsidRDefault="00534663" w:rsidP="00DC135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0"/>
                <w:sz w:val="20"/>
                <w:szCs w:val="20"/>
              </w:rPr>
              <w:t>Toneladas por hora</w:t>
            </w:r>
          </w:p>
        </w:tc>
      </w:tr>
      <w:tr w:rsidR="00534663" w:rsidRPr="001B6DB0" w:rsidTr="008C5098">
        <w:trPr>
          <w:trHeight w:val="445"/>
        </w:trPr>
        <w:tc>
          <w:tcPr>
            <w:tcW w:w="325" w:type="dxa"/>
          </w:tcPr>
          <w:p w:rsidR="00534663" w:rsidRPr="008C5098" w:rsidRDefault="00534663" w:rsidP="00DC1359">
            <w:pPr>
              <w:pStyle w:val="TableParagraph"/>
              <w:ind w:right="11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69"/>
                <w:sz w:val="20"/>
                <w:szCs w:val="20"/>
              </w:rPr>
              <w:t>L</w:t>
            </w:r>
          </w:p>
        </w:tc>
        <w:tc>
          <w:tcPr>
            <w:tcW w:w="1343" w:type="dxa"/>
          </w:tcPr>
          <w:p w:rsidR="00534663" w:rsidRPr="008C5098" w:rsidRDefault="00534663" w:rsidP="00DC1359">
            <w:pPr>
              <w:pStyle w:val="TableParagraph"/>
              <w:ind w:right="104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80"/>
                <w:sz w:val="20"/>
                <w:szCs w:val="20"/>
              </w:rPr>
              <w:t>L=</w:t>
            </w:r>
            <w:r w:rsidRPr="008C5098">
              <w:rPr>
                <w:rFonts w:ascii="Times New Roman" w:hAnsi="Times New Roman" w:cs="Times New Roman"/>
                <w:color w:val="000000" w:themeColor="text1"/>
                <w:spacing w:val="1"/>
                <w:w w:val="80"/>
                <w:sz w:val="20"/>
                <w:szCs w:val="20"/>
              </w:rPr>
              <w:t>(</w:t>
            </w:r>
            <w:r w:rsidRPr="008C5098">
              <w:rPr>
                <w:rFonts w:ascii="Times New Roman" w:hAnsi="Times New Roman" w:cs="Times New Roman"/>
                <w:color w:val="000000" w:themeColor="text1"/>
                <w:spacing w:val="-1"/>
                <w:w w:val="76"/>
                <w:sz w:val="20"/>
                <w:szCs w:val="20"/>
              </w:rPr>
              <w:t>K/</w:t>
            </w:r>
            <w:proofErr w:type="gramStart"/>
            <w:r w:rsidRPr="008C5098">
              <w:rPr>
                <w:rFonts w:ascii="Times New Roman" w:hAnsi="Times New Roman" w:cs="Times New Roman"/>
                <w:color w:val="000000" w:themeColor="text1"/>
                <w:spacing w:val="-1"/>
                <w:w w:val="76"/>
                <w:sz w:val="20"/>
                <w:szCs w:val="20"/>
              </w:rPr>
              <w:t>J</w:t>
            </w:r>
            <w:r w:rsidRPr="008C5098">
              <w:rPr>
                <w:rFonts w:ascii="Times New Roman" w:hAnsi="Times New Roman" w:cs="Times New Roman"/>
                <w:color w:val="000000" w:themeColor="text1"/>
                <w:spacing w:val="-2"/>
                <w:w w:val="78"/>
                <w:sz w:val="20"/>
                <w:szCs w:val="20"/>
              </w:rPr>
              <w:t>)</w:t>
            </w:r>
            <w:r w:rsidRPr="008C5098">
              <w:rPr>
                <w:rFonts w:ascii="Times New Roman" w:hAnsi="Times New Roman" w:cs="Times New Roman"/>
                <w:color w:val="000000" w:themeColor="text1"/>
                <w:spacing w:val="-1"/>
                <w:w w:val="76"/>
                <w:sz w:val="20"/>
                <w:szCs w:val="20"/>
              </w:rPr>
              <w:t>*</w:t>
            </w:r>
            <w:proofErr w:type="gramEnd"/>
            <w:r w:rsidRPr="008C5098">
              <w:rPr>
                <w:rFonts w:ascii="Times New Roman" w:hAnsi="Times New Roman" w:cs="Times New Roman"/>
                <w:color w:val="000000" w:themeColor="text1"/>
                <w:spacing w:val="-2"/>
                <w:w w:val="106"/>
                <w:sz w:val="20"/>
                <w:szCs w:val="20"/>
              </w:rPr>
              <w:t>1</w:t>
            </w:r>
            <w:r w:rsidRPr="008C5098">
              <w:rPr>
                <w:rFonts w:ascii="Times New Roman" w:hAnsi="Times New Roman" w:cs="Times New Roman"/>
                <w:color w:val="000000" w:themeColor="text1"/>
                <w:w w:val="91"/>
                <w:sz w:val="20"/>
                <w:szCs w:val="20"/>
              </w:rPr>
              <w:t>00</w:t>
            </w:r>
          </w:p>
        </w:tc>
        <w:tc>
          <w:tcPr>
            <w:tcW w:w="1104" w:type="dxa"/>
          </w:tcPr>
          <w:p w:rsidR="00534663" w:rsidRPr="008C5098" w:rsidRDefault="00534663" w:rsidP="00DC1359">
            <w:pPr>
              <w:pStyle w:val="TableParagraph"/>
              <w:ind w:left="55" w:right="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</w:t>
            </w:r>
          </w:p>
        </w:tc>
        <w:tc>
          <w:tcPr>
            <w:tcW w:w="3340" w:type="dxa"/>
          </w:tcPr>
          <w:p w:rsidR="00534663" w:rsidRPr="008C5098" w:rsidRDefault="00534663" w:rsidP="00DC1359">
            <w:pPr>
              <w:pStyle w:val="TableParagraph"/>
              <w:ind w:left="98" w:right="9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Qualidade</w:t>
            </w:r>
          </w:p>
        </w:tc>
        <w:tc>
          <w:tcPr>
            <w:tcW w:w="800" w:type="dxa"/>
          </w:tcPr>
          <w:p w:rsidR="00534663" w:rsidRPr="008C5098" w:rsidRDefault="00534663" w:rsidP="00DC1359">
            <w:pPr>
              <w:pStyle w:val="TableParagraph"/>
              <w:ind w:left="34" w:right="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88,89</w:t>
            </w:r>
          </w:p>
        </w:tc>
        <w:tc>
          <w:tcPr>
            <w:tcW w:w="1898" w:type="dxa"/>
          </w:tcPr>
          <w:p w:rsidR="00534663" w:rsidRPr="008C5098" w:rsidRDefault="00534663" w:rsidP="00DC135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82"/>
                <w:sz w:val="20"/>
                <w:szCs w:val="20"/>
              </w:rPr>
              <w:t>%</w:t>
            </w:r>
          </w:p>
        </w:tc>
      </w:tr>
      <w:tr w:rsidR="00534663" w:rsidRPr="001B6DB0" w:rsidTr="008C5098">
        <w:trPr>
          <w:trHeight w:val="447"/>
        </w:trPr>
        <w:tc>
          <w:tcPr>
            <w:tcW w:w="325" w:type="dxa"/>
          </w:tcPr>
          <w:p w:rsidR="00534663" w:rsidRPr="008C5098" w:rsidRDefault="00534663" w:rsidP="00DC1359">
            <w:pPr>
              <w:pStyle w:val="TableParagraph"/>
              <w:ind w:right="82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343" w:type="dxa"/>
          </w:tcPr>
          <w:p w:rsidR="00534663" w:rsidRPr="008C5098" w:rsidRDefault="00534663" w:rsidP="00DC1359">
            <w:pPr>
              <w:pStyle w:val="TableParagraph"/>
              <w:ind w:left="24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M=F*I*L</w:t>
            </w:r>
          </w:p>
        </w:tc>
        <w:tc>
          <w:tcPr>
            <w:tcW w:w="1104" w:type="dxa"/>
          </w:tcPr>
          <w:p w:rsidR="00534663" w:rsidRPr="008C5098" w:rsidRDefault="00534663" w:rsidP="00DC1359">
            <w:pPr>
              <w:pStyle w:val="TableParagraph"/>
              <w:ind w:left="55" w:right="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0"/>
                <w:sz w:val="20"/>
                <w:szCs w:val="20"/>
              </w:rPr>
              <w:t>OEE</w:t>
            </w:r>
          </w:p>
        </w:tc>
        <w:tc>
          <w:tcPr>
            <w:tcW w:w="3340" w:type="dxa"/>
          </w:tcPr>
          <w:p w:rsidR="00534663" w:rsidRPr="008C5098" w:rsidRDefault="00534663" w:rsidP="00DC1359">
            <w:pPr>
              <w:pStyle w:val="TableParagraph"/>
              <w:ind w:left="98" w:right="9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80"/>
                <w:sz w:val="20"/>
                <w:szCs w:val="20"/>
              </w:rPr>
              <w:t>EFICIÊNCIA GLOBAL DO PROCESSO</w:t>
            </w:r>
          </w:p>
        </w:tc>
        <w:tc>
          <w:tcPr>
            <w:tcW w:w="800" w:type="dxa"/>
          </w:tcPr>
          <w:p w:rsidR="00534663" w:rsidRPr="008C5098" w:rsidRDefault="00534663" w:rsidP="00DC1359">
            <w:pPr>
              <w:pStyle w:val="TableParagraph"/>
              <w:ind w:left="34" w:right="3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60,21</w:t>
            </w:r>
          </w:p>
        </w:tc>
        <w:tc>
          <w:tcPr>
            <w:tcW w:w="1898" w:type="dxa"/>
          </w:tcPr>
          <w:p w:rsidR="00534663" w:rsidRPr="008C5098" w:rsidRDefault="00534663" w:rsidP="00DC1359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5098">
              <w:rPr>
                <w:rFonts w:ascii="Times New Roman" w:hAnsi="Times New Roman" w:cs="Times New Roman"/>
                <w:color w:val="000000" w:themeColor="text1"/>
                <w:w w:val="82"/>
                <w:sz w:val="20"/>
                <w:szCs w:val="20"/>
              </w:rPr>
              <w:t>%</w:t>
            </w:r>
          </w:p>
        </w:tc>
      </w:tr>
    </w:tbl>
    <w:p w:rsidR="00534663" w:rsidRPr="00AA73F5" w:rsidRDefault="00AA73F5" w:rsidP="00AA73F5">
      <w:pPr>
        <w:jc w:val="center"/>
        <w:rPr>
          <w:sz w:val="20"/>
        </w:rPr>
      </w:pPr>
      <w:r w:rsidRPr="00AA73F5">
        <w:rPr>
          <w:sz w:val="20"/>
        </w:rPr>
        <w:t>Fonte: Elaborado pelos autores (2017)</w:t>
      </w:r>
    </w:p>
    <w:p w:rsidR="00FD50D3" w:rsidRDefault="00D92690" w:rsidP="000A7255">
      <w:r>
        <w:t xml:space="preserve">A partir </w:t>
      </w:r>
      <w:r w:rsidR="000D650B">
        <w:t>dos indicadores acima, foi obtido o indicador OEE, que é o produto entre os três indicadores (disponibilidade,</w:t>
      </w:r>
      <w:r w:rsidR="000D650B" w:rsidRPr="000D650B">
        <w:rPr>
          <w:i/>
        </w:rPr>
        <w:t xml:space="preserve"> performance</w:t>
      </w:r>
      <w:r w:rsidR="00FD50D3">
        <w:t xml:space="preserve"> e qualidade).</w:t>
      </w:r>
    </w:p>
    <w:p w:rsidR="00FD50D3" w:rsidRPr="00700164" w:rsidRDefault="00FD50D3" w:rsidP="000A7255">
      <w:r w:rsidRPr="00700164">
        <w:t>OEE = ID*IP*IQ</w:t>
      </w:r>
    </w:p>
    <w:p w:rsidR="00534663" w:rsidRPr="00700164" w:rsidRDefault="00F73721" w:rsidP="000D650B">
      <w:r w:rsidRPr="00700164">
        <w:t>OEE= 0,</w:t>
      </w:r>
      <w:r w:rsidR="00FD50D3" w:rsidRPr="00700164">
        <w:t>9032* 0,75* 0,8889= 0,6021= 60,21%</w:t>
      </w:r>
    </w:p>
    <w:p w:rsidR="000D650B" w:rsidRDefault="00AA73F5" w:rsidP="00AA73F5">
      <w:pPr>
        <w:jc w:val="center"/>
      </w:pPr>
      <w:r w:rsidRPr="00AA73F5">
        <w:rPr>
          <w:noProof/>
          <w:sz w:val="20"/>
          <w:lang w:eastAsia="pt-BR"/>
        </w:rPr>
        <w:drawing>
          <wp:anchor distT="0" distB="0" distL="114300" distR="114300" simplePos="0" relativeHeight="251663360" behindDoc="1" locked="0" layoutInCell="1" allowOverlap="1" wp14:anchorId="1398D3CD" wp14:editId="69021412">
            <wp:simplePos x="0" y="0"/>
            <wp:positionH relativeFrom="column">
              <wp:posOffset>4445</wp:posOffset>
            </wp:positionH>
            <wp:positionV relativeFrom="paragraph">
              <wp:posOffset>179070</wp:posOffset>
            </wp:positionV>
            <wp:extent cx="5981700" cy="2879725"/>
            <wp:effectExtent l="0" t="0" r="0" b="0"/>
            <wp:wrapThrough wrapText="bothSides">
              <wp:wrapPolygon edited="0">
                <wp:start x="0" y="0"/>
                <wp:lineTo x="0" y="21433"/>
                <wp:lineTo x="21531" y="21433"/>
                <wp:lineTo x="21531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57" t="29607" r="15750" b="23162"/>
                    <a:stretch/>
                  </pic:blipFill>
                  <pic:spPr bwMode="auto">
                    <a:xfrm>
                      <a:off x="0" y="0"/>
                      <a:ext cx="5981700" cy="287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E30" w:rsidRPr="00AA73F5">
        <w:rPr>
          <w:sz w:val="20"/>
        </w:rPr>
        <w:t xml:space="preserve">Gráfico 1: Indicador </w:t>
      </w:r>
      <w:r w:rsidR="000D650B" w:rsidRPr="00AA73F5">
        <w:rPr>
          <w:sz w:val="20"/>
        </w:rPr>
        <w:t>de Eficiência Global (</w:t>
      </w:r>
      <w:r w:rsidR="00274E30" w:rsidRPr="00AA73F5">
        <w:rPr>
          <w:sz w:val="20"/>
        </w:rPr>
        <w:t>OEE</w:t>
      </w:r>
      <w:r w:rsidR="00274E30" w:rsidRPr="00AA73F5">
        <w:t>)</w:t>
      </w:r>
    </w:p>
    <w:p w:rsidR="00FD50D3" w:rsidRPr="004C11B5" w:rsidRDefault="005F2941" w:rsidP="004C11B5">
      <w:pPr>
        <w:jc w:val="center"/>
      </w:pPr>
      <w:r w:rsidRPr="005F2941">
        <w:rPr>
          <w:sz w:val="20"/>
        </w:rPr>
        <w:t>Fonte:</w:t>
      </w:r>
      <w:r w:rsidR="00671433">
        <w:rPr>
          <w:sz w:val="20"/>
        </w:rPr>
        <w:t xml:space="preserve"> Elaborado pelos autores (2017)</w:t>
      </w:r>
    </w:p>
    <w:p w:rsidR="003C0B49" w:rsidRDefault="003C0B49" w:rsidP="003C0B49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800B44">
        <w:rPr>
          <w:rFonts w:ascii="Times New Roman" w:hAnsi="Times New Roman"/>
          <w:i w:val="0"/>
          <w:sz w:val="24"/>
          <w:szCs w:val="24"/>
        </w:rPr>
        <w:lastRenderedPageBreak/>
        <w:t xml:space="preserve">5. </w:t>
      </w:r>
      <w:r w:rsidR="00274E30">
        <w:rPr>
          <w:rFonts w:ascii="Times New Roman" w:hAnsi="Times New Roman"/>
          <w:i w:val="0"/>
          <w:sz w:val="24"/>
          <w:szCs w:val="24"/>
        </w:rPr>
        <w:t>Considerações finais</w:t>
      </w:r>
    </w:p>
    <w:p w:rsidR="00ED3EDB" w:rsidRPr="00ED3EDB" w:rsidRDefault="00ED3EDB" w:rsidP="00ED3EDB"/>
    <w:p w:rsidR="00CB1814" w:rsidRPr="008708D2" w:rsidRDefault="00274E30" w:rsidP="00CB1814">
      <w:r>
        <w:t xml:space="preserve">Através da </w:t>
      </w:r>
      <w:r w:rsidRPr="008708D2">
        <w:t xml:space="preserve">análise do Indicador de Eficiência Global (OEE) foi possível </w:t>
      </w:r>
      <w:r w:rsidR="00CB1814" w:rsidRPr="008708D2">
        <w:t xml:space="preserve">identificar uma possível causa da mineradora não ser capaz de atender a demanda atual do mercado.  O indicador de disponibilidade –ID- é alto (90,32%), seguido pelo da qualidade – IQ- (88,89%), porém o indicador de </w:t>
      </w:r>
      <w:r w:rsidR="00CB1814" w:rsidRPr="008708D2">
        <w:rPr>
          <w:i/>
        </w:rPr>
        <w:t>performance</w:t>
      </w:r>
      <w:r w:rsidR="00CB1814" w:rsidRPr="008708D2">
        <w:t xml:space="preserve"> – IP -, cujo valor é de 75</w:t>
      </w:r>
      <w:r w:rsidR="00AE0969" w:rsidRPr="008708D2">
        <w:t>,00</w:t>
      </w:r>
      <w:r w:rsidR="00CB1814" w:rsidRPr="008708D2">
        <w:t>%, mostra-se incapaz de contribuir para uma melhor eficiência do processo produtivo estudado.</w:t>
      </w:r>
      <w:r w:rsidR="004C11B5" w:rsidRPr="008708D2">
        <w:t xml:space="preserve"> O indicadores para serem considerados como categoria classe mundial devem ser de 90</w:t>
      </w:r>
      <w:r w:rsidR="00AE0969" w:rsidRPr="008708D2">
        <w:t>,00</w:t>
      </w:r>
      <w:r w:rsidR="004C11B5" w:rsidRPr="008708D2">
        <w:t>% (ID), 95</w:t>
      </w:r>
      <w:r w:rsidR="00AE0969" w:rsidRPr="008708D2">
        <w:t>,00</w:t>
      </w:r>
      <w:r w:rsidR="004C11B5" w:rsidRPr="008708D2">
        <w:t>% (IP) e 99,9</w:t>
      </w:r>
      <w:r w:rsidR="00AE0969" w:rsidRPr="008708D2">
        <w:t>0</w:t>
      </w:r>
      <w:r w:rsidR="004C11B5" w:rsidRPr="008708D2">
        <w:t>% (IQ). O produto desses valores resulta em um OEE de 85</w:t>
      </w:r>
      <w:r w:rsidR="00AE0969" w:rsidRPr="008708D2">
        <w:t>,00</w:t>
      </w:r>
      <w:r w:rsidR="004C11B5" w:rsidRPr="008708D2">
        <w:t xml:space="preserve">%, valor este </w:t>
      </w:r>
      <w:r w:rsidR="00F73721" w:rsidRPr="008708D2">
        <w:t>considerado como</w:t>
      </w:r>
      <w:r w:rsidR="004C11B5" w:rsidRPr="008708D2">
        <w:t xml:space="preserve"> ideal para </w:t>
      </w:r>
      <w:r w:rsidR="00AE0969" w:rsidRPr="008708D2">
        <w:t>a obtenção de uma melhor</w:t>
      </w:r>
      <w:r w:rsidR="0014096A" w:rsidRPr="008708D2">
        <w:t xml:space="preserve"> eficiência</w:t>
      </w:r>
      <w:r w:rsidR="004C11B5" w:rsidRPr="008708D2">
        <w:t xml:space="preserve"> dos processos produtivos.</w:t>
      </w:r>
    </w:p>
    <w:p w:rsidR="00CB1814" w:rsidRPr="008708D2" w:rsidRDefault="004C11B5" w:rsidP="00CB1814">
      <w:r w:rsidRPr="008708D2">
        <w:t>O OEE da mineradora está abaixo do valor considerado ótimo</w:t>
      </w:r>
      <w:r w:rsidR="0014096A" w:rsidRPr="008708D2">
        <w:t xml:space="preserve"> e o </w:t>
      </w:r>
      <w:r w:rsidR="00CB1814" w:rsidRPr="008708D2">
        <w:t xml:space="preserve">principal motivo </w:t>
      </w:r>
      <w:r w:rsidR="00481748" w:rsidRPr="008708D2">
        <w:t>deve-se</w:t>
      </w:r>
      <w:r w:rsidR="00244B11" w:rsidRPr="008708D2">
        <w:t xml:space="preserve"> à</w:t>
      </w:r>
      <w:r w:rsidR="00CB1814" w:rsidRPr="008708D2">
        <w:t xml:space="preserve"> falta de planejamento e controle da manutenção</w:t>
      </w:r>
      <w:r w:rsidR="00244B11" w:rsidRPr="008708D2">
        <w:t xml:space="preserve"> (PCM), cujo principal atribuição é planejar manutenções periódicas para ajustar os parâmetros </w:t>
      </w:r>
      <w:r w:rsidR="00481748" w:rsidRPr="008708D2">
        <w:t xml:space="preserve">de funcionamento </w:t>
      </w:r>
      <w:r w:rsidR="00244B11" w:rsidRPr="008708D2">
        <w:t>do britador.</w:t>
      </w:r>
      <w:r w:rsidR="00481748" w:rsidRPr="008708D2">
        <w:t xml:space="preserve"> As caracte</w:t>
      </w:r>
      <w:r w:rsidR="00F73721" w:rsidRPr="008708D2">
        <w:t xml:space="preserve">rísticas físicas da rocha </w:t>
      </w:r>
      <w:r w:rsidR="00700164">
        <w:t>Mármore</w:t>
      </w:r>
      <w:r w:rsidR="00481748" w:rsidRPr="008708D2">
        <w:t xml:space="preserve"> </w:t>
      </w:r>
      <w:r w:rsidR="00AE0969" w:rsidRPr="008708D2">
        <w:t>(</w:t>
      </w:r>
      <w:r w:rsidR="00481748" w:rsidRPr="008708D2">
        <w:t xml:space="preserve">tamanho e dureza) influenciam </w:t>
      </w:r>
      <w:r w:rsidR="00F73721" w:rsidRPr="008708D2">
        <w:t>na</w:t>
      </w:r>
      <w:r w:rsidR="00481748" w:rsidRPr="008708D2">
        <w:t xml:space="preserve"> </w:t>
      </w:r>
      <w:r w:rsidR="00481748" w:rsidRPr="008708D2">
        <w:rPr>
          <w:i/>
        </w:rPr>
        <w:t xml:space="preserve">performance </w:t>
      </w:r>
      <w:r w:rsidR="00481748" w:rsidRPr="008708D2">
        <w:t xml:space="preserve">do britador, visto que, quanto melhor for as características da matéria-prima utilizada, melhores serão os resultados </w:t>
      </w:r>
      <w:r w:rsidR="006C26ED" w:rsidRPr="008708D2">
        <w:t>dos produtos obtidos e melhor será a eficiência do britador.</w:t>
      </w:r>
    </w:p>
    <w:p w:rsidR="006C26ED" w:rsidRDefault="006C26ED" w:rsidP="004104C6">
      <w:r w:rsidRPr="008708D2">
        <w:t>Portanto</w:t>
      </w:r>
      <w:r w:rsidR="00AE0969" w:rsidRPr="008708D2">
        <w:t>,</w:t>
      </w:r>
      <w:r w:rsidRPr="008708D2">
        <w:t xml:space="preserve"> o presente trabalho foi capaz de contribuir para o conhecimento do atual índice OEE da mineradora, porém, é valido um posterior estudo que proponham sugestões de melhoria que </w:t>
      </w:r>
      <w:r w:rsidR="0014096A" w:rsidRPr="008708D2">
        <w:t>contribuam para o aumento d</w:t>
      </w:r>
      <w:r w:rsidRPr="008708D2">
        <w:t xml:space="preserve">o </w:t>
      </w:r>
      <w:r w:rsidR="0014096A" w:rsidRPr="008708D2">
        <w:t>índice em questão.</w:t>
      </w:r>
    </w:p>
    <w:p w:rsidR="00ED3EDB" w:rsidRDefault="00ED3EDB" w:rsidP="004104C6"/>
    <w:p w:rsidR="00D132FC" w:rsidRPr="002C731A" w:rsidRDefault="00144CF8" w:rsidP="004104C6">
      <w:pPr>
        <w:tabs>
          <w:tab w:val="left" w:pos="1785"/>
        </w:tabs>
        <w:rPr>
          <w:b/>
          <w:i/>
          <w:szCs w:val="24"/>
          <w:lang w:val="en-US"/>
        </w:rPr>
      </w:pPr>
      <w:r w:rsidRPr="002C731A">
        <w:rPr>
          <w:b/>
          <w:szCs w:val="24"/>
          <w:lang w:val="en-US"/>
        </w:rPr>
        <w:t>R</w:t>
      </w:r>
      <w:r w:rsidR="003C0B49" w:rsidRPr="002C731A">
        <w:rPr>
          <w:b/>
          <w:szCs w:val="24"/>
          <w:lang w:val="en-US"/>
        </w:rPr>
        <w:t>EFERÊNCIAS</w:t>
      </w:r>
    </w:p>
    <w:p w:rsidR="00D132FC" w:rsidRPr="000C1B31" w:rsidRDefault="00D132FC" w:rsidP="000C1B31">
      <w:pPr>
        <w:spacing w:line="240" w:lineRule="auto"/>
        <w:rPr>
          <w:rFonts w:cs="Times New Roman"/>
          <w:sz w:val="20"/>
          <w:szCs w:val="24"/>
        </w:rPr>
      </w:pPr>
      <w:r w:rsidRPr="000C1B31">
        <w:rPr>
          <w:rFonts w:cs="Times New Roman"/>
          <w:sz w:val="20"/>
          <w:szCs w:val="24"/>
          <w:lang w:val="en-US"/>
        </w:rPr>
        <w:t xml:space="preserve">CHAMBERS, Stuart; JOHNSTON, Robert; SLACK, Nigel. </w:t>
      </w:r>
      <w:r w:rsidRPr="000C1B31">
        <w:rPr>
          <w:rFonts w:cs="Times New Roman"/>
          <w:b/>
          <w:sz w:val="20"/>
          <w:szCs w:val="24"/>
        </w:rPr>
        <w:t>Administração da Produção</w:t>
      </w:r>
      <w:r w:rsidRPr="000C1B31">
        <w:rPr>
          <w:rFonts w:cs="Times New Roman"/>
          <w:i/>
          <w:sz w:val="20"/>
          <w:szCs w:val="24"/>
        </w:rPr>
        <w:t xml:space="preserve">. </w:t>
      </w:r>
      <w:r w:rsidRPr="000C1B31">
        <w:rPr>
          <w:rFonts w:cs="Times New Roman"/>
          <w:sz w:val="20"/>
          <w:szCs w:val="24"/>
        </w:rPr>
        <w:t>3ª Edição. São Paulo: Editora Atlas, 2009.</w:t>
      </w:r>
    </w:p>
    <w:p w:rsidR="00D132FC" w:rsidRPr="000C1B31" w:rsidRDefault="00D132FC" w:rsidP="000C1B31">
      <w:pPr>
        <w:spacing w:line="240" w:lineRule="auto"/>
        <w:rPr>
          <w:rFonts w:cs="Times New Roman"/>
          <w:sz w:val="20"/>
          <w:szCs w:val="24"/>
        </w:rPr>
      </w:pPr>
      <w:r w:rsidRPr="000C1B31">
        <w:rPr>
          <w:rFonts w:cs="Times New Roman"/>
          <w:sz w:val="20"/>
          <w:szCs w:val="24"/>
        </w:rPr>
        <w:t xml:space="preserve">FALCONI, Vicente Campos. </w:t>
      </w:r>
      <w:r w:rsidRPr="000C1B31">
        <w:rPr>
          <w:rFonts w:cs="Times New Roman"/>
          <w:i/>
          <w:sz w:val="20"/>
          <w:szCs w:val="24"/>
        </w:rPr>
        <w:t xml:space="preserve">TQC - </w:t>
      </w:r>
      <w:r w:rsidRPr="000C1B31">
        <w:rPr>
          <w:rFonts w:cs="Times New Roman"/>
          <w:b/>
          <w:sz w:val="20"/>
          <w:szCs w:val="24"/>
        </w:rPr>
        <w:t>Controle da Qualidade Total (no estilo japonês).</w:t>
      </w:r>
      <w:r w:rsidRPr="000C1B31">
        <w:rPr>
          <w:rFonts w:cs="Times New Roman"/>
          <w:i/>
          <w:sz w:val="20"/>
          <w:szCs w:val="24"/>
        </w:rPr>
        <w:t xml:space="preserve"> </w:t>
      </w:r>
      <w:r w:rsidRPr="000C1B31">
        <w:rPr>
          <w:rFonts w:cs="Times New Roman"/>
          <w:sz w:val="20"/>
          <w:szCs w:val="24"/>
        </w:rPr>
        <w:t xml:space="preserve">Belo Horizonte: Editora INDG </w:t>
      </w:r>
      <w:proofErr w:type="spellStart"/>
      <w:r w:rsidRPr="000C1B31">
        <w:rPr>
          <w:rFonts w:cs="Times New Roman"/>
          <w:sz w:val="20"/>
          <w:szCs w:val="24"/>
        </w:rPr>
        <w:t>TecS</w:t>
      </w:r>
      <w:proofErr w:type="spellEnd"/>
      <w:r w:rsidRPr="000C1B31">
        <w:rPr>
          <w:rFonts w:cs="Times New Roman"/>
          <w:sz w:val="20"/>
          <w:szCs w:val="24"/>
        </w:rPr>
        <w:t>, 2004.</w:t>
      </w:r>
    </w:p>
    <w:p w:rsidR="00D132FC" w:rsidRPr="000C1B31" w:rsidRDefault="00D132FC" w:rsidP="000C1B31">
      <w:pPr>
        <w:spacing w:line="240" w:lineRule="auto"/>
        <w:rPr>
          <w:rFonts w:cs="Times New Roman"/>
          <w:sz w:val="20"/>
          <w:szCs w:val="24"/>
        </w:rPr>
      </w:pPr>
      <w:r w:rsidRPr="00700164">
        <w:rPr>
          <w:rFonts w:cs="Times New Roman"/>
          <w:color w:val="212121"/>
          <w:sz w:val="20"/>
          <w:szCs w:val="24"/>
        </w:rPr>
        <w:t xml:space="preserve">FREEDMAN, R. Young, H. </w:t>
      </w:r>
      <w:r w:rsidRPr="00700164">
        <w:rPr>
          <w:rFonts w:cs="Times New Roman"/>
          <w:b/>
          <w:color w:val="212121"/>
          <w:sz w:val="20"/>
          <w:szCs w:val="24"/>
        </w:rPr>
        <w:t>Física II</w:t>
      </w:r>
      <w:r w:rsidRPr="00700164">
        <w:rPr>
          <w:rFonts w:cs="Times New Roman"/>
          <w:color w:val="212121"/>
          <w:sz w:val="20"/>
          <w:szCs w:val="24"/>
        </w:rPr>
        <w:t xml:space="preserve">. 12 ed. </w:t>
      </w:r>
      <w:r w:rsidRPr="000C1B31">
        <w:rPr>
          <w:rFonts w:cs="Times New Roman"/>
          <w:color w:val="212121"/>
          <w:sz w:val="20"/>
          <w:szCs w:val="24"/>
        </w:rPr>
        <w:t xml:space="preserve">São </w:t>
      </w:r>
      <w:proofErr w:type="gramStart"/>
      <w:r w:rsidRPr="000C1B31">
        <w:rPr>
          <w:rFonts w:cs="Times New Roman"/>
          <w:color w:val="212121"/>
          <w:sz w:val="20"/>
          <w:szCs w:val="24"/>
        </w:rPr>
        <w:t>Paulo :</w:t>
      </w:r>
      <w:proofErr w:type="gramEnd"/>
      <w:r w:rsidRPr="000C1B31">
        <w:rPr>
          <w:rFonts w:cs="Times New Roman"/>
          <w:color w:val="212121"/>
          <w:sz w:val="20"/>
          <w:szCs w:val="24"/>
        </w:rPr>
        <w:t xml:space="preserve"> Pearson 2008.</w:t>
      </w:r>
    </w:p>
    <w:p w:rsidR="00D132FC" w:rsidRPr="000C1B31" w:rsidRDefault="00D132FC" w:rsidP="000C1B31">
      <w:pPr>
        <w:spacing w:line="240" w:lineRule="auto"/>
        <w:rPr>
          <w:rFonts w:cs="Times New Roman"/>
          <w:sz w:val="20"/>
          <w:szCs w:val="24"/>
        </w:rPr>
      </w:pPr>
      <w:r w:rsidRPr="000C1B31">
        <w:rPr>
          <w:rFonts w:cs="Times New Roman"/>
          <w:sz w:val="20"/>
          <w:szCs w:val="24"/>
        </w:rPr>
        <w:t xml:space="preserve">GALERY, R. </w:t>
      </w:r>
      <w:r w:rsidRPr="000C1B31">
        <w:rPr>
          <w:rFonts w:cs="Times New Roman"/>
          <w:b/>
          <w:sz w:val="20"/>
          <w:szCs w:val="24"/>
        </w:rPr>
        <w:t>Fragmentação de Minérios: Primeira Parte</w:t>
      </w:r>
      <w:r w:rsidRPr="000C1B31">
        <w:rPr>
          <w:rFonts w:cs="Times New Roman"/>
          <w:sz w:val="20"/>
          <w:szCs w:val="24"/>
        </w:rPr>
        <w:t>. Belo Horizonte: Editora UFMG, 2011.</w:t>
      </w:r>
    </w:p>
    <w:p w:rsidR="00D132FC" w:rsidRPr="000C1B31" w:rsidRDefault="00D132FC" w:rsidP="000C1B31">
      <w:pPr>
        <w:spacing w:line="240" w:lineRule="auto"/>
        <w:rPr>
          <w:rFonts w:cs="Times New Roman"/>
          <w:sz w:val="20"/>
          <w:szCs w:val="24"/>
        </w:rPr>
      </w:pPr>
      <w:r w:rsidRPr="000C1B31">
        <w:rPr>
          <w:rFonts w:cs="Times New Roman"/>
          <w:sz w:val="20"/>
          <w:szCs w:val="24"/>
        </w:rPr>
        <w:t xml:space="preserve">HASEN, R. C.. </w:t>
      </w:r>
      <w:r w:rsidRPr="000C1B31">
        <w:rPr>
          <w:rFonts w:cs="Times New Roman"/>
          <w:b/>
          <w:sz w:val="20"/>
          <w:szCs w:val="24"/>
        </w:rPr>
        <w:t>Eficiência Global dos Equipamentos: Uma poderosa ferramenta de produção / manutenção para o aumento dos lucros</w:t>
      </w:r>
      <w:r w:rsidRPr="000C1B31">
        <w:rPr>
          <w:rFonts w:cs="Times New Roman"/>
          <w:i/>
          <w:sz w:val="20"/>
          <w:szCs w:val="24"/>
        </w:rPr>
        <w:t xml:space="preserve">. </w:t>
      </w:r>
      <w:r w:rsidRPr="000C1B31">
        <w:rPr>
          <w:rFonts w:cs="Times New Roman"/>
          <w:sz w:val="20"/>
          <w:szCs w:val="24"/>
        </w:rPr>
        <w:t xml:space="preserve">Porto Alegre: Editora </w:t>
      </w:r>
      <w:proofErr w:type="spellStart"/>
      <w:r w:rsidRPr="000C1B31">
        <w:rPr>
          <w:rFonts w:cs="Times New Roman"/>
          <w:sz w:val="20"/>
          <w:szCs w:val="24"/>
        </w:rPr>
        <w:t>Bookman</w:t>
      </w:r>
      <w:proofErr w:type="spellEnd"/>
      <w:r w:rsidRPr="000C1B31">
        <w:rPr>
          <w:rFonts w:cs="Times New Roman"/>
          <w:sz w:val="20"/>
          <w:szCs w:val="24"/>
        </w:rPr>
        <w:t>, 2006.</w:t>
      </w:r>
    </w:p>
    <w:p w:rsidR="00C36277" w:rsidRPr="000C1B31" w:rsidRDefault="00D132FC" w:rsidP="000C1B31">
      <w:pPr>
        <w:spacing w:line="240" w:lineRule="auto"/>
        <w:rPr>
          <w:rFonts w:cs="Times New Roman"/>
          <w:sz w:val="20"/>
          <w:szCs w:val="24"/>
        </w:rPr>
      </w:pPr>
      <w:r w:rsidRPr="000C1B31">
        <w:rPr>
          <w:rFonts w:cs="Times New Roman"/>
          <w:sz w:val="20"/>
          <w:szCs w:val="24"/>
        </w:rPr>
        <w:lastRenderedPageBreak/>
        <w:t xml:space="preserve">OLIVEIRA, M. R.; HEMOSILLA, J. L. G.; SILVA, E. C. C. da. </w:t>
      </w:r>
      <w:r w:rsidRPr="000C1B31">
        <w:rPr>
          <w:rFonts w:cs="Times New Roman"/>
          <w:b/>
          <w:sz w:val="20"/>
          <w:szCs w:val="24"/>
        </w:rPr>
        <w:t>Implantação do Índice de Eficiência Global dos Equipamentos em uma célula de manufatura em uma empresa de grande porte do setor automotivo – segmento de embreagens</w:t>
      </w:r>
      <w:r w:rsidRPr="000C1B31">
        <w:rPr>
          <w:rFonts w:cs="Times New Roman"/>
          <w:i/>
          <w:sz w:val="20"/>
          <w:szCs w:val="24"/>
        </w:rPr>
        <w:t xml:space="preserve">. </w:t>
      </w:r>
      <w:r w:rsidRPr="000C1B31">
        <w:rPr>
          <w:rFonts w:cs="Times New Roman"/>
          <w:sz w:val="20"/>
          <w:szCs w:val="24"/>
        </w:rPr>
        <w:t>Anais. SIMPOI, 2012.</w:t>
      </w:r>
    </w:p>
    <w:p w:rsidR="00D132FC" w:rsidRPr="000C1B31" w:rsidRDefault="00D132FC" w:rsidP="000C1B31">
      <w:pPr>
        <w:spacing w:line="240" w:lineRule="auto"/>
        <w:rPr>
          <w:rFonts w:cs="Times New Roman"/>
          <w:sz w:val="20"/>
          <w:szCs w:val="24"/>
        </w:rPr>
      </w:pPr>
      <w:r w:rsidRPr="000C1B31">
        <w:rPr>
          <w:rFonts w:cs="Times New Roman"/>
          <w:sz w:val="20"/>
          <w:szCs w:val="24"/>
        </w:rPr>
        <w:t xml:space="preserve">PALADINI, E. P.. </w:t>
      </w:r>
      <w:r w:rsidRPr="000C1B31">
        <w:rPr>
          <w:rFonts w:cs="Times New Roman"/>
          <w:b/>
          <w:sz w:val="20"/>
          <w:szCs w:val="24"/>
        </w:rPr>
        <w:t>Avaliação estratégica da qualidade</w:t>
      </w:r>
      <w:r w:rsidRPr="000C1B31">
        <w:rPr>
          <w:rFonts w:cs="Times New Roman"/>
          <w:sz w:val="20"/>
          <w:szCs w:val="24"/>
        </w:rPr>
        <w:t>. São Paulo: Atlas; 2002.</w:t>
      </w:r>
    </w:p>
    <w:p w:rsidR="000A510E" w:rsidRPr="000C1B31" w:rsidRDefault="00D132FC" w:rsidP="000C1B31">
      <w:pPr>
        <w:spacing w:line="240" w:lineRule="auto"/>
        <w:rPr>
          <w:rFonts w:cs="Times New Roman"/>
          <w:sz w:val="20"/>
          <w:szCs w:val="24"/>
        </w:rPr>
      </w:pPr>
      <w:r w:rsidRPr="000C1B31">
        <w:rPr>
          <w:rFonts w:cs="Times New Roman"/>
          <w:sz w:val="20"/>
          <w:szCs w:val="24"/>
        </w:rPr>
        <w:t xml:space="preserve">PALOMINO, R. C.; MANICA, C. R.; MIRANDA, B. B.. </w:t>
      </w:r>
      <w:r w:rsidRPr="000C1B31">
        <w:rPr>
          <w:rFonts w:cs="Times New Roman"/>
          <w:b/>
          <w:sz w:val="20"/>
          <w:szCs w:val="24"/>
        </w:rPr>
        <w:t>Incremento na produção através do Índice OEE: um estudo de caso em uma empresa fabricante de luminárias para lâmpadas fluorescentes</w:t>
      </w:r>
      <w:r w:rsidRPr="000C1B31">
        <w:rPr>
          <w:rFonts w:cs="Times New Roman"/>
          <w:i/>
          <w:sz w:val="20"/>
          <w:szCs w:val="24"/>
        </w:rPr>
        <w:t xml:space="preserve">. </w:t>
      </w:r>
      <w:r w:rsidRPr="000C1B31">
        <w:rPr>
          <w:rFonts w:cs="Times New Roman"/>
          <w:sz w:val="20"/>
          <w:szCs w:val="24"/>
        </w:rPr>
        <w:t>XXX Encontro Nacional de Engenharia de Produção. São Carlos, SP, 2010.</w:t>
      </w:r>
    </w:p>
    <w:p w:rsidR="008F3ADB" w:rsidRPr="000C1B31" w:rsidRDefault="008F3ADB" w:rsidP="000C1B31">
      <w:pPr>
        <w:spacing w:line="240" w:lineRule="auto"/>
        <w:rPr>
          <w:sz w:val="20"/>
          <w:szCs w:val="24"/>
        </w:rPr>
      </w:pPr>
      <w:r w:rsidRPr="000C1B31">
        <w:rPr>
          <w:sz w:val="20"/>
          <w:szCs w:val="24"/>
        </w:rPr>
        <w:t xml:space="preserve">PEINADO, Jurandir; GRAEML, Alexandre R. </w:t>
      </w:r>
      <w:r w:rsidRPr="000C1B31">
        <w:rPr>
          <w:b/>
          <w:sz w:val="20"/>
          <w:szCs w:val="24"/>
        </w:rPr>
        <w:t>Administração da produção: operações indu</w:t>
      </w:r>
      <w:r w:rsidR="00700164">
        <w:rPr>
          <w:b/>
          <w:sz w:val="20"/>
          <w:szCs w:val="24"/>
        </w:rPr>
        <w:t>striais e de serviços. Curitiba</w:t>
      </w:r>
      <w:r w:rsidRPr="000C1B31">
        <w:rPr>
          <w:sz w:val="20"/>
          <w:szCs w:val="24"/>
        </w:rPr>
        <w:t xml:space="preserve">: </w:t>
      </w:r>
      <w:proofErr w:type="spellStart"/>
      <w:r w:rsidRPr="000C1B31">
        <w:rPr>
          <w:sz w:val="20"/>
          <w:szCs w:val="24"/>
        </w:rPr>
        <w:t>UnicenP</w:t>
      </w:r>
      <w:proofErr w:type="spellEnd"/>
      <w:r w:rsidRPr="000C1B31">
        <w:rPr>
          <w:sz w:val="20"/>
          <w:szCs w:val="24"/>
        </w:rPr>
        <w:t>, 2007.</w:t>
      </w:r>
    </w:p>
    <w:p w:rsidR="00D132FC" w:rsidRPr="000C1B31" w:rsidRDefault="004C11B5" w:rsidP="000C1B31">
      <w:pPr>
        <w:spacing w:line="240" w:lineRule="auto"/>
        <w:rPr>
          <w:rFonts w:cs="Times New Roman"/>
          <w:sz w:val="20"/>
          <w:szCs w:val="24"/>
        </w:rPr>
      </w:pPr>
      <w:r w:rsidRPr="000C1B31">
        <w:rPr>
          <w:sz w:val="20"/>
          <w:szCs w:val="24"/>
        </w:rPr>
        <w:t xml:space="preserve">RODRIGUES, Rui M. </w:t>
      </w:r>
      <w:r w:rsidRPr="000C1B31">
        <w:rPr>
          <w:b/>
          <w:sz w:val="20"/>
          <w:szCs w:val="24"/>
        </w:rPr>
        <w:t>Pesquisa acadêmica: como facilitar o processo de preparação de suas etapas.</w:t>
      </w:r>
      <w:r w:rsidRPr="000C1B31">
        <w:rPr>
          <w:sz w:val="20"/>
          <w:szCs w:val="24"/>
        </w:rPr>
        <w:t xml:space="preserve"> São Paulo: Atlas, 2007</w:t>
      </w:r>
    </w:p>
    <w:p w:rsidR="007D63F4" w:rsidRDefault="004104C6" w:rsidP="000C1B31">
      <w:pPr>
        <w:spacing w:line="240" w:lineRule="auto"/>
        <w:rPr>
          <w:rFonts w:cs="Times New Roman"/>
          <w:sz w:val="20"/>
          <w:szCs w:val="24"/>
        </w:rPr>
      </w:pPr>
      <w:r w:rsidRPr="000C1B31">
        <w:rPr>
          <w:rFonts w:cs="Times New Roman"/>
          <w:sz w:val="20"/>
          <w:szCs w:val="24"/>
        </w:rPr>
        <w:t>VALADÃ</w:t>
      </w:r>
      <w:r w:rsidR="00D132FC" w:rsidRPr="000C1B31">
        <w:rPr>
          <w:rFonts w:cs="Times New Roman"/>
          <w:sz w:val="20"/>
          <w:szCs w:val="24"/>
        </w:rPr>
        <w:t>O, G. E. S.; ARAUJO, A. C..</w:t>
      </w:r>
      <w:r w:rsidR="00D132FC" w:rsidRPr="000C1B31">
        <w:rPr>
          <w:rFonts w:cs="Times New Roman"/>
          <w:b/>
          <w:sz w:val="20"/>
          <w:szCs w:val="24"/>
        </w:rPr>
        <w:t xml:space="preserve"> Introdução ao tratamento de Minérios</w:t>
      </w:r>
      <w:r w:rsidR="00D132FC" w:rsidRPr="000C1B31">
        <w:rPr>
          <w:rFonts w:cs="Times New Roman"/>
          <w:i/>
          <w:sz w:val="20"/>
          <w:szCs w:val="24"/>
        </w:rPr>
        <w:t xml:space="preserve">. </w:t>
      </w:r>
      <w:r w:rsidR="00D132FC" w:rsidRPr="000C1B31">
        <w:rPr>
          <w:rFonts w:cs="Times New Roman"/>
          <w:sz w:val="20"/>
          <w:szCs w:val="24"/>
        </w:rPr>
        <w:t>1° Edição. Belo Horizonte: Editora UFMG, 2007.</w:t>
      </w:r>
    </w:p>
    <w:p w:rsidR="000C1B31" w:rsidRPr="000C1B31" w:rsidRDefault="000C1B31" w:rsidP="000C1B31">
      <w:pPr>
        <w:spacing w:line="240" w:lineRule="auto"/>
        <w:rPr>
          <w:rFonts w:cs="Times New Roman"/>
          <w:sz w:val="20"/>
          <w:szCs w:val="24"/>
        </w:rPr>
      </w:pPr>
    </w:p>
    <w:p w:rsidR="003C0B49" w:rsidRPr="00ED3EDB" w:rsidRDefault="004104C6" w:rsidP="00ED3EDB">
      <w:pPr>
        <w:pStyle w:val="Ttulo2"/>
        <w:spacing w:before="0" w:after="120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ANEXO</w:t>
      </w:r>
      <w:r w:rsidR="007D63F4">
        <w:rPr>
          <w:rFonts w:ascii="Times New Roman" w:hAnsi="Times New Roman"/>
          <w:i w:val="0"/>
          <w:sz w:val="24"/>
          <w:szCs w:val="24"/>
        </w:rPr>
        <w:t xml:space="preserve"> I</w:t>
      </w:r>
      <w:r w:rsidR="00ED3EDB">
        <w:rPr>
          <w:rFonts w:ascii="Times New Roman" w:hAnsi="Times New Roman"/>
          <w:i w:val="0"/>
          <w:sz w:val="24"/>
          <w:szCs w:val="24"/>
        </w:rPr>
        <w:br/>
      </w:r>
      <w:r w:rsidR="00671433" w:rsidRPr="00ED3EDB">
        <w:rPr>
          <w:rFonts w:ascii="Times New Roman" w:hAnsi="Times New Roman"/>
          <w:b w:val="0"/>
          <w:i w:val="0"/>
          <w:noProof/>
          <w:sz w:val="36"/>
          <w:lang w:eastAsia="pt-BR"/>
        </w:rPr>
        <w:drawing>
          <wp:anchor distT="0" distB="0" distL="0" distR="0" simplePos="0" relativeHeight="251660800" behindDoc="1" locked="0" layoutInCell="1" allowOverlap="1" wp14:anchorId="4820B9CD" wp14:editId="2A84DB3F">
            <wp:simplePos x="0" y="0"/>
            <wp:positionH relativeFrom="page">
              <wp:posOffset>943610</wp:posOffset>
            </wp:positionH>
            <wp:positionV relativeFrom="paragraph">
              <wp:posOffset>461645</wp:posOffset>
            </wp:positionV>
            <wp:extent cx="6096635" cy="5177155"/>
            <wp:effectExtent l="0" t="0" r="0" b="4445"/>
            <wp:wrapThrough wrapText="bothSides">
              <wp:wrapPolygon edited="0">
                <wp:start x="0" y="0"/>
                <wp:lineTo x="0" y="21539"/>
                <wp:lineTo x="21530" y="21539"/>
                <wp:lineTo x="21530" y="0"/>
                <wp:lineTo x="0" y="0"/>
              </wp:wrapPolygon>
            </wp:wrapThrough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517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433" w:rsidRPr="00ED3EDB">
        <w:rPr>
          <w:rFonts w:ascii="Times New Roman" w:hAnsi="Times New Roman"/>
          <w:b w:val="0"/>
          <w:i w:val="0"/>
          <w:sz w:val="24"/>
        </w:rPr>
        <w:t>Fluxograma do processo produtivo da mineradora</w:t>
      </w:r>
    </w:p>
    <w:p w:rsidR="006A1F08" w:rsidRPr="006A1F08" w:rsidRDefault="006A1F08" w:rsidP="006A1F08"/>
    <w:p w:rsidR="006C26ED" w:rsidRPr="00671433" w:rsidRDefault="00671433" w:rsidP="00671433">
      <w:pPr>
        <w:jc w:val="center"/>
        <w:rPr>
          <w:sz w:val="20"/>
        </w:rPr>
      </w:pPr>
      <w:r w:rsidRPr="00671433">
        <w:rPr>
          <w:sz w:val="20"/>
        </w:rPr>
        <w:t>Fonte: Elaborado pelos autores (2017)</w:t>
      </w:r>
    </w:p>
    <w:p w:rsidR="00612DEA" w:rsidRPr="00144CF8" w:rsidRDefault="00612DEA" w:rsidP="00144CF8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2DEA" w:rsidRPr="00144CF8" w:rsidSect="00800B44">
      <w:headerReference w:type="default" r:id="rId13"/>
      <w:footerReference w:type="even" r:id="rId14"/>
      <w:footerReference w:type="default" r:id="rId15"/>
      <w:pgSz w:w="11906" w:h="16838" w:code="9"/>
      <w:pgMar w:top="680" w:right="1418" w:bottom="680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3A" w:rsidRDefault="00EC1D3A">
      <w:pPr>
        <w:spacing w:after="0" w:line="240" w:lineRule="auto"/>
      </w:pPr>
      <w:r>
        <w:separator/>
      </w:r>
    </w:p>
  </w:endnote>
  <w:endnote w:type="continuationSeparator" w:id="0">
    <w:p w:rsidR="00EC1D3A" w:rsidRDefault="00EC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Cn BT">
    <w:altName w:val="Arial Narrow"/>
    <w:panose1 w:val="020B050602020203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BE" w:rsidRDefault="004217BE" w:rsidP="005B34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7BE" w:rsidRDefault="004217BE" w:rsidP="004217BE">
    <w:pPr>
      <w:pStyle w:val="Rodap"/>
      <w:ind w:right="360"/>
    </w:pPr>
  </w:p>
  <w:p w:rsidR="006C5E95" w:rsidRDefault="006C5E95"/>
  <w:p w:rsidR="006C5E95" w:rsidRDefault="006C5E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461" w:rsidRPr="008157FB" w:rsidRDefault="005B3461" w:rsidP="005B3461">
    <w:pPr>
      <w:pStyle w:val="Rodap"/>
      <w:tabs>
        <w:tab w:val="right" w:pos="9071"/>
        <w:tab w:val="right" w:pos="9120"/>
        <w:tab w:val="left" w:pos="9204"/>
      </w:tabs>
      <w:ind w:right="360"/>
      <w:rPr>
        <w:rFonts w:ascii="Arial" w:hAnsi="Arial" w:cs="Arial"/>
        <w:b/>
        <w:color w:val="333333"/>
        <w:sz w:val="22"/>
        <w:szCs w:val="22"/>
      </w:rPr>
    </w:pPr>
  </w:p>
  <w:p w:rsidR="0070158A" w:rsidRPr="005B3461" w:rsidRDefault="0070158A" w:rsidP="005B34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3A" w:rsidRDefault="00EC1D3A">
      <w:pPr>
        <w:spacing w:after="0" w:line="240" w:lineRule="auto"/>
      </w:pPr>
      <w:r>
        <w:separator/>
      </w:r>
    </w:p>
  </w:footnote>
  <w:footnote w:type="continuationSeparator" w:id="0">
    <w:p w:rsidR="00EC1D3A" w:rsidRDefault="00EC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49" w:rsidRPr="004513FF" w:rsidRDefault="00800B44" w:rsidP="003C0B49">
    <w:pPr>
      <w:jc w:val="right"/>
      <w:rPr>
        <w:rFonts w:ascii="Swis721 Cn BT" w:hAnsi="Swis721 Cn BT"/>
        <w:sz w:val="20"/>
      </w:rPr>
    </w:pPr>
    <w:r>
      <w:rPr>
        <w:noProof/>
        <w:sz w:val="14"/>
        <w:szCs w:val="14"/>
        <w:lang w:eastAsia="pt-BR"/>
      </w:rPr>
      <w:drawing>
        <wp:anchor distT="0" distB="0" distL="114300" distR="114300" simplePos="0" relativeHeight="251658240" behindDoc="1" locked="0" layoutInCell="1" allowOverlap="1" wp14:anchorId="1C89EDAF" wp14:editId="72701721">
          <wp:simplePos x="0" y="0"/>
          <wp:positionH relativeFrom="margin">
            <wp:align>center</wp:align>
          </wp:positionH>
          <wp:positionV relativeFrom="paragraph">
            <wp:posOffset>-431800</wp:posOffset>
          </wp:positionV>
          <wp:extent cx="7743825" cy="2011680"/>
          <wp:effectExtent l="0" t="0" r="9525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-br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01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B49" w:rsidRPr="00C35221">
      <w:rPr>
        <w:rFonts w:ascii="Swis721 Cn BT" w:hAnsi="Swis721 Cn BT"/>
        <w:sz w:val="18"/>
        <w:szCs w:val="18"/>
      </w:rPr>
      <w:br/>
    </w:r>
  </w:p>
  <w:p w:rsidR="005B3461" w:rsidRPr="00C35221" w:rsidRDefault="005B3461" w:rsidP="00E75EB3">
    <w:pPr>
      <w:jc w:val="right"/>
      <w:rPr>
        <w:sz w:val="14"/>
        <w:szCs w:val="14"/>
      </w:rPr>
    </w:pPr>
  </w:p>
  <w:p w:rsidR="005B3461" w:rsidRPr="00EB2059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5B3461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4217BE" w:rsidRPr="005B3461" w:rsidRDefault="004217BE" w:rsidP="005B3461">
    <w:pPr>
      <w:pStyle w:val="Cabealho"/>
    </w:pPr>
  </w:p>
  <w:p w:rsidR="006C5E95" w:rsidRDefault="006C5E95"/>
  <w:p w:rsidR="006C5E95" w:rsidRDefault="006C5E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0189"/>
    <w:multiLevelType w:val="hybridMultilevel"/>
    <w:tmpl w:val="C2C6BE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827D1"/>
    <w:multiLevelType w:val="hybridMultilevel"/>
    <w:tmpl w:val="3C061270"/>
    <w:lvl w:ilvl="0" w:tplc="5FCA3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53D97"/>
    <w:multiLevelType w:val="hybridMultilevel"/>
    <w:tmpl w:val="38E4D1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AU" w:vendorID="64" w:dllVersion="131078" w:nlCheck="1" w:checkStyle="1"/>
  <w:activeWritingStyle w:appName="MSWord" w:lang="pt-BR" w:vendorID="64" w:dllVersion="0" w:nlCheck="1" w:checkStyle="0"/>
  <w:activeWritingStyle w:appName="MSWord" w:lang="en-US" w:vendorID="64" w:dllVersion="131078" w:nlCheck="1" w:checkStyle="1"/>
  <w:proofState w:spelling="clean" w:grammar="clean"/>
  <w:documentProtection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E2"/>
    <w:rsid w:val="00000CC6"/>
    <w:rsid w:val="00005C91"/>
    <w:rsid w:val="00017F84"/>
    <w:rsid w:val="000271BB"/>
    <w:rsid w:val="00027E8F"/>
    <w:rsid w:val="000307BA"/>
    <w:rsid w:val="00036A6E"/>
    <w:rsid w:val="00050E48"/>
    <w:rsid w:val="00061DCC"/>
    <w:rsid w:val="00066DBC"/>
    <w:rsid w:val="00082187"/>
    <w:rsid w:val="000836DB"/>
    <w:rsid w:val="00091D53"/>
    <w:rsid w:val="000A510E"/>
    <w:rsid w:val="000A7255"/>
    <w:rsid w:val="000B417B"/>
    <w:rsid w:val="000B62C9"/>
    <w:rsid w:val="000B6957"/>
    <w:rsid w:val="000C1B31"/>
    <w:rsid w:val="000C5682"/>
    <w:rsid w:val="000C61AB"/>
    <w:rsid w:val="000D111A"/>
    <w:rsid w:val="000D6016"/>
    <w:rsid w:val="000D650B"/>
    <w:rsid w:val="000E00A8"/>
    <w:rsid w:val="000E0D27"/>
    <w:rsid w:val="000E79B9"/>
    <w:rsid w:val="000E7EB2"/>
    <w:rsid w:val="00106848"/>
    <w:rsid w:val="00106E54"/>
    <w:rsid w:val="001148A8"/>
    <w:rsid w:val="0011518A"/>
    <w:rsid w:val="001277C2"/>
    <w:rsid w:val="0013224E"/>
    <w:rsid w:val="001332C4"/>
    <w:rsid w:val="0013561C"/>
    <w:rsid w:val="0014096A"/>
    <w:rsid w:val="00141B94"/>
    <w:rsid w:val="00142D82"/>
    <w:rsid w:val="00144CF8"/>
    <w:rsid w:val="00146865"/>
    <w:rsid w:val="001532FA"/>
    <w:rsid w:val="00161DE9"/>
    <w:rsid w:val="00166ABF"/>
    <w:rsid w:val="00184BEA"/>
    <w:rsid w:val="00194BD9"/>
    <w:rsid w:val="001A0309"/>
    <w:rsid w:val="001A0FD7"/>
    <w:rsid w:val="001A3650"/>
    <w:rsid w:val="001A38A1"/>
    <w:rsid w:val="001A546C"/>
    <w:rsid w:val="001B2E8C"/>
    <w:rsid w:val="001B6AEA"/>
    <w:rsid w:val="001B6DB0"/>
    <w:rsid w:val="001C6937"/>
    <w:rsid w:val="001E4599"/>
    <w:rsid w:val="001F358D"/>
    <w:rsid w:val="001F5FCE"/>
    <w:rsid w:val="002006B1"/>
    <w:rsid w:val="00205A66"/>
    <w:rsid w:val="00213A24"/>
    <w:rsid w:val="00217C57"/>
    <w:rsid w:val="00231FAA"/>
    <w:rsid w:val="00232168"/>
    <w:rsid w:val="002326A8"/>
    <w:rsid w:val="002362B0"/>
    <w:rsid w:val="00244A8B"/>
    <w:rsid w:val="00244B11"/>
    <w:rsid w:val="00251800"/>
    <w:rsid w:val="00251C74"/>
    <w:rsid w:val="002624EE"/>
    <w:rsid w:val="002639A2"/>
    <w:rsid w:val="00272A92"/>
    <w:rsid w:val="00274E30"/>
    <w:rsid w:val="00275D1D"/>
    <w:rsid w:val="002832B3"/>
    <w:rsid w:val="00286D65"/>
    <w:rsid w:val="00287BA6"/>
    <w:rsid w:val="00287F4A"/>
    <w:rsid w:val="002950F1"/>
    <w:rsid w:val="002C24C8"/>
    <w:rsid w:val="002C25AC"/>
    <w:rsid w:val="002C731A"/>
    <w:rsid w:val="002D4C0F"/>
    <w:rsid w:val="002D6D13"/>
    <w:rsid w:val="002E27FD"/>
    <w:rsid w:val="002E3645"/>
    <w:rsid w:val="002E51BD"/>
    <w:rsid w:val="002E6BBE"/>
    <w:rsid w:val="002E76FD"/>
    <w:rsid w:val="002E788E"/>
    <w:rsid w:val="002F1D5C"/>
    <w:rsid w:val="002F631A"/>
    <w:rsid w:val="00311B2E"/>
    <w:rsid w:val="00320ED9"/>
    <w:rsid w:val="00330B04"/>
    <w:rsid w:val="00332CC6"/>
    <w:rsid w:val="00334A54"/>
    <w:rsid w:val="0034783A"/>
    <w:rsid w:val="003741F3"/>
    <w:rsid w:val="00387D54"/>
    <w:rsid w:val="003A3408"/>
    <w:rsid w:val="003C0B49"/>
    <w:rsid w:val="003C4480"/>
    <w:rsid w:val="003C7A61"/>
    <w:rsid w:val="003D0305"/>
    <w:rsid w:val="003D4584"/>
    <w:rsid w:val="003D6393"/>
    <w:rsid w:val="003D6D34"/>
    <w:rsid w:val="003E4A9F"/>
    <w:rsid w:val="003E4E91"/>
    <w:rsid w:val="003F6615"/>
    <w:rsid w:val="0040424A"/>
    <w:rsid w:val="00406D36"/>
    <w:rsid w:val="004104C6"/>
    <w:rsid w:val="004217BE"/>
    <w:rsid w:val="0043080E"/>
    <w:rsid w:val="00431210"/>
    <w:rsid w:val="00435862"/>
    <w:rsid w:val="004403A0"/>
    <w:rsid w:val="00453A4D"/>
    <w:rsid w:val="00454AC9"/>
    <w:rsid w:val="00455359"/>
    <w:rsid w:val="0045627D"/>
    <w:rsid w:val="004602DD"/>
    <w:rsid w:val="004613D4"/>
    <w:rsid w:val="00462F31"/>
    <w:rsid w:val="00464010"/>
    <w:rsid w:val="004645AB"/>
    <w:rsid w:val="00464E59"/>
    <w:rsid w:val="00466238"/>
    <w:rsid w:val="00481748"/>
    <w:rsid w:val="00481B48"/>
    <w:rsid w:val="00485205"/>
    <w:rsid w:val="004864DA"/>
    <w:rsid w:val="004903D4"/>
    <w:rsid w:val="004917B0"/>
    <w:rsid w:val="004A0C52"/>
    <w:rsid w:val="004A4C16"/>
    <w:rsid w:val="004A5F7F"/>
    <w:rsid w:val="004B684D"/>
    <w:rsid w:val="004C11B5"/>
    <w:rsid w:val="004C145E"/>
    <w:rsid w:val="004D0374"/>
    <w:rsid w:val="004D04E2"/>
    <w:rsid w:val="004D0FC4"/>
    <w:rsid w:val="004D420E"/>
    <w:rsid w:val="004F26A9"/>
    <w:rsid w:val="004F6D85"/>
    <w:rsid w:val="005050A4"/>
    <w:rsid w:val="0050779E"/>
    <w:rsid w:val="00511DBF"/>
    <w:rsid w:val="00517592"/>
    <w:rsid w:val="00520F36"/>
    <w:rsid w:val="0052213B"/>
    <w:rsid w:val="00531183"/>
    <w:rsid w:val="00534663"/>
    <w:rsid w:val="00536F33"/>
    <w:rsid w:val="00555536"/>
    <w:rsid w:val="00570741"/>
    <w:rsid w:val="00576518"/>
    <w:rsid w:val="00583510"/>
    <w:rsid w:val="00586EAF"/>
    <w:rsid w:val="00590F3B"/>
    <w:rsid w:val="00592BFA"/>
    <w:rsid w:val="005942B2"/>
    <w:rsid w:val="00594B70"/>
    <w:rsid w:val="005A62E0"/>
    <w:rsid w:val="005A66A0"/>
    <w:rsid w:val="005B3461"/>
    <w:rsid w:val="005B51B4"/>
    <w:rsid w:val="005B62F9"/>
    <w:rsid w:val="005C0ACC"/>
    <w:rsid w:val="005C2991"/>
    <w:rsid w:val="005C5D56"/>
    <w:rsid w:val="005D02BF"/>
    <w:rsid w:val="005E5E3C"/>
    <w:rsid w:val="005F2941"/>
    <w:rsid w:val="005F3BDF"/>
    <w:rsid w:val="005F728F"/>
    <w:rsid w:val="0060040A"/>
    <w:rsid w:val="00604A58"/>
    <w:rsid w:val="00612DEA"/>
    <w:rsid w:val="00623345"/>
    <w:rsid w:val="00623A6D"/>
    <w:rsid w:val="00633FA9"/>
    <w:rsid w:val="00652221"/>
    <w:rsid w:val="00652F59"/>
    <w:rsid w:val="00657BB5"/>
    <w:rsid w:val="00665550"/>
    <w:rsid w:val="00671433"/>
    <w:rsid w:val="006771DC"/>
    <w:rsid w:val="006779E0"/>
    <w:rsid w:val="00682F4F"/>
    <w:rsid w:val="00684C11"/>
    <w:rsid w:val="00694743"/>
    <w:rsid w:val="006A1F08"/>
    <w:rsid w:val="006B0704"/>
    <w:rsid w:val="006B1801"/>
    <w:rsid w:val="006B256B"/>
    <w:rsid w:val="006B583F"/>
    <w:rsid w:val="006B5D09"/>
    <w:rsid w:val="006B61E1"/>
    <w:rsid w:val="006C0B4E"/>
    <w:rsid w:val="006C26ED"/>
    <w:rsid w:val="006C5E95"/>
    <w:rsid w:val="006D3FBA"/>
    <w:rsid w:val="006D4D67"/>
    <w:rsid w:val="006D68D7"/>
    <w:rsid w:val="006D701F"/>
    <w:rsid w:val="00700164"/>
    <w:rsid w:val="0070158A"/>
    <w:rsid w:val="00704FB5"/>
    <w:rsid w:val="007117FE"/>
    <w:rsid w:val="00716F3A"/>
    <w:rsid w:val="007239EA"/>
    <w:rsid w:val="00732447"/>
    <w:rsid w:val="00733CB2"/>
    <w:rsid w:val="00743A6C"/>
    <w:rsid w:val="0075590D"/>
    <w:rsid w:val="007709EA"/>
    <w:rsid w:val="0077453A"/>
    <w:rsid w:val="00775F8B"/>
    <w:rsid w:val="007870D8"/>
    <w:rsid w:val="007964D8"/>
    <w:rsid w:val="007A0B8F"/>
    <w:rsid w:val="007A0EAF"/>
    <w:rsid w:val="007A3083"/>
    <w:rsid w:val="007B2113"/>
    <w:rsid w:val="007C05F7"/>
    <w:rsid w:val="007D63F4"/>
    <w:rsid w:val="007E5663"/>
    <w:rsid w:val="007E5F96"/>
    <w:rsid w:val="007F3AD3"/>
    <w:rsid w:val="007F4C16"/>
    <w:rsid w:val="00800B44"/>
    <w:rsid w:val="00820531"/>
    <w:rsid w:val="008330ED"/>
    <w:rsid w:val="00842E34"/>
    <w:rsid w:val="0085415D"/>
    <w:rsid w:val="00856163"/>
    <w:rsid w:val="00860A58"/>
    <w:rsid w:val="00870416"/>
    <w:rsid w:val="008708D2"/>
    <w:rsid w:val="0089002A"/>
    <w:rsid w:val="008A52FC"/>
    <w:rsid w:val="008B5276"/>
    <w:rsid w:val="008C0EAA"/>
    <w:rsid w:val="008C21C3"/>
    <w:rsid w:val="008C2503"/>
    <w:rsid w:val="008C5098"/>
    <w:rsid w:val="008C548B"/>
    <w:rsid w:val="008C63BB"/>
    <w:rsid w:val="008D1B83"/>
    <w:rsid w:val="008E000E"/>
    <w:rsid w:val="008F3ADB"/>
    <w:rsid w:val="008F6E5B"/>
    <w:rsid w:val="00924313"/>
    <w:rsid w:val="00930750"/>
    <w:rsid w:val="009318DB"/>
    <w:rsid w:val="0093258B"/>
    <w:rsid w:val="009414C0"/>
    <w:rsid w:val="00944B44"/>
    <w:rsid w:val="00951654"/>
    <w:rsid w:val="00951AC8"/>
    <w:rsid w:val="00960C72"/>
    <w:rsid w:val="00965B17"/>
    <w:rsid w:val="00980F5A"/>
    <w:rsid w:val="0098322B"/>
    <w:rsid w:val="009928B0"/>
    <w:rsid w:val="009928B3"/>
    <w:rsid w:val="00993AD5"/>
    <w:rsid w:val="009A0882"/>
    <w:rsid w:val="009A7195"/>
    <w:rsid w:val="009B188A"/>
    <w:rsid w:val="009B27A5"/>
    <w:rsid w:val="009C5479"/>
    <w:rsid w:val="009C6FEC"/>
    <w:rsid w:val="009D0C0B"/>
    <w:rsid w:val="009D1673"/>
    <w:rsid w:val="009D1B6F"/>
    <w:rsid w:val="009D2B84"/>
    <w:rsid w:val="009E3AC4"/>
    <w:rsid w:val="009E5401"/>
    <w:rsid w:val="009F02D0"/>
    <w:rsid w:val="009F7F0D"/>
    <w:rsid w:val="00A03220"/>
    <w:rsid w:val="00A14915"/>
    <w:rsid w:val="00A15354"/>
    <w:rsid w:val="00A24AC1"/>
    <w:rsid w:val="00A269D1"/>
    <w:rsid w:val="00A26A86"/>
    <w:rsid w:val="00A316FC"/>
    <w:rsid w:val="00A33852"/>
    <w:rsid w:val="00A36377"/>
    <w:rsid w:val="00A36C26"/>
    <w:rsid w:val="00A43DFB"/>
    <w:rsid w:val="00A539CF"/>
    <w:rsid w:val="00A6161D"/>
    <w:rsid w:val="00A66C8B"/>
    <w:rsid w:val="00A724C8"/>
    <w:rsid w:val="00A82B03"/>
    <w:rsid w:val="00A8585E"/>
    <w:rsid w:val="00A91124"/>
    <w:rsid w:val="00AA73F5"/>
    <w:rsid w:val="00AA75C5"/>
    <w:rsid w:val="00AB7772"/>
    <w:rsid w:val="00AC4C47"/>
    <w:rsid w:val="00AD18D8"/>
    <w:rsid w:val="00AD4D66"/>
    <w:rsid w:val="00AE0969"/>
    <w:rsid w:val="00AE54E6"/>
    <w:rsid w:val="00AE5B08"/>
    <w:rsid w:val="00AF0FFA"/>
    <w:rsid w:val="00B12D05"/>
    <w:rsid w:val="00B133DF"/>
    <w:rsid w:val="00B200EF"/>
    <w:rsid w:val="00B204EB"/>
    <w:rsid w:val="00B3368C"/>
    <w:rsid w:val="00B35265"/>
    <w:rsid w:val="00B46C71"/>
    <w:rsid w:val="00B50730"/>
    <w:rsid w:val="00B52FCC"/>
    <w:rsid w:val="00B56744"/>
    <w:rsid w:val="00B56BF0"/>
    <w:rsid w:val="00B6380B"/>
    <w:rsid w:val="00B73A0E"/>
    <w:rsid w:val="00B83A2B"/>
    <w:rsid w:val="00B83E19"/>
    <w:rsid w:val="00B86DF2"/>
    <w:rsid w:val="00BA2BA6"/>
    <w:rsid w:val="00BA2F06"/>
    <w:rsid w:val="00BB1DD6"/>
    <w:rsid w:val="00BC2919"/>
    <w:rsid w:val="00BC37EA"/>
    <w:rsid w:val="00BC5764"/>
    <w:rsid w:val="00BC5AB8"/>
    <w:rsid w:val="00BC73A3"/>
    <w:rsid w:val="00BE66FE"/>
    <w:rsid w:val="00BF0BED"/>
    <w:rsid w:val="00BF67EA"/>
    <w:rsid w:val="00C0322F"/>
    <w:rsid w:val="00C03E3D"/>
    <w:rsid w:val="00C17A3E"/>
    <w:rsid w:val="00C226FA"/>
    <w:rsid w:val="00C324C1"/>
    <w:rsid w:val="00C34B5C"/>
    <w:rsid w:val="00C36177"/>
    <w:rsid w:val="00C36277"/>
    <w:rsid w:val="00C4044E"/>
    <w:rsid w:val="00C4279F"/>
    <w:rsid w:val="00C512E2"/>
    <w:rsid w:val="00C547CA"/>
    <w:rsid w:val="00C57479"/>
    <w:rsid w:val="00CA512B"/>
    <w:rsid w:val="00CB1814"/>
    <w:rsid w:val="00CB4A2E"/>
    <w:rsid w:val="00CB539B"/>
    <w:rsid w:val="00CC1F94"/>
    <w:rsid w:val="00CC7870"/>
    <w:rsid w:val="00CE2ABD"/>
    <w:rsid w:val="00CF1542"/>
    <w:rsid w:val="00CF410B"/>
    <w:rsid w:val="00D05B5F"/>
    <w:rsid w:val="00D132FC"/>
    <w:rsid w:val="00D14D3C"/>
    <w:rsid w:val="00D200EE"/>
    <w:rsid w:val="00D25301"/>
    <w:rsid w:val="00D256D9"/>
    <w:rsid w:val="00D41575"/>
    <w:rsid w:val="00D45151"/>
    <w:rsid w:val="00D52F9C"/>
    <w:rsid w:val="00D534AD"/>
    <w:rsid w:val="00D56E18"/>
    <w:rsid w:val="00D57E9B"/>
    <w:rsid w:val="00D608FC"/>
    <w:rsid w:val="00D66E11"/>
    <w:rsid w:val="00D752FB"/>
    <w:rsid w:val="00D77F25"/>
    <w:rsid w:val="00D80047"/>
    <w:rsid w:val="00D826EE"/>
    <w:rsid w:val="00D8769E"/>
    <w:rsid w:val="00D90252"/>
    <w:rsid w:val="00D92690"/>
    <w:rsid w:val="00D97598"/>
    <w:rsid w:val="00DA228F"/>
    <w:rsid w:val="00DA50D1"/>
    <w:rsid w:val="00DA5AA1"/>
    <w:rsid w:val="00DA75D5"/>
    <w:rsid w:val="00DB77E1"/>
    <w:rsid w:val="00DC06E1"/>
    <w:rsid w:val="00DD6CF5"/>
    <w:rsid w:val="00DE79F2"/>
    <w:rsid w:val="00DE7D7F"/>
    <w:rsid w:val="00DF4A19"/>
    <w:rsid w:val="00E013CD"/>
    <w:rsid w:val="00E12B8F"/>
    <w:rsid w:val="00E1310E"/>
    <w:rsid w:val="00E17044"/>
    <w:rsid w:val="00E2047A"/>
    <w:rsid w:val="00E2354B"/>
    <w:rsid w:val="00E35137"/>
    <w:rsid w:val="00E37C4D"/>
    <w:rsid w:val="00E50B57"/>
    <w:rsid w:val="00E608F0"/>
    <w:rsid w:val="00E6106F"/>
    <w:rsid w:val="00E61B91"/>
    <w:rsid w:val="00E70FE3"/>
    <w:rsid w:val="00E74FC1"/>
    <w:rsid w:val="00E75EB3"/>
    <w:rsid w:val="00E844FE"/>
    <w:rsid w:val="00E92C70"/>
    <w:rsid w:val="00EA799C"/>
    <w:rsid w:val="00EB1794"/>
    <w:rsid w:val="00EB1B29"/>
    <w:rsid w:val="00EB461F"/>
    <w:rsid w:val="00EC1D3A"/>
    <w:rsid w:val="00EC4353"/>
    <w:rsid w:val="00EC7E7A"/>
    <w:rsid w:val="00ED120F"/>
    <w:rsid w:val="00ED3EDB"/>
    <w:rsid w:val="00ED48FE"/>
    <w:rsid w:val="00ED7F62"/>
    <w:rsid w:val="00EE00ED"/>
    <w:rsid w:val="00EE1D8B"/>
    <w:rsid w:val="00EE4C83"/>
    <w:rsid w:val="00EE67B8"/>
    <w:rsid w:val="00EF3047"/>
    <w:rsid w:val="00EF3708"/>
    <w:rsid w:val="00F02119"/>
    <w:rsid w:val="00F0560C"/>
    <w:rsid w:val="00F06206"/>
    <w:rsid w:val="00F1001D"/>
    <w:rsid w:val="00F13285"/>
    <w:rsid w:val="00F24193"/>
    <w:rsid w:val="00F31122"/>
    <w:rsid w:val="00F32592"/>
    <w:rsid w:val="00F34985"/>
    <w:rsid w:val="00F40288"/>
    <w:rsid w:val="00F40483"/>
    <w:rsid w:val="00F631D7"/>
    <w:rsid w:val="00F72948"/>
    <w:rsid w:val="00F73721"/>
    <w:rsid w:val="00F82BC4"/>
    <w:rsid w:val="00F862A4"/>
    <w:rsid w:val="00F91DAD"/>
    <w:rsid w:val="00F93AE8"/>
    <w:rsid w:val="00FA352B"/>
    <w:rsid w:val="00FB05D8"/>
    <w:rsid w:val="00FB5D98"/>
    <w:rsid w:val="00FC2C28"/>
    <w:rsid w:val="00FD1C91"/>
    <w:rsid w:val="00FD50D3"/>
    <w:rsid w:val="00FF1A09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8F0C9-21C7-4FB4-B240-12220E76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x-none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3466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663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 w:val="22"/>
      <w:szCs w:val="22"/>
      <w:lang w:eastAsia="pt-BR" w:bidi="pt-BR"/>
    </w:rPr>
  </w:style>
  <w:style w:type="paragraph" w:styleId="PargrafodaLista">
    <w:name w:val="List Paragraph"/>
    <w:basedOn w:val="Normal"/>
    <w:uiPriority w:val="34"/>
    <w:qFormat/>
    <w:rsid w:val="00671433"/>
    <w:pPr>
      <w:ind w:left="720"/>
      <w:contextualSpacing/>
    </w:pPr>
  </w:style>
  <w:style w:type="table" w:customStyle="1" w:styleId="EstiloArtigoLarissa">
    <w:name w:val="Estilo_Artigo_Larissa"/>
    <w:basedOn w:val="Tabelanormal"/>
    <w:uiPriority w:val="99"/>
    <w:rsid w:val="00B86DF2"/>
    <w:rPr>
      <w:rFonts w:ascii="Times New Roman" w:hAnsi="Times New Roman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86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7D60-BD32-4F8B-89CA-B97D953A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2164</Words>
  <Characters>11688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Titulo</vt:lpstr>
      <vt:lpstr/>
    </vt:vector>
  </TitlesOfParts>
  <Company/>
  <LinksUpToDate>false</LinksUpToDate>
  <CharactersWithSpaces>13825</CharactersWithSpaces>
  <SharedDoc>false</SharedDoc>
  <HLinks>
    <vt:vector size="6" baseType="variant">
      <vt:variant>
        <vt:i4>5505037</vt:i4>
      </vt:variant>
      <vt:variant>
        <vt:i4>7998</vt:i4>
      </vt:variant>
      <vt:variant>
        <vt:i4>1025</vt:i4>
      </vt:variant>
      <vt:variant>
        <vt:i4>1</vt:i4>
      </vt:variant>
      <vt:variant>
        <vt:lpwstr>http://www.abepro.org.br/imagens/websites/42/graph_model_art.jpg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subject>Resumo</dc:subject>
  <dc:creator>Autor</dc:creator>
  <cp:lastModifiedBy>Usuário do Windows</cp:lastModifiedBy>
  <cp:revision>9</cp:revision>
  <dcterms:created xsi:type="dcterms:W3CDTF">2018-01-26T00:22:00Z</dcterms:created>
  <dcterms:modified xsi:type="dcterms:W3CDTF">2018-01-26T18:41:00Z</dcterms:modified>
</cp:coreProperties>
</file>