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60" w:line="240" w:lineRule="auto"/>
        <w:ind w:right="14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Área temática:</w:t>
      </w:r>
      <w:r w:rsidDel="00000000" w:rsidR="00000000" w:rsidRPr="00000000">
        <w:rPr>
          <w:rFonts w:ascii="Arial" w:cs="Arial" w:eastAsia="Arial" w:hAnsi="Arial"/>
          <w:rtl w:val="0"/>
        </w:rPr>
        <w:t xml:space="preserve"> Ciências Sociais Aplicadas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before="80" w:line="240" w:lineRule="auto"/>
        <w:jc w:val="left"/>
        <w:rPr>
          <w:rFonts w:ascii="Arial" w:cs="Arial" w:eastAsia="Arial" w:hAnsi="Arial"/>
          <w:b w:val="1"/>
          <w:sz w:val="26"/>
          <w:szCs w:val="26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before="80" w:line="24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Uso de dados para publicidade direcionada: violações no direito à privacidade e impactos na sociedade</w:t>
      </w:r>
    </w:p>
    <w:p w:rsidR="00000000" w:rsidDel="00000000" w:rsidP="00000000" w:rsidRDefault="00000000" w:rsidRPr="00000000" w14:paraId="00000004">
      <w:pPr>
        <w:spacing w:after="80" w:before="80" w:line="240" w:lineRule="auto"/>
        <w:jc w:val="left"/>
        <w:rPr>
          <w:rFonts w:ascii="Arial" w:cs="Arial" w:eastAsia="Arial" w:hAnsi="Arial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before="8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 Teodora Rocha Maia do Amaral, Ulisses Levy Silvério dos Reis</w:t>
      </w:r>
    </w:p>
    <w:p w:rsidR="00000000" w:rsidDel="00000000" w:rsidP="00000000" w:rsidRDefault="00000000" w:rsidRPr="00000000" w14:paraId="00000006">
      <w:pPr>
        <w:spacing w:after="60" w:before="60" w:line="240" w:lineRule="auto"/>
        <w:ind w:right="142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80" w:before="8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presente trabalho visa estudar as implicações jurídicas no direito à privacidade e possíveis violações democráticas causadas pelo uso da publicidade direcionada no contexto da sociedade informacional. O atual patamar das revoluções tecnológicas resultou no crescimento exponencial da capacidade de processar, manipular e coletar dados que contém diversas informações pessoais de cada indivíduo. Esse cenário gerou a necessidade de aprofundar a regulamentação das relações virtuais frente à formação inevitável de consideráveis bancos de dados que podem ser utilizados discricionariamente pelo poder público e por empresas privadas. Diante disso, torna-se inviável referir à privacidade sem suscitar a proteção de dados para manutenção do direito de personalidade. O caso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Cambridge Analytica,</w:t>
      </w:r>
      <w:r w:rsidDel="00000000" w:rsidR="00000000" w:rsidRPr="00000000">
        <w:rPr>
          <w:rFonts w:ascii="Arial" w:cs="Arial" w:eastAsia="Arial" w:hAnsi="Arial"/>
          <w:rtl w:val="0"/>
        </w:rPr>
        <w:t xml:space="preserve"> ocorrido nos Estados Unidos,</w:t>
      </w:r>
      <w:r w:rsidDel="00000000" w:rsidR="00000000" w:rsidRPr="00000000">
        <w:rPr>
          <w:rFonts w:ascii="Arial" w:cs="Arial" w:eastAsia="Arial" w:hAnsi="Arial"/>
          <w:rtl w:val="0"/>
        </w:rPr>
        <w:t xml:space="preserve"> evidenciou o potencial de influência da utilização dos dados no processo eleitoral: a partir da coleta de dados privados, de mais de 87 milhões de usuários, foi possível criar o perfil eleitoral de diversas pessoas e fazer o encaminhamento de propaganda política direcionada. Apesar dos impactos da estratégia ainda ser imensurável, é possível constatar que esse quadro exerceu influência na vitória eleitoral presidencial. No Brasil, a compra de dados para realizar disparos de mensagens políticas durante o processo eleitoral de 2018 foi proibida pelo Tribunal Superior Eleitoral (TSE). Posto isso, o objetivo geral foi analisar se a sistemática atual do uso da publicidade direcionada está violando, em um primeiro plano, o Direito à privacidade e, em uma perspectiva mais abrangente, os processos democráticos. O método utilizado é o hipotético-dedutivo, em que as hipóteses serão falseadas por meio da análise legislativa (tanto constitucional como infraconstitucional) e do estudo de casos envolvendo escândalos na coleta (ou vazamento) de dados. A relevância desse tema se dá pelo fato de que, no contexto da economia informacional, tornou-se extremamente rentável a venda dos dados pessoais (os quais possuem informações de gênero, orientação sexual, religião entre outras coisas), mesmo não havendo uma permissão consciente por parte dos titulares. O tema ganhou relevância nas últimas décadas, mas já é possível apontar violações ao direito à privacidade ocorridas, como no caso da eleição de 2018. Nessa situação, sem o consentimento dos usuários, seus dados pessoais foram vendidos para empresas privadas com fins políticos. Não é possível falar em consolidação democrática quando não há um processo eleitoral desenvolvido de maneira clara, transparente e consciente. Isso mostra que apesar de haver diversas disposições no ordenamento jurídico doméstico que resguardam o direito à privacidade, como a Constituição Federal de 1988 e a Lei Geral de Proteção de Dados Pessoais (LGDP), para haver uma efetiva proteção da intimidade e a utilização legal dos dados, é necessário haver a cooperação entre o poder público e privado. A volatilidade do tema (devido à capacidade evolutiva da tecnologia) impede a apresentação de resultados definitivos, mas impõe uma observação constante e vigilante.</w:t>
      </w:r>
    </w:p>
    <w:p w:rsidR="00000000" w:rsidDel="00000000" w:rsidP="00000000" w:rsidRDefault="00000000" w:rsidRPr="00000000" w14:paraId="00000008">
      <w:pPr>
        <w:spacing w:after="80" w:before="8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before="60" w:line="240" w:lineRule="auto"/>
        <w:ind w:right="14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rtl w:val="0"/>
        </w:rPr>
        <w:t xml:space="preserve"> Direito e Tecnologia, Lei Geral de Proteção de Dados Pessoais, Direito à Privacidade, Sociedade Informacional.</w:t>
      </w:r>
    </w:p>
    <w:p w:rsidR="00000000" w:rsidDel="00000000" w:rsidP="00000000" w:rsidRDefault="00000000" w:rsidRPr="00000000" w14:paraId="0000000A">
      <w:pPr>
        <w:spacing w:after="60" w:before="60" w:line="240" w:lineRule="auto"/>
        <w:ind w:right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Agência financiadora: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Bolsista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IC PI</w:t>
      </w:r>
      <w:r w:rsidDel="00000000" w:rsidR="00000000" w:rsidRPr="00000000">
        <w:rPr>
          <w:rFonts w:ascii="Arial" w:cs="Arial" w:eastAsia="Arial" w:hAnsi="Arial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IC</w:t>
      </w:r>
      <w:r w:rsidDel="00000000" w:rsidR="00000000" w:rsidRPr="00000000">
        <w:rPr>
          <w:rFonts w:ascii="Arial" w:cs="Arial" w:eastAsia="Arial" w:hAnsi="Arial"/>
          <w:rtl w:val="0"/>
        </w:rPr>
        <w:t xml:space="preserve"> - UFERSA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color="c45911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1f4e7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f4e79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spacing w:after="120" w:before="120" w:line="240" w:lineRule="auto"/>
      <w:jc w:val="left"/>
      <w:rPr>
        <w:rFonts w:ascii="Calibri" w:cs="Calibri" w:eastAsia="Calibri" w:hAnsi="Calibri"/>
        <w:b w:val="0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287.0" w:type="dxa"/>
      <w:jc w:val="left"/>
      <w:tblInd w:w="0.0" w:type="dxa"/>
      <w:tblBorders>
        <w:top w:color="000000" w:space="0" w:sz="0" w:val="nil"/>
        <w:left w:color="000000" w:space="0" w:sz="0" w:val="nil"/>
        <w:bottom w:color="c45911" w:space="0" w:sz="8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7179"/>
      <w:gridCol w:w="2108"/>
      <w:tblGridChange w:id="0">
        <w:tblGrid>
          <w:gridCol w:w="7179"/>
          <w:gridCol w:w="2108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0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4084955" cy="107315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955" cy="10731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0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Anais 2020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Mossoró-RN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60" w:before="6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ed7d3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