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1CC4" w14:textId="77777777" w:rsidR="006E1290" w:rsidRPr="006E1290" w:rsidRDefault="006E1290" w:rsidP="006E1290">
      <w:pPr>
        <w:spacing w:before="90"/>
        <w:ind w:left="102"/>
        <w:rPr>
          <w:b/>
          <w:sz w:val="24"/>
        </w:rPr>
      </w:pPr>
      <w:r>
        <w:rPr>
          <w:b/>
          <w:sz w:val="24"/>
        </w:rPr>
        <w:t xml:space="preserve">Grupo de Trabalho: </w:t>
      </w:r>
      <w:r w:rsidRPr="006E1290">
        <w:rPr>
          <w:b/>
          <w:sz w:val="24"/>
        </w:rPr>
        <w:t>Grupo de Trabalho 3: Controle de Convencionalidade</w:t>
      </w:r>
    </w:p>
    <w:p w14:paraId="6B862500" w14:textId="77777777" w:rsidR="006E1290" w:rsidRPr="006E1290" w:rsidRDefault="006E1290" w:rsidP="006E1290">
      <w:pPr>
        <w:pStyle w:val="Corpodetexto"/>
        <w:spacing w:line="360" w:lineRule="auto"/>
        <w:ind w:left="102" w:right="128"/>
        <w:jc w:val="both"/>
        <w:rPr>
          <w:b/>
          <w:szCs w:val="22"/>
        </w:rPr>
      </w:pPr>
    </w:p>
    <w:p w14:paraId="14466AC3" w14:textId="6F8D4926" w:rsidR="006E1290" w:rsidRDefault="00FB3DF0" w:rsidP="006E1290">
      <w:pPr>
        <w:pStyle w:val="Corpodetexto"/>
        <w:spacing w:line="360" w:lineRule="auto"/>
        <w:ind w:left="102" w:right="128"/>
        <w:jc w:val="center"/>
        <w:rPr>
          <w:b/>
          <w:szCs w:val="22"/>
        </w:rPr>
      </w:pPr>
      <w:r>
        <w:rPr>
          <w:b/>
          <w:szCs w:val="22"/>
        </w:rPr>
        <w:t>A RESPONSABILIDADE INTERNACIONAL DO BRASIL COMO</w:t>
      </w:r>
      <w:r w:rsidR="009E237F">
        <w:rPr>
          <w:b/>
          <w:szCs w:val="22"/>
        </w:rPr>
        <w:t xml:space="preserve"> FUNDAMENTO </w:t>
      </w:r>
      <w:r w:rsidR="00595FD5">
        <w:rPr>
          <w:b/>
          <w:szCs w:val="22"/>
        </w:rPr>
        <w:t xml:space="preserve">DO DEVER DOS JUÍZES </w:t>
      </w:r>
      <w:r>
        <w:rPr>
          <w:b/>
          <w:szCs w:val="22"/>
        </w:rPr>
        <w:t>NACIONAIS</w:t>
      </w:r>
      <w:r w:rsidR="00595FD5">
        <w:rPr>
          <w:b/>
          <w:szCs w:val="22"/>
        </w:rPr>
        <w:t xml:space="preserve"> DE REALIZAR O CONTROLE DE CONVENCIONALIDADE</w:t>
      </w:r>
    </w:p>
    <w:p w14:paraId="12A1F127" w14:textId="69AD32B7" w:rsidR="006E1290" w:rsidRDefault="006E1290" w:rsidP="006E1290">
      <w:pPr>
        <w:pStyle w:val="Corpodetexto"/>
        <w:spacing w:line="360" w:lineRule="auto"/>
        <w:ind w:left="102" w:right="128"/>
        <w:jc w:val="center"/>
        <w:rPr>
          <w:b/>
          <w:szCs w:val="22"/>
        </w:rPr>
      </w:pPr>
    </w:p>
    <w:p w14:paraId="7E916164" w14:textId="64F05BB6" w:rsidR="006E1290" w:rsidRPr="006E1290" w:rsidRDefault="006E1290" w:rsidP="006E1290">
      <w:pPr>
        <w:pStyle w:val="Corpodetexto"/>
        <w:spacing w:line="360" w:lineRule="auto"/>
        <w:ind w:left="102" w:right="128"/>
        <w:jc w:val="right"/>
        <w:rPr>
          <w:bCs/>
          <w:szCs w:val="22"/>
        </w:rPr>
      </w:pPr>
    </w:p>
    <w:p w14:paraId="6C7A74C2" w14:textId="14DFDF2A" w:rsidR="006E1290" w:rsidRPr="006E1290" w:rsidRDefault="006E1290" w:rsidP="00707F72">
      <w:pPr>
        <w:pStyle w:val="Corpodetexto"/>
        <w:spacing w:line="360" w:lineRule="auto"/>
        <w:ind w:left="102" w:right="128"/>
        <w:jc w:val="center"/>
        <w:rPr>
          <w:bCs/>
          <w:szCs w:val="22"/>
        </w:rPr>
      </w:pPr>
    </w:p>
    <w:p w14:paraId="60F4F92A" w14:textId="77777777" w:rsidR="006E1290" w:rsidRDefault="006E1290" w:rsidP="006E1290">
      <w:pPr>
        <w:pStyle w:val="Corpodetexto"/>
        <w:spacing w:line="360" w:lineRule="auto"/>
        <w:ind w:left="102" w:right="128"/>
        <w:jc w:val="both"/>
        <w:rPr>
          <w:b/>
          <w:szCs w:val="22"/>
        </w:rPr>
      </w:pPr>
    </w:p>
    <w:p w14:paraId="15FBE7D5" w14:textId="745D811C" w:rsidR="00D55EA1" w:rsidRPr="00FB3DF0" w:rsidRDefault="006E1290" w:rsidP="006E1290">
      <w:pPr>
        <w:pStyle w:val="Corpodetexto"/>
        <w:spacing w:line="360" w:lineRule="auto"/>
        <w:ind w:left="102" w:right="128"/>
        <w:jc w:val="both"/>
      </w:pPr>
      <w:r w:rsidRPr="00FB3DF0">
        <w:rPr>
          <w:b/>
        </w:rPr>
        <w:t xml:space="preserve">Resumo: </w:t>
      </w:r>
      <w:r w:rsidR="006A59B1" w:rsidRPr="00FB3DF0">
        <w:t>A promoção e a defesa das prerrogativas dos indivíduos e dos grupos em situação de vulnerabilidade t</w:t>
      </w:r>
      <w:r w:rsidR="004A2380" w:rsidRPr="00FB3DF0">
        <w:t>ê</w:t>
      </w:r>
      <w:r w:rsidR="006A59B1" w:rsidRPr="00FB3DF0">
        <w:t xml:space="preserve">m sido uma constante </w:t>
      </w:r>
      <w:r w:rsidR="003F6E40" w:rsidRPr="00FB3DF0">
        <w:t>desde a criação, em 1969, do Sistema Interamericano de Proteção aos Direitos Humanos. A partir de meados dos anos 2000, a</w:t>
      </w:r>
      <w:r w:rsidRPr="00FB3DF0">
        <w:t xml:space="preserve"> Corte Interamericana de Direitos Humanos (CorteIDH) </w:t>
      </w:r>
      <w:r w:rsidR="00BF541D" w:rsidRPr="00FB3DF0">
        <w:t xml:space="preserve">vem adotando uma posição de </w:t>
      </w:r>
      <w:r w:rsidR="007A1EC9" w:rsidRPr="00FB3DF0">
        <w:t xml:space="preserve">valorização dos seus julgamentos, assumindo </w:t>
      </w:r>
      <w:r w:rsidR="00C82136" w:rsidRPr="00FB3DF0">
        <w:t xml:space="preserve">o papel de Tribunal Supremo </w:t>
      </w:r>
      <w:r w:rsidR="005B33F8" w:rsidRPr="00FB3DF0">
        <w:t>– consoante a denominação apresentada por Mitidiero (</w:t>
      </w:r>
      <w:r w:rsidR="001B094A" w:rsidRPr="00FB3DF0">
        <w:t>2017</w:t>
      </w:r>
      <w:r w:rsidR="00047DFA" w:rsidRPr="00FB3DF0">
        <w:t>)</w:t>
      </w:r>
      <w:r w:rsidR="0065351D" w:rsidRPr="00FB3DF0">
        <w:t xml:space="preserve"> –</w:t>
      </w:r>
      <w:r w:rsidRPr="00FB3DF0">
        <w:t xml:space="preserve">, </w:t>
      </w:r>
      <w:r w:rsidR="00BF541D" w:rsidRPr="00FB3DF0">
        <w:t xml:space="preserve">propugnando que </w:t>
      </w:r>
      <w:r w:rsidRPr="00FB3DF0">
        <w:t xml:space="preserve">as </w:t>
      </w:r>
      <w:r w:rsidR="00BF541D" w:rsidRPr="00FB3DF0">
        <w:t xml:space="preserve">suas </w:t>
      </w:r>
      <w:r w:rsidRPr="00FB3DF0">
        <w:t xml:space="preserve">decisões </w:t>
      </w:r>
      <w:r w:rsidR="00BF541D" w:rsidRPr="00FB3DF0">
        <w:t>sirvam de o</w:t>
      </w:r>
      <w:r w:rsidR="003F4489" w:rsidRPr="00FB3DF0">
        <w:t xml:space="preserve">rientação à conduta de </w:t>
      </w:r>
      <w:r w:rsidRPr="00FB3DF0">
        <w:t>todos os Estados que se encontram submetidos à sua jurisdição, independentemente de terem sido partes no processo em que proferido o referido julgamento</w:t>
      </w:r>
      <w:r w:rsidR="002C4E66" w:rsidRPr="00FB3DF0">
        <w:t xml:space="preserve"> (CORTEIDH, 2013)</w:t>
      </w:r>
      <w:r w:rsidR="00F660D3" w:rsidRPr="00FB3DF0">
        <w:t xml:space="preserve">. </w:t>
      </w:r>
      <w:r w:rsidR="003F4489" w:rsidRPr="00FB3DF0">
        <w:t xml:space="preserve">Além disso, </w:t>
      </w:r>
      <w:r w:rsidR="00F660D3" w:rsidRPr="00FB3DF0">
        <w:t xml:space="preserve">a </w:t>
      </w:r>
      <w:r w:rsidR="00E903C8" w:rsidRPr="00FB3DF0">
        <w:t>Corte</w:t>
      </w:r>
      <w:r w:rsidR="008D0BAA" w:rsidRPr="00FB3DF0">
        <w:t xml:space="preserve"> </w:t>
      </w:r>
      <w:r w:rsidR="00E903C8" w:rsidRPr="00FB3DF0">
        <w:t xml:space="preserve">IDH </w:t>
      </w:r>
      <w:r w:rsidR="00595FD5" w:rsidRPr="00FB3DF0">
        <w:t>atribuiu</w:t>
      </w:r>
      <w:r w:rsidR="00E903C8" w:rsidRPr="00FB3DF0">
        <w:t xml:space="preserve"> aos </w:t>
      </w:r>
      <w:r w:rsidR="002C4E66" w:rsidRPr="00FB3DF0">
        <w:t xml:space="preserve">agentes públicos de cada Estado – </w:t>
      </w:r>
      <w:r w:rsidR="00517522" w:rsidRPr="00FB3DF0">
        <w:t>dentre os quais se encontram os membros da magistratura</w:t>
      </w:r>
      <w:r w:rsidR="002C4E66" w:rsidRPr="00FB3DF0">
        <w:t xml:space="preserve"> – o dever de realizar</w:t>
      </w:r>
      <w:r w:rsidR="006E3578" w:rsidRPr="00FB3DF0">
        <w:t xml:space="preserve">o controle de convencionalidade, ou seja, </w:t>
      </w:r>
      <w:r w:rsidR="002C4E66" w:rsidRPr="00FB3DF0">
        <w:t xml:space="preserve">a aferição da conformidade material dos atos normativos </w:t>
      </w:r>
      <w:r w:rsidR="00E51638" w:rsidRPr="00FB3DF0">
        <w:t>domésticos</w:t>
      </w:r>
      <w:r w:rsidR="002C4E66" w:rsidRPr="00FB3DF0">
        <w:t xml:space="preserve"> com os tratados internacionais de Direitos Humanos celebrados pelo respectivo Estado</w:t>
      </w:r>
      <w:r w:rsidR="004E3EBD" w:rsidRPr="00FB3DF0">
        <w:t xml:space="preserve"> (CORTEIDH, 20</w:t>
      </w:r>
      <w:r w:rsidR="00E51638" w:rsidRPr="00FB3DF0">
        <w:t>0</w:t>
      </w:r>
      <w:r w:rsidR="008C1D69" w:rsidRPr="00FB3DF0">
        <w:t>6</w:t>
      </w:r>
      <w:r w:rsidR="00E51638" w:rsidRPr="00FB3DF0">
        <w:t>)</w:t>
      </w:r>
      <w:r w:rsidR="006E3578" w:rsidRPr="00FB3DF0">
        <w:t xml:space="preserve">. </w:t>
      </w:r>
      <w:r w:rsidR="00382AC2" w:rsidRPr="00FB3DF0">
        <w:t>O controle de convencionalidade, no entanto, não se constitui em um instrumento de limitação da atuação dos agentes estatais</w:t>
      </w:r>
      <w:r w:rsidR="008019DE" w:rsidRPr="00FB3DF0">
        <w:t>, nem impõe uma observância cega às diretrizes fixadas pela CorteIDH em seus julgamentos, tendo em vista que a atuação do órgão jurisdicional interamericano encontra-se voltado à proteção de parâmetros mínimos de proteção ao indivíduo e aos grupos em situação de vulnerabilidade (</w:t>
      </w:r>
      <w:r w:rsidR="009C05BE" w:rsidRPr="00FB3DF0">
        <w:t xml:space="preserve">GARCÍA RAMÍREZ, 2014), </w:t>
      </w:r>
      <w:r w:rsidR="0083294D" w:rsidRPr="00FB3DF0">
        <w:t xml:space="preserve">mostrando-se possível ao agente nacional </w:t>
      </w:r>
      <w:r w:rsidR="001362CF" w:rsidRPr="00FB3DF0">
        <w:t>o afastamento do comando interamericano toda vez que se torne possível uma maior proteção à pessoa humana no âmbito interno</w:t>
      </w:r>
      <w:r w:rsidR="0071237E" w:rsidRPr="00FB3DF0">
        <w:t xml:space="preserve"> (MORALES ANTONIAZZI, 2014). </w:t>
      </w:r>
      <w:r w:rsidR="00494934" w:rsidRPr="00FB3DF0">
        <w:t>De igual sorte, eventual reconhecimento</w:t>
      </w:r>
      <w:r w:rsidR="00E239BC" w:rsidRPr="00FB3DF0">
        <w:t>, pela CorteIDH,</w:t>
      </w:r>
      <w:r w:rsidR="00494934" w:rsidRPr="00FB3DF0">
        <w:t xml:space="preserve"> da inconvencionalidade do ato normativo </w:t>
      </w:r>
      <w:r w:rsidR="00036055" w:rsidRPr="00FB3DF0">
        <w:t xml:space="preserve">– constitucional </w:t>
      </w:r>
      <w:r w:rsidR="00C40DCE" w:rsidRPr="00FB3DF0">
        <w:t>(</w:t>
      </w:r>
      <w:r w:rsidR="00B47052" w:rsidRPr="00FB3DF0">
        <w:t xml:space="preserve">CORTEIDH, 2001) </w:t>
      </w:r>
      <w:r w:rsidR="00036055" w:rsidRPr="00FB3DF0">
        <w:t xml:space="preserve">ou legal </w:t>
      </w:r>
      <w:r w:rsidR="00B47052" w:rsidRPr="00FB3DF0">
        <w:lastRenderedPageBreak/>
        <w:t>(</w:t>
      </w:r>
      <w:r w:rsidR="00B90FD1" w:rsidRPr="00FB3DF0">
        <w:t xml:space="preserve">CORTEIDH, 2010) </w:t>
      </w:r>
      <w:r w:rsidR="00036055" w:rsidRPr="00FB3DF0">
        <w:t>– não implica a sua invalidação automática</w:t>
      </w:r>
      <w:r w:rsidR="00C40DCE" w:rsidRPr="00FB3DF0">
        <w:t xml:space="preserve">, dada a inexistência de hierarquia entre </w:t>
      </w:r>
      <w:r w:rsidR="00B90FD1" w:rsidRPr="00FB3DF0">
        <w:t>a ordem jurídica inter</w:t>
      </w:r>
      <w:r w:rsidR="00E239BC" w:rsidRPr="00FB3DF0">
        <w:t xml:space="preserve">americana e aquelas vigentes nos </w:t>
      </w:r>
      <w:r w:rsidR="003C6B1D" w:rsidRPr="00FB3DF0">
        <w:t>Estados</w:t>
      </w:r>
      <w:r w:rsidR="00E239BC" w:rsidRPr="00FB3DF0">
        <w:t xml:space="preserve">, ainda que se mostre possível a expedição de ordem para que </w:t>
      </w:r>
      <w:r w:rsidR="003C6B1D" w:rsidRPr="00FB3DF0">
        <w:t>os agentes domésticos responsáveis venham a promover a revogação ou a anulação</w:t>
      </w:r>
      <w:r w:rsidR="00C451BF" w:rsidRPr="00FB3DF0">
        <w:t xml:space="preserve"> do referido ato. </w:t>
      </w:r>
      <w:r w:rsidR="00321430" w:rsidRPr="00FB3DF0">
        <w:t xml:space="preserve">De tal sorte, a realização do controle de convencionalidade </w:t>
      </w:r>
      <w:r w:rsidR="005B47BB" w:rsidRPr="00FB3DF0">
        <w:t xml:space="preserve">exige que sejam </w:t>
      </w:r>
      <w:r w:rsidR="00263E4D" w:rsidRPr="00FB3DF0">
        <w:t xml:space="preserve">estabelecidas relações de diálogo – e não de subordinação – entre os </w:t>
      </w:r>
      <w:r w:rsidR="005B47BB" w:rsidRPr="00FB3DF0">
        <w:t xml:space="preserve">agentes públicos nacionais – em especial os magistrados – </w:t>
      </w:r>
      <w:r w:rsidR="00263E4D" w:rsidRPr="00FB3DF0">
        <w:t>e a CorteIDH</w:t>
      </w:r>
      <w:r w:rsidR="00F74119" w:rsidRPr="00FB3DF0">
        <w:t xml:space="preserve"> (</w:t>
      </w:r>
      <w:r w:rsidR="00ED282B" w:rsidRPr="00FB3DF0">
        <w:rPr>
          <w:lang w:val="pt-BR"/>
        </w:rPr>
        <w:t xml:space="preserve">BOGDANDY, </w:t>
      </w:r>
      <w:r w:rsidR="00F74119" w:rsidRPr="00FB3DF0">
        <w:rPr>
          <w:lang w:val="pt-BR"/>
        </w:rPr>
        <w:t>2014)</w:t>
      </w:r>
      <w:r w:rsidR="00ED282B" w:rsidRPr="00FB3DF0">
        <w:rPr>
          <w:lang w:val="pt-BR"/>
        </w:rPr>
        <w:t xml:space="preserve"> –</w:t>
      </w:r>
      <w:r w:rsidR="00263E4D" w:rsidRPr="00FB3DF0">
        <w:t xml:space="preserve">, </w:t>
      </w:r>
      <w:r w:rsidR="00ED282B" w:rsidRPr="00FB3DF0">
        <w:t>de forma a que os parâmetros de julgamento fixados no âmbito interamericano venham a ser efetivamente aplicados</w:t>
      </w:r>
      <w:r w:rsidR="00F644EA" w:rsidRPr="00FB3DF0">
        <w:t>,</w:t>
      </w:r>
      <w:r w:rsidR="00ED282B" w:rsidRPr="00FB3DF0">
        <w:t xml:space="preserve"> pelo magistrado </w:t>
      </w:r>
      <w:r w:rsidR="00510524" w:rsidRPr="00FB3DF0">
        <w:t xml:space="preserve">vinculado a algum dos Estados que se sujeitam à jurisdição da Corte, </w:t>
      </w:r>
      <w:r w:rsidR="00F644EA" w:rsidRPr="00FB3DF0">
        <w:t>no exame dos casos concretos a ele atribuídos.</w:t>
      </w:r>
      <w:r w:rsidR="00321430" w:rsidRPr="00FB3DF0">
        <w:t xml:space="preserve"> </w:t>
      </w:r>
      <w:r w:rsidR="00567A0A" w:rsidRPr="00FB3DF0">
        <w:t xml:space="preserve">No Brasil, observa-se uma certa resistência dos membros do Poder Judiciário </w:t>
      </w:r>
      <w:r w:rsidR="007D40A0" w:rsidRPr="00FB3DF0">
        <w:t xml:space="preserve">em aceitar essa </w:t>
      </w:r>
      <w:r w:rsidR="002173A6" w:rsidRPr="00FB3DF0">
        <w:t>forma de atuação da CorteIDH,</w:t>
      </w:r>
      <w:r w:rsidR="00D55EA1" w:rsidRPr="00FB3DF0">
        <w:t xml:space="preserve"> </w:t>
      </w:r>
      <w:r w:rsidR="007D40A0" w:rsidRPr="00FB3DF0">
        <w:t xml:space="preserve">tendo em vista </w:t>
      </w:r>
      <w:r w:rsidR="000A4197" w:rsidRPr="00FB3DF0">
        <w:t xml:space="preserve">o </w:t>
      </w:r>
      <w:r w:rsidR="000A4197" w:rsidRPr="00FB3DF0">
        <w:rPr>
          <w:i/>
          <w:iCs/>
        </w:rPr>
        <w:t xml:space="preserve">status </w:t>
      </w:r>
      <w:r w:rsidR="000A4197" w:rsidRPr="00FB3DF0">
        <w:t xml:space="preserve">hierárquico infraconstitucional </w:t>
      </w:r>
      <w:r w:rsidR="007D40A0" w:rsidRPr="00FB3DF0">
        <w:t>atribuído, no âmbito interno, aos</w:t>
      </w:r>
      <w:r w:rsidR="000A4197" w:rsidRPr="00FB3DF0">
        <w:t xml:space="preserve"> tratados internacionais de Direitos Humanos que </w:t>
      </w:r>
      <w:r w:rsidR="006A59B1" w:rsidRPr="00FB3DF0">
        <w:t>não foram recepcionados segundo a fórmula prevista no artigo 5º, § 3º, da Constituição Federal</w:t>
      </w:r>
      <w:r w:rsidR="00D55EA1" w:rsidRPr="00FB3DF0">
        <w:t xml:space="preserve"> (BRASIL, 1988)</w:t>
      </w:r>
      <w:r w:rsidR="00C41308" w:rsidRPr="00FB3DF0">
        <w:t xml:space="preserve">, o que pode implicar dificuldades na implementação, promoção e defesa das prerrogativas estabelecidas em favor do indivíduo e dos grupos em situação vulnerabilidade a que o </w:t>
      </w:r>
      <w:r w:rsidR="00475F57" w:rsidRPr="00FB3DF0">
        <w:t>Brasil</w:t>
      </w:r>
      <w:r w:rsidR="00C41308" w:rsidRPr="00FB3DF0">
        <w:t xml:space="preserve"> assumiu, no plano internacional, o dever de garantir, </w:t>
      </w:r>
      <w:r w:rsidR="00475F57" w:rsidRPr="00FB3DF0">
        <w:t xml:space="preserve">ensejando – em momento posterior – a responsabilização do Estado </w:t>
      </w:r>
      <w:r w:rsidR="005068FE" w:rsidRPr="00FB3DF0">
        <w:t>brasileiro</w:t>
      </w:r>
      <w:r w:rsidR="00C41308" w:rsidRPr="00FB3DF0">
        <w:t xml:space="preserve">. </w:t>
      </w:r>
      <w:r w:rsidR="00286439" w:rsidRPr="00FB3DF0">
        <w:t xml:space="preserve">Diante dessa situação, cumpre questionar: afinal, qual o fundamento para que os membros do Poder Judiciário brasileiro realizem o controle de convencionalidade? </w:t>
      </w:r>
      <w:r w:rsidR="008242C5" w:rsidRPr="00FB3DF0">
        <w:t>O objetivo principal do presente estudo é apresentar</w:t>
      </w:r>
      <w:r w:rsidR="004F0CB1" w:rsidRPr="00FB3DF0">
        <w:t xml:space="preserve"> a responsabilidade internacional do Estado</w:t>
      </w:r>
      <w:r w:rsidR="00214F55" w:rsidRPr="00FB3DF0">
        <w:t>,</w:t>
      </w:r>
      <w:r w:rsidR="004F0CB1" w:rsidRPr="00FB3DF0">
        <w:t xml:space="preserve"> </w:t>
      </w:r>
      <w:r w:rsidR="002E7204" w:rsidRPr="00FB3DF0">
        <w:t>com base</w:t>
      </w:r>
      <w:r w:rsidR="004F0CB1" w:rsidRPr="00FB3DF0">
        <w:t xml:space="preserve"> no artigo 27 da Convenção de Viena sobre o Direito dos Tratados de 1969</w:t>
      </w:r>
      <w:r w:rsidR="00957314" w:rsidRPr="00FB3DF0">
        <w:t xml:space="preserve"> </w:t>
      </w:r>
      <w:r w:rsidR="00214F55" w:rsidRPr="00FB3DF0">
        <w:t>–</w:t>
      </w:r>
      <w:r w:rsidR="00957314" w:rsidRPr="00FB3DF0">
        <w:t xml:space="preserve"> CVDT</w:t>
      </w:r>
      <w:r w:rsidR="00214F55" w:rsidRPr="00FB3DF0">
        <w:t>/1969</w:t>
      </w:r>
      <w:r w:rsidR="004F0CB1" w:rsidRPr="00FB3DF0">
        <w:t xml:space="preserve"> (BRASIL, 2009)</w:t>
      </w:r>
      <w:r w:rsidR="00214F55" w:rsidRPr="00FB3DF0">
        <w:t>,</w:t>
      </w:r>
      <w:r w:rsidR="002E7204" w:rsidRPr="00FB3DF0">
        <w:t xml:space="preserve"> </w:t>
      </w:r>
      <w:r w:rsidR="006319D1" w:rsidRPr="00FB3DF0">
        <w:t>como fundamento do dever do juiz nacional para realizar o controle de convencionalidade. Nossos objetivos específicos são</w:t>
      </w:r>
      <w:r w:rsidR="00CB772A" w:rsidRPr="00FB3DF0">
        <w:t xml:space="preserve"> </w:t>
      </w:r>
      <w:r w:rsidR="00957314" w:rsidRPr="00FB3DF0">
        <w:t>demonstrar a insuficiência do critério hierárquico</w:t>
      </w:r>
      <w:r w:rsidR="00214F55" w:rsidRPr="00FB3DF0">
        <w:t>,</w:t>
      </w:r>
      <w:r w:rsidR="00957314" w:rsidRPr="00FB3DF0">
        <w:t xml:space="preserve"> adotado pelo Supremo Tribunal Federal</w:t>
      </w:r>
      <w:r w:rsidR="00214F55" w:rsidRPr="00FB3DF0">
        <w:t xml:space="preserve"> no julgamento do Recurso Extraordinário nº. </w:t>
      </w:r>
      <w:r w:rsidR="00747019" w:rsidRPr="00FB3DF0">
        <w:t>466.343</w:t>
      </w:r>
      <w:r w:rsidR="00CB5493" w:rsidRPr="00FB3DF0">
        <w:t xml:space="preserve"> (BRASIL, </w:t>
      </w:r>
      <w:r w:rsidR="00506892" w:rsidRPr="00FB3DF0">
        <w:t>2008)</w:t>
      </w:r>
      <w:r w:rsidR="009A21EE" w:rsidRPr="00FB3DF0">
        <w:t>, para justificar a vinculação do juiz brasileiro aos julgamentos proferidos pela CorteIDH</w:t>
      </w:r>
      <w:r w:rsidR="00F37003" w:rsidRPr="00FB3DF0">
        <w:t xml:space="preserve">; </w:t>
      </w:r>
      <w:r w:rsidR="001D2B99" w:rsidRPr="00FB3DF0">
        <w:t>aprofundar o estudo sobre a CVDT/1969, indicand</w:t>
      </w:r>
      <w:r w:rsidR="00D203D5" w:rsidRPr="00FB3DF0">
        <w:t>o-a como fundamento da atuação de todos os agentes públicos nacionais para a promoção e a defesa das prerrogativas conferidas</w:t>
      </w:r>
      <w:r w:rsidR="00706149" w:rsidRPr="00FB3DF0">
        <w:t xml:space="preserve"> aos indivíduos e aos grupos em situação de vulnerabilidade nos tratados internacionais de Direitos Humanos celebrados pelo Brasil; </w:t>
      </w:r>
      <w:r w:rsidR="00CA1673" w:rsidRPr="00FB3DF0">
        <w:t>e</w:t>
      </w:r>
      <w:r w:rsidR="00D17143" w:rsidRPr="00FB3DF0">
        <w:t xml:space="preserve"> mapear os elementos que </w:t>
      </w:r>
      <w:r w:rsidR="00254286" w:rsidRPr="00FB3DF0">
        <w:t xml:space="preserve">vinculam os membros da magistratura brasileira ao cumprimento do ordenamento jurídico pátrio </w:t>
      </w:r>
      <w:r w:rsidR="00254286" w:rsidRPr="00FB3DF0">
        <w:lastRenderedPageBreak/>
        <w:t xml:space="preserve">como um todo, aí incluídos os tratados interncionais de Direitos Humanos </w:t>
      </w:r>
      <w:r w:rsidR="00981117" w:rsidRPr="00FB3DF0">
        <w:t>celebrados e ratificados pelo Brasil. Em consequência, o estudo encontra-se dividido em três capítulos</w:t>
      </w:r>
      <w:r w:rsidR="00B010F1" w:rsidRPr="00FB3DF0">
        <w:t xml:space="preserve">: </w:t>
      </w:r>
      <w:r w:rsidR="009A21EE" w:rsidRPr="00FB3DF0">
        <w:rPr>
          <w:i/>
          <w:iCs/>
        </w:rPr>
        <w:t xml:space="preserve">A insuficiência do critério formal-hierárquico </w:t>
      </w:r>
      <w:r w:rsidR="003D2E74" w:rsidRPr="00FB3DF0">
        <w:rPr>
          <w:i/>
          <w:iCs/>
        </w:rPr>
        <w:t>para justificar o controle de convencionalidade realizado pelo juiz brasileiro</w:t>
      </w:r>
      <w:r w:rsidR="00B010F1" w:rsidRPr="00FB3DF0">
        <w:t xml:space="preserve">, em que buscamos nos afastar do critério hierárquico-formal dos tratados internacionais de Direitos Humanos celebrados e incorporados ao ordenamento jurídico pátrio, </w:t>
      </w:r>
      <w:r w:rsidR="008870DF" w:rsidRPr="00FB3DF0">
        <w:t>fugindo às discussões relativas ao caráter material ou formalmente constitucional de tais atos (TRINDADE, 20</w:t>
      </w:r>
      <w:r w:rsidR="001B4069" w:rsidRPr="00FB3DF0">
        <w:t>0</w:t>
      </w:r>
      <w:r w:rsidR="00A5598B" w:rsidRPr="00FB3DF0">
        <w:t>0</w:t>
      </w:r>
      <w:r w:rsidR="00865DC2" w:rsidRPr="00FB3DF0">
        <w:t>; MAZZUOLI, 20</w:t>
      </w:r>
      <w:r w:rsidR="001903A0" w:rsidRPr="00FB3DF0">
        <w:t>16</w:t>
      </w:r>
      <w:r w:rsidR="001B4069" w:rsidRPr="00FB3DF0">
        <w:t>)</w:t>
      </w:r>
      <w:r w:rsidR="00AA6D40" w:rsidRPr="00FB3DF0">
        <w:t>, bem como da sujeição, ao arbítrio do legislador quanto à definição da sua hierarquia (GOMES, 2018)</w:t>
      </w:r>
      <w:r w:rsidR="003D2E74" w:rsidRPr="00FB3DF0">
        <w:t xml:space="preserve">; </w:t>
      </w:r>
      <w:r w:rsidR="003D2E74" w:rsidRPr="00FB3DF0">
        <w:rPr>
          <w:i/>
          <w:iCs/>
        </w:rPr>
        <w:t>O artigo 27 da Convenção de Viena sobre o Direito dos Tratados de 1969 e o dever dos agentes públicos locais de cumprir os tratados internacionais de Direitos Humanos celebrado pelo Estado</w:t>
      </w:r>
      <w:r w:rsidR="00AA6D40" w:rsidRPr="00FB3DF0">
        <w:t xml:space="preserve">, no qual nos debruçamos sobre </w:t>
      </w:r>
      <w:r w:rsidR="00A050A8" w:rsidRPr="00FB3DF0">
        <w:t xml:space="preserve">o Direito dos Tratados, tendo em vista a responsabilidade internacional do Estado pelo descumprimento das obrigações convencionalmente assumidas, em ato de autonomia privada </w:t>
      </w:r>
      <w:r w:rsidR="002C5968" w:rsidRPr="00FB3DF0">
        <w:t>(KELSEN, 2014)</w:t>
      </w:r>
      <w:r w:rsidR="00846D0E" w:rsidRPr="00FB3DF0">
        <w:t>,</w:t>
      </w:r>
      <w:r w:rsidR="00A050A8" w:rsidRPr="00FB3DF0">
        <w:t xml:space="preserve"> e invocamos o dispostivo inscrito</w:t>
      </w:r>
      <w:r w:rsidR="00846D0E" w:rsidRPr="00FB3DF0">
        <w:t xml:space="preserve"> no artigo 27 da CVDT/1969 – que veda a invocação de disposições de direito interno para justificar o descumprimento de um tratado internacional (BRASIL, 2009) como fundamento para o controle de convencionalidade</w:t>
      </w:r>
      <w:r w:rsidR="003D2E74" w:rsidRPr="00FB3DF0">
        <w:t xml:space="preserve">; e </w:t>
      </w:r>
      <w:r w:rsidR="00C16B4C" w:rsidRPr="00FB3DF0">
        <w:rPr>
          <w:i/>
          <w:iCs/>
        </w:rPr>
        <w:t xml:space="preserve">A vinculação do Juiz Nacional </w:t>
      </w:r>
      <w:r w:rsidR="00656CDF" w:rsidRPr="00FB3DF0">
        <w:rPr>
          <w:i/>
          <w:iCs/>
        </w:rPr>
        <w:t>ao ordenamento jurídico em sua integralidade</w:t>
      </w:r>
      <w:r w:rsidR="00DD22D9" w:rsidRPr="00FB3DF0">
        <w:t xml:space="preserve">, no qual apontamos que o magistrado encontra-se vinculado ao ordenamento jurídico como um todo </w:t>
      </w:r>
      <w:r w:rsidR="00AD5781" w:rsidRPr="00FB3DF0">
        <w:t xml:space="preserve">(MENDES; BRANCO, </w:t>
      </w:r>
      <w:r w:rsidR="00E26DA4" w:rsidRPr="00FB3DF0">
        <w:t xml:space="preserve">2015), aí incluídos os tratados internacionais de Direitos Humanos celebrados pelo Brasil e incorporados ao ordenamento jurídico pátrio, independentemente do </w:t>
      </w:r>
      <w:r w:rsidR="00E26DA4" w:rsidRPr="00FB3DF0">
        <w:rPr>
          <w:i/>
          <w:iCs/>
        </w:rPr>
        <w:t xml:space="preserve">status </w:t>
      </w:r>
      <w:r w:rsidR="00E26DA4" w:rsidRPr="00FB3DF0">
        <w:t>hierárquico</w:t>
      </w:r>
      <w:r w:rsidR="008A494B" w:rsidRPr="00FB3DF0">
        <w:t xml:space="preserve"> que lhe foi atribuído (equivalente a emenda constitucional ou supralegal)</w:t>
      </w:r>
      <w:r w:rsidR="00656CDF" w:rsidRPr="00FB3DF0">
        <w:t xml:space="preserve">. O trabalho foi desenvolvido por meio de pesquisa documental, com a revisão da bibliografia </w:t>
      </w:r>
      <w:r w:rsidR="003142A8" w:rsidRPr="00FB3DF0">
        <w:t>nacional e estrangeira sobre o controle de convencionalidade, bem como o exame dos atos normativos convencionais, constitucionais e legais</w:t>
      </w:r>
      <w:r w:rsidR="00212F16" w:rsidRPr="00FB3DF0">
        <w:t xml:space="preserve"> e dos julgamentos proferidos pela Corte IDH, tanto em casos contenciosos quanto em supervisão de cumprimento de sentenç</w:t>
      </w:r>
      <w:r w:rsidR="00D10180" w:rsidRPr="00FB3DF0">
        <w:t xml:space="preserve">a, aplicando-se o método hipotético-dedutivo. </w:t>
      </w:r>
      <w:r w:rsidR="004F4AF9" w:rsidRPr="00FB3DF0">
        <w:t>A pesquisa indica que os membros da magistratura nacional encontra</w:t>
      </w:r>
      <w:r w:rsidR="00411670" w:rsidRPr="00FB3DF0">
        <w:t>m</w:t>
      </w:r>
      <w:r w:rsidR="004F4AF9" w:rsidRPr="00FB3DF0">
        <w:t>-se diretamente vinculad</w:t>
      </w:r>
      <w:r w:rsidR="00411670" w:rsidRPr="00FB3DF0">
        <w:t>os</w:t>
      </w:r>
      <w:r w:rsidR="004F4AF9" w:rsidRPr="00FB3DF0">
        <w:t xml:space="preserve"> aos </w:t>
      </w:r>
      <w:r w:rsidR="00411670" w:rsidRPr="00FB3DF0">
        <w:t xml:space="preserve">tratados internacionais de Direitos Humanos </w:t>
      </w:r>
      <w:r w:rsidR="00FD7BF9" w:rsidRPr="00FB3DF0">
        <w:t xml:space="preserve">de que o Brasil é parte, bem como aos </w:t>
      </w:r>
      <w:r w:rsidR="004F4AF9" w:rsidRPr="00FB3DF0">
        <w:t xml:space="preserve">parâmetros de julgamento exarados pela CorteIDH, </w:t>
      </w:r>
      <w:r w:rsidR="00FD7BF9" w:rsidRPr="00FB3DF0">
        <w:t xml:space="preserve">independentemente de o Estado brasileiro ser parte no processo instaurado perante o órgão jurisdicional interamericano, devendo aplicar o controle de convencionalidade como forma de evitar a responsabilização do </w:t>
      </w:r>
      <w:r w:rsidR="00FD7BF9" w:rsidRPr="00FB3DF0">
        <w:lastRenderedPageBreak/>
        <w:t>Brasil no âmbito internacional.</w:t>
      </w:r>
    </w:p>
    <w:p w14:paraId="11052EA1" w14:textId="38F123EC" w:rsidR="006A59B1" w:rsidRPr="00FB3DF0" w:rsidRDefault="006A59B1" w:rsidP="006E1290">
      <w:pPr>
        <w:pStyle w:val="Corpodetexto"/>
        <w:spacing w:line="360" w:lineRule="auto"/>
        <w:ind w:left="102" w:right="128"/>
        <w:jc w:val="both"/>
      </w:pPr>
      <w:r w:rsidRPr="00FB3DF0">
        <w:t xml:space="preserve"> </w:t>
      </w:r>
    </w:p>
    <w:p w14:paraId="5CCFCE73" w14:textId="2E0C9F03" w:rsidR="006E1290" w:rsidRPr="00FB3DF0" w:rsidRDefault="006E1290" w:rsidP="006E1290">
      <w:pPr>
        <w:spacing w:before="160"/>
        <w:ind w:left="102"/>
        <w:jc w:val="both"/>
        <w:rPr>
          <w:sz w:val="24"/>
          <w:szCs w:val="24"/>
        </w:rPr>
      </w:pPr>
      <w:r w:rsidRPr="00FB3DF0">
        <w:rPr>
          <w:b/>
          <w:sz w:val="24"/>
          <w:szCs w:val="24"/>
        </w:rPr>
        <w:t xml:space="preserve">Palavras-chave: </w:t>
      </w:r>
      <w:r w:rsidR="006E3578" w:rsidRPr="00FB3DF0">
        <w:rPr>
          <w:bCs/>
          <w:sz w:val="24"/>
          <w:szCs w:val="24"/>
        </w:rPr>
        <w:t>Direito Internacional dos Direitos Humanos</w:t>
      </w:r>
      <w:r w:rsidR="00FB3DF0">
        <w:rPr>
          <w:bCs/>
          <w:sz w:val="24"/>
          <w:szCs w:val="24"/>
        </w:rPr>
        <w:t>,</w:t>
      </w:r>
      <w:r w:rsidR="006E3578" w:rsidRPr="00FB3DF0">
        <w:rPr>
          <w:bCs/>
          <w:sz w:val="24"/>
          <w:szCs w:val="24"/>
        </w:rPr>
        <w:t xml:space="preserve"> </w:t>
      </w:r>
      <w:r w:rsidR="006E3578" w:rsidRPr="00FB3DF0">
        <w:rPr>
          <w:sz w:val="24"/>
          <w:szCs w:val="24"/>
        </w:rPr>
        <w:t>Controle de Convencionalidad</w:t>
      </w:r>
      <w:r w:rsidR="00FB3DF0">
        <w:rPr>
          <w:sz w:val="24"/>
          <w:szCs w:val="24"/>
        </w:rPr>
        <w:t>e,</w:t>
      </w:r>
      <w:r w:rsidR="005347EA" w:rsidRPr="00FB3DF0">
        <w:rPr>
          <w:sz w:val="24"/>
          <w:szCs w:val="24"/>
        </w:rPr>
        <w:t xml:space="preserve"> Poder Judiciário brasileiro</w:t>
      </w:r>
      <w:r w:rsidR="00FB3DF0">
        <w:rPr>
          <w:sz w:val="24"/>
          <w:szCs w:val="24"/>
        </w:rPr>
        <w:t>,</w:t>
      </w:r>
      <w:r w:rsidR="005347EA" w:rsidRPr="00FB3DF0">
        <w:rPr>
          <w:sz w:val="24"/>
          <w:szCs w:val="24"/>
        </w:rPr>
        <w:t xml:space="preserve"> Dever</w:t>
      </w:r>
      <w:r w:rsidR="00FB3DF0">
        <w:rPr>
          <w:sz w:val="24"/>
          <w:szCs w:val="24"/>
        </w:rPr>
        <w:t>,</w:t>
      </w:r>
      <w:r w:rsidR="005347EA" w:rsidRPr="00FB3DF0">
        <w:rPr>
          <w:sz w:val="24"/>
          <w:szCs w:val="24"/>
        </w:rPr>
        <w:t xml:space="preserve"> Fundamento.</w:t>
      </w:r>
    </w:p>
    <w:p w14:paraId="2B300A57" w14:textId="77777777" w:rsidR="006E1290" w:rsidRDefault="006E1290" w:rsidP="006E1290">
      <w:pPr>
        <w:pStyle w:val="Corpodetexto"/>
        <w:spacing w:before="10"/>
        <w:rPr>
          <w:sz w:val="25"/>
        </w:rPr>
      </w:pPr>
    </w:p>
    <w:p w14:paraId="6D09690B" w14:textId="77777777" w:rsidR="006E1290" w:rsidRDefault="006E1290" w:rsidP="006E1290">
      <w:pPr>
        <w:pStyle w:val="Ttulo1"/>
        <w:spacing w:before="1"/>
        <w:jc w:val="left"/>
      </w:pPr>
      <w:r>
        <w:t>Referências</w:t>
      </w:r>
    </w:p>
    <w:p w14:paraId="1D0FC91A" w14:textId="77777777" w:rsidR="006E1290" w:rsidRDefault="006E1290" w:rsidP="006E1290">
      <w:pPr>
        <w:pStyle w:val="Corpodetexto"/>
        <w:rPr>
          <w:b/>
          <w:sz w:val="26"/>
        </w:rPr>
      </w:pPr>
    </w:p>
    <w:p w14:paraId="63716FF6" w14:textId="77777777" w:rsidR="00B010F1" w:rsidRPr="00FB3DF0" w:rsidRDefault="00B010F1" w:rsidP="00B010F1">
      <w:pPr>
        <w:pStyle w:val="refernciasbibliogrficas"/>
        <w:suppressAutoHyphens/>
      </w:pPr>
      <w:r w:rsidRPr="00FB3DF0">
        <w:rPr>
          <w:color w:val="000000"/>
          <w:shd w:val="clear" w:color="auto" w:fill="FFFFFF"/>
          <w:lang w:val="es-ES"/>
        </w:rPr>
        <w:t xml:space="preserve">BOGDANDY, Armin </w:t>
      </w:r>
      <w:proofErr w:type="spellStart"/>
      <w:r w:rsidRPr="00FB3DF0">
        <w:rPr>
          <w:color w:val="000000"/>
          <w:shd w:val="clear" w:color="auto" w:fill="FFFFFF"/>
          <w:lang w:val="es-ES"/>
        </w:rPr>
        <w:t>von</w:t>
      </w:r>
      <w:proofErr w:type="spellEnd"/>
      <w:r w:rsidRPr="00FB3DF0">
        <w:rPr>
          <w:color w:val="000000"/>
          <w:shd w:val="clear" w:color="auto" w:fill="FFFFFF"/>
          <w:lang w:val="es-ES"/>
        </w:rPr>
        <w:t xml:space="preserve">. Ius </w:t>
      </w:r>
      <w:proofErr w:type="spellStart"/>
      <w:r w:rsidRPr="00FB3DF0">
        <w:rPr>
          <w:color w:val="000000"/>
          <w:shd w:val="clear" w:color="auto" w:fill="FFFFFF"/>
          <w:lang w:val="es-ES"/>
        </w:rPr>
        <w:t>Constitutionale</w:t>
      </w:r>
      <w:proofErr w:type="spellEnd"/>
      <w:r w:rsidRPr="00FB3DF0">
        <w:rPr>
          <w:color w:val="000000"/>
          <w:shd w:val="clear" w:color="auto" w:fill="FFFFFF"/>
          <w:lang w:val="es-ES"/>
        </w:rPr>
        <w:t xml:space="preserve"> </w:t>
      </w:r>
      <w:proofErr w:type="spellStart"/>
      <w:r w:rsidRPr="00FB3DF0">
        <w:rPr>
          <w:color w:val="000000"/>
          <w:shd w:val="clear" w:color="auto" w:fill="FFFFFF"/>
          <w:lang w:val="es-ES"/>
        </w:rPr>
        <w:t>Latinoamericanum</w:t>
      </w:r>
      <w:proofErr w:type="spellEnd"/>
      <w:r w:rsidRPr="00FB3DF0">
        <w:rPr>
          <w:color w:val="000000"/>
          <w:shd w:val="clear" w:color="auto" w:fill="FFFFFF"/>
          <w:lang w:val="es-ES"/>
        </w:rPr>
        <w:t xml:space="preserve">: Una aclaración conceptual. In: </w:t>
      </w:r>
      <w:r w:rsidRPr="00FB3DF0">
        <w:rPr>
          <w:rFonts w:eastAsia="Times New Roman"/>
          <w:color w:val="000000"/>
          <w:lang w:val="es-ES" w:eastAsia="pt-BR"/>
        </w:rPr>
        <w:t xml:space="preserve">FIX-FIERRO, Héctor Felipe; BOGDANDY, Armin </w:t>
      </w:r>
      <w:proofErr w:type="spellStart"/>
      <w:r w:rsidRPr="00FB3DF0">
        <w:rPr>
          <w:rFonts w:eastAsia="Times New Roman"/>
          <w:color w:val="000000"/>
          <w:lang w:val="es-ES" w:eastAsia="pt-BR"/>
        </w:rPr>
        <w:t>von</w:t>
      </w:r>
      <w:proofErr w:type="spellEnd"/>
      <w:r w:rsidRPr="00FB3DF0">
        <w:rPr>
          <w:rFonts w:eastAsia="Times New Roman"/>
          <w:color w:val="000000"/>
          <w:lang w:val="es-ES" w:eastAsia="pt-BR"/>
        </w:rPr>
        <w:t>; MORALES ANTONIAZZI, Mariela (</w:t>
      </w:r>
      <w:proofErr w:type="spellStart"/>
      <w:r w:rsidRPr="00FB3DF0">
        <w:rPr>
          <w:rFonts w:eastAsia="Times New Roman"/>
          <w:color w:val="000000"/>
          <w:lang w:val="es-ES" w:eastAsia="pt-BR"/>
        </w:rPr>
        <w:t>coords</w:t>
      </w:r>
      <w:proofErr w:type="spellEnd"/>
      <w:r w:rsidRPr="00FB3DF0">
        <w:rPr>
          <w:rFonts w:eastAsia="Times New Roman"/>
          <w:color w:val="000000"/>
          <w:lang w:val="es-ES" w:eastAsia="pt-BR"/>
        </w:rPr>
        <w:t xml:space="preserve">.). In: </w:t>
      </w:r>
      <w:r w:rsidRPr="00FB3DF0">
        <w:rPr>
          <w:b/>
          <w:color w:val="000000"/>
          <w:lang w:val="es-ES"/>
        </w:rPr>
        <w:t xml:space="preserve">Ius </w:t>
      </w:r>
      <w:proofErr w:type="spellStart"/>
      <w:r w:rsidRPr="00FB3DF0">
        <w:rPr>
          <w:b/>
          <w:color w:val="000000"/>
          <w:lang w:val="es-ES"/>
        </w:rPr>
        <w:t>Constitutionale</w:t>
      </w:r>
      <w:proofErr w:type="spellEnd"/>
      <w:r w:rsidRPr="00FB3DF0">
        <w:rPr>
          <w:b/>
          <w:color w:val="000000"/>
          <w:lang w:val="es-ES"/>
        </w:rPr>
        <w:t xml:space="preserve"> </w:t>
      </w:r>
      <w:proofErr w:type="spellStart"/>
      <w:r w:rsidRPr="00FB3DF0">
        <w:rPr>
          <w:b/>
          <w:color w:val="000000"/>
          <w:lang w:val="es-ES"/>
        </w:rPr>
        <w:t>Commune</w:t>
      </w:r>
      <w:proofErr w:type="spellEnd"/>
      <w:r w:rsidRPr="00FB3DF0">
        <w:rPr>
          <w:b/>
          <w:color w:val="000000"/>
          <w:lang w:val="es-ES"/>
        </w:rPr>
        <w:t xml:space="preserve"> en América Latina:</w:t>
      </w:r>
      <w:r w:rsidRPr="00FB3DF0">
        <w:rPr>
          <w:color w:val="000000"/>
          <w:lang w:val="es-ES"/>
        </w:rPr>
        <w:t xml:space="preserve"> Rasgos, potencialidades y </w:t>
      </w:r>
      <w:proofErr w:type="spellStart"/>
      <w:r w:rsidRPr="00FB3DF0">
        <w:rPr>
          <w:color w:val="000000"/>
          <w:lang w:val="es-ES"/>
        </w:rPr>
        <w:t>desafios</w:t>
      </w:r>
      <w:proofErr w:type="spellEnd"/>
      <w:r w:rsidRPr="00FB3DF0">
        <w:rPr>
          <w:color w:val="000000"/>
          <w:lang w:val="es-ES"/>
        </w:rPr>
        <w:t>.</w:t>
      </w:r>
      <w:r w:rsidRPr="00FB3DF0">
        <w:rPr>
          <w:i/>
          <w:color w:val="000000"/>
          <w:lang w:val="es-ES"/>
        </w:rPr>
        <w:t xml:space="preserve"> </w:t>
      </w:r>
      <w:r w:rsidRPr="00FB3DF0">
        <w:rPr>
          <w:color w:val="000000"/>
          <w:lang w:val="es-ES"/>
        </w:rPr>
        <w:t>México: Universidad Nacional Autónoma de México; Max-Planck-</w:t>
      </w:r>
      <w:proofErr w:type="spellStart"/>
      <w:r w:rsidRPr="00FB3DF0">
        <w:rPr>
          <w:color w:val="000000"/>
          <w:lang w:val="es-ES"/>
        </w:rPr>
        <w:t>Institut</w:t>
      </w:r>
      <w:proofErr w:type="spellEnd"/>
      <w:r w:rsidRPr="00FB3DF0">
        <w:rPr>
          <w:color w:val="000000"/>
          <w:lang w:val="es-ES"/>
        </w:rPr>
        <w:t xml:space="preserve"> </w:t>
      </w:r>
      <w:proofErr w:type="spellStart"/>
      <w:r w:rsidRPr="00FB3DF0">
        <w:rPr>
          <w:color w:val="000000"/>
          <w:lang w:val="es-ES"/>
        </w:rPr>
        <w:t>für</w:t>
      </w:r>
      <w:proofErr w:type="spellEnd"/>
      <w:r w:rsidRPr="00FB3DF0">
        <w:rPr>
          <w:color w:val="000000"/>
          <w:lang w:val="es-ES"/>
        </w:rPr>
        <w:t xml:space="preserve"> </w:t>
      </w:r>
      <w:proofErr w:type="spellStart"/>
      <w:r w:rsidRPr="00FB3DF0">
        <w:rPr>
          <w:color w:val="000000"/>
          <w:lang w:val="es-ES"/>
        </w:rPr>
        <w:t>Ausländisches</w:t>
      </w:r>
      <w:proofErr w:type="spellEnd"/>
      <w:r w:rsidRPr="00FB3DF0">
        <w:rPr>
          <w:color w:val="000000"/>
          <w:lang w:val="es-ES"/>
        </w:rPr>
        <w:t xml:space="preserve"> </w:t>
      </w:r>
      <w:proofErr w:type="spellStart"/>
      <w:r w:rsidRPr="00FB3DF0">
        <w:rPr>
          <w:color w:val="000000"/>
          <w:lang w:val="es-ES"/>
        </w:rPr>
        <w:t>Öffentliches</w:t>
      </w:r>
      <w:proofErr w:type="spellEnd"/>
      <w:r w:rsidRPr="00FB3DF0">
        <w:rPr>
          <w:color w:val="000000"/>
          <w:lang w:val="es-ES"/>
        </w:rPr>
        <w:t xml:space="preserve"> </w:t>
      </w:r>
      <w:proofErr w:type="spellStart"/>
      <w:r w:rsidRPr="00FB3DF0">
        <w:rPr>
          <w:color w:val="000000"/>
          <w:lang w:val="es-ES"/>
        </w:rPr>
        <w:t>Recht</w:t>
      </w:r>
      <w:proofErr w:type="spellEnd"/>
      <w:r w:rsidRPr="00FB3DF0">
        <w:rPr>
          <w:color w:val="000000"/>
          <w:lang w:val="es-ES"/>
        </w:rPr>
        <w:t xml:space="preserve"> </w:t>
      </w:r>
      <w:proofErr w:type="spellStart"/>
      <w:r w:rsidRPr="00FB3DF0">
        <w:rPr>
          <w:color w:val="000000"/>
          <w:lang w:val="es-ES"/>
        </w:rPr>
        <w:t>und</w:t>
      </w:r>
      <w:proofErr w:type="spellEnd"/>
      <w:r w:rsidRPr="00FB3DF0">
        <w:rPr>
          <w:color w:val="000000"/>
          <w:lang w:val="es-ES"/>
        </w:rPr>
        <w:t xml:space="preserve"> </w:t>
      </w:r>
      <w:proofErr w:type="spellStart"/>
      <w:r w:rsidRPr="00FB3DF0">
        <w:rPr>
          <w:color w:val="000000"/>
          <w:lang w:val="es-ES"/>
        </w:rPr>
        <w:t>Völkerrecht</w:t>
      </w:r>
      <w:proofErr w:type="spellEnd"/>
      <w:r w:rsidRPr="00FB3DF0">
        <w:rPr>
          <w:color w:val="000000"/>
          <w:lang w:val="es-ES"/>
        </w:rPr>
        <w:t xml:space="preserve">; Instituto Iberoamericano de Derecho Constitucional, 2014. p.03-23. </w:t>
      </w:r>
      <w:r w:rsidRPr="00FB3DF0">
        <w:rPr>
          <w:color w:val="000000"/>
        </w:rPr>
        <w:t>Disponível em:</w:t>
      </w:r>
      <w:r w:rsidRPr="00FB3DF0">
        <w:t xml:space="preserve"> &lt;</w:t>
      </w:r>
      <w:hyperlink r:id="rId7" w:history="1">
        <w:r w:rsidRPr="00FB3DF0">
          <w:rPr>
            <w:rStyle w:val="Hyperlink"/>
          </w:rPr>
          <w:t>https://archivos.juridicas.unam.mx/www/bjv/libros/8/3655/4.pdf</w:t>
        </w:r>
      </w:hyperlink>
      <w:r w:rsidRPr="00FB3DF0">
        <w:t>&gt;. Acesso em 04 jan.2017.</w:t>
      </w:r>
    </w:p>
    <w:p w14:paraId="2E007ABD" w14:textId="77777777" w:rsidR="00B010F1" w:rsidRPr="00FB3DF0" w:rsidRDefault="00B010F1" w:rsidP="0013546C">
      <w:pPr>
        <w:pStyle w:val="refernciasbibliogrficas"/>
        <w:suppressAutoHyphens/>
      </w:pPr>
    </w:p>
    <w:p w14:paraId="5F65B128" w14:textId="44488AC5" w:rsidR="0013546C" w:rsidRPr="00FB3DF0" w:rsidRDefault="0013546C" w:rsidP="0013546C">
      <w:pPr>
        <w:pStyle w:val="refernciasbibliogrficas"/>
        <w:suppressAutoHyphens/>
      </w:pPr>
      <w:r w:rsidRPr="00FB3DF0">
        <w:t xml:space="preserve">BRASIL. Constituição (1988). </w:t>
      </w:r>
      <w:r w:rsidRPr="00FB3DF0">
        <w:rPr>
          <w:b/>
        </w:rPr>
        <w:t>Constituição da República Federativa do Brasil</w:t>
      </w:r>
      <w:r w:rsidRPr="00FB3DF0">
        <w:t>. Disponível em: &lt;</w:t>
      </w:r>
      <w:hyperlink r:id="rId8" w:history="1">
        <w:r w:rsidRPr="00FB3DF0">
          <w:rPr>
            <w:rStyle w:val="Hyperlink"/>
          </w:rPr>
          <w:t>http://www.planalto.gov.br/ccivil_03/constituicao/constituicaocompilado.htm</w:t>
        </w:r>
      </w:hyperlink>
      <w:r w:rsidRPr="00FB3DF0">
        <w:t>&gt;. Acesso em: 05 out. 2017.</w:t>
      </w:r>
    </w:p>
    <w:p w14:paraId="705C8439" w14:textId="77777777" w:rsidR="0013546C" w:rsidRPr="00FB3DF0" w:rsidRDefault="0013546C" w:rsidP="006F0A10">
      <w:pPr>
        <w:rPr>
          <w:color w:val="000000"/>
          <w:sz w:val="24"/>
          <w:szCs w:val="24"/>
          <w:lang w:eastAsia="pt-BR"/>
        </w:rPr>
      </w:pPr>
    </w:p>
    <w:p w14:paraId="02C7BC14" w14:textId="1381D4E8" w:rsidR="00382AC2" w:rsidRPr="00FB3DF0" w:rsidRDefault="00382AC2" w:rsidP="00382AC2">
      <w:pPr>
        <w:pStyle w:val="refernciasbibliogrficas"/>
        <w:rPr>
          <w:color w:val="000000"/>
          <w:shd w:val="clear" w:color="auto" w:fill="FFFFFF"/>
        </w:rPr>
      </w:pPr>
      <w:r w:rsidRPr="00FB3DF0">
        <w:rPr>
          <w:color w:val="000000"/>
          <w:shd w:val="clear" w:color="auto" w:fill="FFFFFF"/>
        </w:rPr>
        <w:t xml:space="preserve">______. </w:t>
      </w:r>
      <w:r w:rsidRPr="00FB3DF0">
        <w:rPr>
          <w:b/>
          <w:color w:val="000000"/>
          <w:shd w:val="clear" w:color="auto" w:fill="FFFFFF"/>
        </w:rPr>
        <w:t>Decreto nº. 7.030, de 14 de dezembro de 2009</w:t>
      </w:r>
      <w:r w:rsidRPr="00FB3DF0">
        <w:rPr>
          <w:color w:val="000000"/>
          <w:shd w:val="clear" w:color="auto" w:fill="FFFFFF"/>
        </w:rPr>
        <w:t>. Promulga a Convenção de Viena sobre o Direito dos Tratados, concluída em 23 de maio de 1969, com reserva aos Artigos 25 e 66. Disponível em: &lt;</w:t>
      </w:r>
      <w:hyperlink r:id="rId9" w:history="1">
        <w:r w:rsidRPr="00FB3DF0">
          <w:rPr>
            <w:rStyle w:val="Hyperlink"/>
            <w:shd w:val="clear" w:color="auto" w:fill="FFFFFF"/>
          </w:rPr>
          <w:t>http://www.planalto.gov.br/ccivil_03/_ato2007-2010/2009/decreto/d7030.htm</w:t>
        </w:r>
      </w:hyperlink>
      <w:r w:rsidRPr="00FB3DF0">
        <w:rPr>
          <w:color w:val="000000"/>
          <w:shd w:val="clear" w:color="auto" w:fill="FFFFFF"/>
        </w:rPr>
        <w:t>&gt;. Acesso em: 10 ago. 2017.</w:t>
      </w:r>
    </w:p>
    <w:p w14:paraId="4386FD3E" w14:textId="77777777" w:rsidR="00382AC2" w:rsidRPr="00FB3DF0" w:rsidRDefault="00382AC2" w:rsidP="00382AC2">
      <w:pPr>
        <w:pStyle w:val="refernciasbibliogrficas"/>
        <w:rPr>
          <w:color w:val="000000"/>
          <w:shd w:val="clear" w:color="auto" w:fill="FFFFFF"/>
        </w:rPr>
      </w:pPr>
    </w:p>
    <w:p w14:paraId="18E3F36E" w14:textId="77777777" w:rsidR="00DE7401" w:rsidRPr="00FB3DF0" w:rsidRDefault="00DE7401" w:rsidP="00DE7401">
      <w:pPr>
        <w:rPr>
          <w:color w:val="000000"/>
          <w:sz w:val="24"/>
          <w:szCs w:val="24"/>
        </w:rPr>
      </w:pPr>
      <w:r w:rsidRPr="00FB3DF0">
        <w:rPr>
          <w:color w:val="000000"/>
          <w:sz w:val="24"/>
          <w:szCs w:val="24"/>
          <w:lang w:val="es-ES" w:eastAsia="pt-BR"/>
        </w:rPr>
        <w:t xml:space="preserve">CORTEIDH. </w:t>
      </w:r>
      <w:r w:rsidRPr="00FB3DF0">
        <w:rPr>
          <w:b/>
          <w:color w:val="000000"/>
          <w:sz w:val="24"/>
          <w:szCs w:val="24"/>
          <w:lang w:val="es-ES" w:eastAsia="pt-BR"/>
        </w:rPr>
        <w:t>Caso Almonacid Arellano y Otros vs. Chile</w:t>
      </w:r>
      <w:r w:rsidRPr="00FB3DF0">
        <w:rPr>
          <w:i/>
          <w:color w:val="000000"/>
          <w:sz w:val="24"/>
          <w:szCs w:val="24"/>
          <w:lang w:val="es-ES" w:eastAsia="pt-BR"/>
        </w:rPr>
        <w:t>.</w:t>
      </w:r>
      <w:r w:rsidRPr="00FB3DF0">
        <w:rPr>
          <w:color w:val="000000"/>
          <w:sz w:val="24"/>
          <w:szCs w:val="24"/>
          <w:lang w:val="es-ES" w:eastAsia="pt-BR"/>
        </w:rPr>
        <w:t xml:space="preserve"> Sentencia de 26 de septiembre de 2006 (Excepciones Preliminares, Fondo, Reparaciones y Costas). </w:t>
      </w:r>
      <w:r w:rsidRPr="00FB3DF0">
        <w:rPr>
          <w:color w:val="000000"/>
          <w:sz w:val="24"/>
          <w:szCs w:val="24"/>
          <w:lang w:eastAsia="pt-BR"/>
        </w:rPr>
        <w:t>San José, 26 de setembro de 2006. Disponível em: &lt;</w:t>
      </w:r>
      <w:r w:rsidR="00353390" w:rsidRPr="00FB3DF0">
        <w:fldChar w:fldCharType="begin"/>
      </w:r>
      <w:r w:rsidR="00353390" w:rsidRPr="00FB3DF0">
        <w:rPr>
          <w:sz w:val="24"/>
          <w:szCs w:val="24"/>
        </w:rPr>
        <w:instrText xml:space="preserve"> HYPERLINK "http://www.corteidh.or.cr/docs/casos/articulos/seriec_154_esp.pdf" </w:instrText>
      </w:r>
      <w:r w:rsidR="00353390" w:rsidRPr="00FB3DF0">
        <w:fldChar w:fldCharType="separate"/>
      </w:r>
      <w:r w:rsidRPr="00FB3DF0">
        <w:rPr>
          <w:rStyle w:val="Hyperlink"/>
          <w:sz w:val="24"/>
          <w:szCs w:val="24"/>
          <w:lang w:eastAsia="pt-BR"/>
        </w:rPr>
        <w:t>http://www.corteidh.or.cr/docs/casos/articulos/seriec_154_esp.pdf</w:t>
      </w:r>
      <w:r w:rsidR="00353390" w:rsidRPr="00FB3DF0">
        <w:rPr>
          <w:rStyle w:val="Hyperlink"/>
          <w:sz w:val="24"/>
          <w:szCs w:val="24"/>
          <w:lang w:eastAsia="pt-BR"/>
        </w:rPr>
        <w:fldChar w:fldCharType="end"/>
      </w:r>
      <w:r w:rsidRPr="00FB3DF0">
        <w:rPr>
          <w:color w:val="000000"/>
          <w:sz w:val="24"/>
          <w:szCs w:val="24"/>
          <w:lang w:eastAsia="pt-BR"/>
        </w:rPr>
        <w:t xml:space="preserve">&gt;. Acesso em: 20 dez. 2016. </w:t>
      </w:r>
    </w:p>
    <w:p w14:paraId="42C19E55" w14:textId="0A29F850" w:rsidR="00DE7401" w:rsidRPr="00FB3DF0" w:rsidRDefault="00DE7401" w:rsidP="001A4FB1">
      <w:pPr>
        <w:pStyle w:val="refernciasbibliogrficas"/>
        <w:rPr>
          <w:rFonts w:eastAsia="Times New Roman"/>
          <w:bCs/>
          <w:color w:val="000000"/>
          <w:lang w:eastAsia="pt-BR"/>
        </w:rPr>
      </w:pPr>
    </w:p>
    <w:p w14:paraId="6F90E0A6" w14:textId="77777777" w:rsidR="00B90FD1" w:rsidRPr="00FB3DF0" w:rsidRDefault="00B90FD1" w:rsidP="00B90FD1">
      <w:pPr>
        <w:pStyle w:val="Textodenotaderodap"/>
        <w:rPr>
          <w:sz w:val="24"/>
          <w:szCs w:val="24"/>
          <w:lang w:val="pt-BR"/>
        </w:rPr>
      </w:pPr>
      <w:r w:rsidRPr="00FB3DF0">
        <w:rPr>
          <w:sz w:val="24"/>
          <w:szCs w:val="24"/>
        </w:rPr>
        <w:t xml:space="preserve">______. </w:t>
      </w:r>
      <w:r w:rsidRPr="00FB3DF0">
        <w:rPr>
          <w:b/>
          <w:sz w:val="24"/>
          <w:szCs w:val="24"/>
        </w:rPr>
        <w:t>Caso Gomes Lund y Otros (“Guerrilha do Araguaia”) vs. Brasil</w:t>
      </w:r>
      <w:r w:rsidRPr="00FB3DF0">
        <w:rPr>
          <w:i/>
          <w:sz w:val="24"/>
          <w:szCs w:val="24"/>
        </w:rPr>
        <w:t>.</w:t>
      </w:r>
      <w:r w:rsidRPr="00FB3DF0">
        <w:rPr>
          <w:sz w:val="24"/>
          <w:szCs w:val="24"/>
        </w:rPr>
        <w:t xml:space="preserve"> </w:t>
      </w:r>
      <w:r w:rsidRPr="00FB3DF0">
        <w:rPr>
          <w:sz w:val="24"/>
          <w:szCs w:val="24"/>
          <w:lang w:val="es-ES"/>
        </w:rPr>
        <w:t xml:space="preserve">Sentencia de 24 de noviembre de 2010 (Excepciones Preliminares, Fondo, Reparaciones y Costas). </w:t>
      </w:r>
      <w:r w:rsidRPr="00FB3DF0">
        <w:rPr>
          <w:sz w:val="24"/>
          <w:szCs w:val="24"/>
        </w:rPr>
        <w:t xml:space="preserve">San José, 24 de novembro de 2010. Disponível em: </w:t>
      </w:r>
      <w:r w:rsidR="00353390" w:rsidRPr="00FB3DF0">
        <w:fldChar w:fldCharType="begin"/>
      </w:r>
      <w:r w:rsidR="00353390" w:rsidRPr="00FB3DF0">
        <w:rPr>
          <w:sz w:val="24"/>
          <w:szCs w:val="24"/>
        </w:rPr>
        <w:instrText xml:space="preserve"> HYPERLINK "http://www.corteidh.or.cr/docs/casos/articulos/seriec_219_esp.pdf" </w:instrText>
      </w:r>
      <w:r w:rsidR="00353390" w:rsidRPr="00FB3DF0">
        <w:fldChar w:fldCharType="separate"/>
      </w:r>
      <w:r w:rsidRPr="00FB3DF0">
        <w:rPr>
          <w:rStyle w:val="Hyperlink"/>
          <w:sz w:val="24"/>
          <w:szCs w:val="24"/>
        </w:rPr>
        <w:t>http://www.corteidh.or.cr/docs/casos/articulos/seriec_219_esp.pdf</w:t>
      </w:r>
      <w:r w:rsidR="00353390" w:rsidRPr="00FB3DF0">
        <w:rPr>
          <w:rStyle w:val="Hyperlink"/>
          <w:sz w:val="24"/>
          <w:szCs w:val="24"/>
        </w:rPr>
        <w:fldChar w:fldCharType="end"/>
      </w:r>
      <w:r w:rsidRPr="00FB3DF0">
        <w:rPr>
          <w:sz w:val="24"/>
          <w:szCs w:val="24"/>
        </w:rPr>
        <w:t xml:space="preserve">. </w:t>
      </w:r>
      <w:r w:rsidRPr="00FB3DF0">
        <w:rPr>
          <w:sz w:val="24"/>
          <w:szCs w:val="24"/>
          <w:lang w:val="pt-BR"/>
        </w:rPr>
        <w:t>Acesso em: 20 dez. 2016.</w:t>
      </w:r>
    </w:p>
    <w:p w14:paraId="07750B63" w14:textId="77777777" w:rsidR="00B90FD1" w:rsidRPr="00FB3DF0" w:rsidRDefault="00B90FD1" w:rsidP="00B47052">
      <w:pPr>
        <w:pStyle w:val="Textodenotaderodap"/>
        <w:rPr>
          <w:sz w:val="24"/>
          <w:szCs w:val="24"/>
        </w:rPr>
      </w:pPr>
    </w:p>
    <w:p w14:paraId="063830B2" w14:textId="512EB225" w:rsidR="00B47052" w:rsidRPr="00FB3DF0" w:rsidRDefault="00B47052" w:rsidP="00B47052">
      <w:pPr>
        <w:pStyle w:val="Textodenotaderodap"/>
        <w:rPr>
          <w:color w:val="000000"/>
          <w:sz w:val="24"/>
          <w:szCs w:val="24"/>
        </w:rPr>
      </w:pPr>
      <w:r w:rsidRPr="00FB3DF0">
        <w:rPr>
          <w:sz w:val="24"/>
          <w:szCs w:val="24"/>
        </w:rPr>
        <w:t>______</w:t>
      </w:r>
      <w:r w:rsidRPr="00FB3DF0">
        <w:rPr>
          <w:color w:val="000000"/>
          <w:sz w:val="24"/>
          <w:szCs w:val="24"/>
          <w:lang w:val="es-ES"/>
        </w:rPr>
        <w:t xml:space="preserve">. </w:t>
      </w:r>
      <w:r w:rsidRPr="00FB3DF0">
        <w:rPr>
          <w:b/>
          <w:color w:val="000000"/>
          <w:sz w:val="24"/>
          <w:szCs w:val="24"/>
          <w:shd w:val="clear" w:color="auto" w:fill="FFFFFF"/>
          <w:lang w:val="es-ES"/>
        </w:rPr>
        <w:t>Caso “La Última Tentación de Cristo” (Olmedo Bustos y Otros vs. Chile)</w:t>
      </w:r>
      <w:r w:rsidRPr="00FB3DF0">
        <w:rPr>
          <w:color w:val="000000"/>
          <w:sz w:val="24"/>
          <w:szCs w:val="24"/>
          <w:shd w:val="clear" w:color="auto" w:fill="FFFFFF"/>
          <w:lang w:val="es-ES"/>
        </w:rPr>
        <w:t xml:space="preserve">. Sentencia de 5 de febrero de 2001 (Fondo, Reparaciones y Costas). </w:t>
      </w:r>
      <w:r w:rsidRPr="00FB3DF0">
        <w:rPr>
          <w:color w:val="000000"/>
          <w:sz w:val="24"/>
          <w:szCs w:val="24"/>
          <w:shd w:val="clear" w:color="auto" w:fill="FFFFFF"/>
        </w:rPr>
        <w:t>San José, 05 de fevereiro de 2001. Disponível em: &lt;</w:t>
      </w:r>
      <w:r w:rsidR="00353390" w:rsidRPr="00FB3DF0">
        <w:fldChar w:fldCharType="begin"/>
      </w:r>
      <w:r w:rsidR="00353390" w:rsidRPr="00FB3DF0">
        <w:rPr>
          <w:sz w:val="24"/>
          <w:szCs w:val="24"/>
        </w:rPr>
        <w:instrText xml:space="preserve"> HYPERLINK "http://www.corteidh.or.cr/docs/casos/articulos/Seriec_73_esp.pdf" </w:instrText>
      </w:r>
      <w:r w:rsidR="00353390" w:rsidRPr="00FB3DF0">
        <w:fldChar w:fldCharType="separate"/>
      </w:r>
      <w:r w:rsidRPr="00FB3DF0">
        <w:rPr>
          <w:rStyle w:val="Hyperlink"/>
          <w:sz w:val="24"/>
          <w:szCs w:val="24"/>
          <w:shd w:val="clear" w:color="auto" w:fill="FFFFFF"/>
        </w:rPr>
        <w:t>http://www.corteidh.or.cr/docs/casos/articulos/Seriec_73_esp.pdf</w:t>
      </w:r>
      <w:r w:rsidR="00353390" w:rsidRPr="00FB3DF0">
        <w:rPr>
          <w:rStyle w:val="Hyperlink"/>
          <w:sz w:val="24"/>
          <w:szCs w:val="24"/>
          <w:shd w:val="clear" w:color="auto" w:fill="FFFFFF"/>
        </w:rPr>
        <w:fldChar w:fldCharType="end"/>
      </w:r>
      <w:r w:rsidRPr="00FB3DF0">
        <w:rPr>
          <w:color w:val="000000"/>
          <w:sz w:val="24"/>
          <w:szCs w:val="24"/>
          <w:shd w:val="clear" w:color="auto" w:fill="FFFFFF"/>
        </w:rPr>
        <w:t>&gt;. Acesso em: 03 jan.</w:t>
      </w:r>
      <w:r w:rsidRPr="00FB3DF0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FB3DF0">
        <w:rPr>
          <w:color w:val="000000"/>
          <w:sz w:val="24"/>
          <w:szCs w:val="24"/>
          <w:shd w:val="clear" w:color="auto" w:fill="FFFFFF"/>
        </w:rPr>
        <w:t>2017.</w:t>
      </w:r>
    </w:p>
    <w:p w14:paraId="334C03BD" w14:textId="77777777" w:rsidR="00B47052" w:rsidRPr="00FB3DF0" w:rsidRDefault="00B47052" w:rsidP="001A4FB1">
      <w:pPr>
        <w:pStyle w:val="refernciasbibliogrficas"/>
        <w:rPr>
          <w:rFonts w:eastAsia="Times New Roman"/>
          <w:bCs/>
          <w:color w:val="000000"/>
          <w:lang w:eastAsia="pt-BR"/>
        </w:rPr>
      </w:pPr>
    </w:p>
    <w:p w14:paraId="2204230D" w14:textId="6B5A8194" w:rsidR="001A4FB1" w:rsidRPr="00FB3DF0" w:rsidRDefault="00B47052" w:rsidP="001A4FB1">
      <w:pPr>
        <w:pStyle w:val="refernciasbibliogrficas"/>
        <w:rPr>
          <w:color w:val="000000"/>
          <w:shd w:val="clear" w:color="auto" w:fill="FFFFFF"/>
        </w:rPr>
      </w:pPr>
      <w:r w:rsidRPr="00FB3DF0">
        <w:rPr>
          <w:rFonts w:eastAsia="Times New Roman"/>
          <w:bCs/>
          <w:color w:val="000000"/>
          <w:lang w:eastAsia="pt-BR"/>
        </w:rPr>
        <w:t>______</w:t>
      </w:r>
      <w:r w:rsidR="001A4FB1" w:rsidRPr="00FB3DF0">
        <w:rPr>
          <w:rFonts w:eastAsia="Times New Roman"/>
          <w:bCs/>
          <w:color w:val="000000"/>
          <w:lang w:eastAsia="pt-BR"/>
        </w:rPr>
        <w:t xml:space="preserve">. </w:t>
      </w:r>
      <w:proofErr w:type="spellStart"/>
      <w:r w:rsidR="001A4FB1" w:rsidRPr="00FB3DF0">
        <w:rPr>
          <w:rFonts w:eastAsia="Times New Roman"/>
          <w:b/>
          <w:color w:val="000000"/>
          <w:lang w:eastAsia="pt-BR"/>
        </w:rPr>
        <w:t>Resolución</w:t>
      </w:r>
      <w:proofErr w:type="spellEnd"/>
      <w:r w:rsidR="001A4FB1" w:rsidRPr="00FB3DF0">
        <w:rPr>
          <w:rFonts w:eastAsia="Times New Roman"/>
          <w:b/>
          <w:color w:val="000000"/>
          <w:lang w:eastAsia="pt-BR"/>
        </w:rPr>
        <w:t xml:space="preserve"> de </w:t>
      </w:r>
      <w:proofErr w:type="spellStart"/>
      <w:r w:rsidR="001A4FB1" w:rsidRPr="00FB3DF0">
        <w:rPr>
          <w:rFonts w:eastAsia="Times New Roman"/>
          <w:b/>
          <w:color w:val="000000"/>
          <w:lang w:eastAsia="pt-BR"/>
        </w:rPr>
        <w:t>la</w:t>
      </w:r>
      <w:proofErr w:type="spellEnd"/>
      <w:r w:rsidR="001A4FB1" w:rsidRPr="00FB3DF0">
        <w:rPr>
          <w:rFonts w:eastAsia="Times New Roman"/>
          <w:b/>
          <w:color w:val="000000"/>
          <w:lang w:eastAsia="pt-BR"/>
        </w:rPr>
        <w:t xml:space="preserve"> Corte Interamericana de </w:t>
      </w:r>
      <w:proofErr w:type="spellStart"/>
      <w:r w:rsidR="001A4FB1" w:rsidRPr="00FB3DF0">
        <w:rPr>
          <w:rFonts w:eastAsia="Times New Roman"/>
          <w:b/>
          <w:color w:val="000000"/>
          <w:lang w:eastAsia="pt-BR"/>
        </w:rPr>
        <w:t>Derechos</w:t>
      </w:r>
      <w:proofErr w:type="spellEnd"/>
      <w:r w:rsidR="001A4FB1" w:rsidRPr="00FB3DF0">
        <w:rPr>
          <w:rFonts w:eastAsia="Times New Roman"/>
          <w:b/>
          <w:color w:val="000000"/>
          <w:lang w:eastAsia="pt-BR"/>
        </w:rPr>
        <w:t xml:space="preserve"> Humanos de 20 de </w:t>
      </w:r>
      <w:proofErr w:type="spellStart"/>
      <w:r w:rsidR="001A4FB1" w:rsidRPr="00FB3DF0">
        <w:rPr>
          <w:rFonts w:eastAsia="Times New Roman"/>
          <w:b/>
          <w:color w:val="000000"/>
          <w:lang w:eastAsia="pt-BR"/>
        </w:rPr>
        <w:t>marzo</w:t>
      </w:r>
      <w:proofErr w:type="spellEnd"/>
      <w:r w:rsidR="001A4FB1" w:rsidRPr="00FB3DF0">
        <w:rPr>
          <w:rFonts w:eastAsia="Times New Roman"/>
          <w:b/>
          <w:color w:val="000000"/>
          <w:lang w:eastAsia="pt-BR"/>
        </w:rPr>
        <w:t xml:space="preserve"> de 2013</w:t>
      </w:r>
      <w:r w:rsidR="001A4FB1" w:rsidRPr="00FB3DF0">
        <w:rPr>
          <w:rFonts w:eastAsia="Times New Roman"/>
          <w:color w:val="000000"/>
          <w:lang w:eastAsia="pt-BR"/>
        </w:rPr>
        <w:t xml:space="preserve">. Caso </w:t>
      </w:r>
      <w:proofErr w:type="spellStart"/>
      <w:r w:rsidR="001A4FB1" w:rsidRPr="00FB3DF0">
        <w:rPr>
          <w:rFonts w:eastAsia="Times New Roman"/>
          <w:color w:val="000000"/>
          <w:lang w:eastAsia="pt-BR"/>
        </w:rPr>
        <w:t>Gelmán</w:t>
      </w:r>
      <w:proofErr w:type="spellEnd"/>
      <w:r w:rsidR="001A4FB1" w:rsidRPr="00FB3DF0">
        <w:rPr>
          <w:rFonts w:eastAsia="Times New Roman"/>
          <w:color w:val="000000"/>
          <w:lang w:eastAsia="pt-BR"/>
        </w:rPr>
        <w:t xml:space="preserve"> vs. </w:t>
      </w:r>
      <w:proofErr w:type="spellStart"/>
      <w:r w:rsidR="001A4FB1" w:rsidRPr="00FB3DF0">
        <w:rPr>
          <w:rFonts w:eastAsia="Times New Roman"/>
          <w:color w:val="000000"/>
          <w:lang w:eastAsia="pt-BR"/>
        </w:rPr>
        <w:t>Uruguay</w:t>
      </w:r>
      <w:proofErr w:type="spellEnd"/>
      <w:r w:rsidR="001A4FB1" w:rsidRPr="00FB3DF0">
        <w:rPr>
          <w:rFonts w:eastAsia="Times New Roman"/>
          <w:color w:val="000000"/>
          <w:lang w:eastAsia="pt-BR"/>
        </w:rPr>
        <w:t xml:space="preserve">. </w:t>
      </w:r>
      <w:r w:rsidR="001A4FB1" w:rsidRPr="00FB3DF0">
        <w:rPr>
          <w:rFonts w:eastAsia="Times New Roman"/>
          <w:color w:val="000000"/>
          <w:lang w:val="es-ES" w:eastAsia="pt-BR"/>
        </w:rPr>
        <w:t xml:space="preserve">Supervisión de Cumplimiento de Sentencia. </w:t>
      </w:r>
      <w:r w:rsidR="001A4FB1" w:rsidRPr="00FB3DF0">
        <w:rPr>
          <w:rFonts w:eastAsia="Times New Roman"/>
          <w:color w:val="000000"/>
          <w:lang w:val="es-ES" w:eastAsia="pt-BR"/>
        </w:rPr>
        <w:lastRenderedPageBreak/>
        <w:t xml:space="preserve">San José, 20 de </w:t>
      </w:r>
      <w:proofErr w:type="spellStart"/>
      <w:r w:rsidR="001A4FB1" w:rsidRPr="00FB3DF0">
        <w:rPr>
          <w:rFonts w:eastAsia="Times New Roman"/>
          <w:color w:val="000000"/>
          <w:lang w:val="es-ES" w:eastAsia="pt-BR"/>
        </w:rPr>
        <w:t>março</w:t>
      </w:r>
      <w:proofErr w:type="spellEnd"/>
      <w:r w:rsidR="001A4FB1" w:rsidRPr="00FB3DF0">
        <w:rPr>
          <w:rFonts w:eastAsia="Times New Roman"/>
          <w:color w:val="000000"/>
          <w:lang w:val="es-ES" w:eastAsia="pt-BR"/>
        </w:rPr>
        <w:t xml:space="preserve"> de 2013. </w:t>
      </w:r>
      <w:r w:rsidR="001A4FB1" w:rsidRPr="00FB3DF0">
        <w:rPr>
          <w:rFonts w:eastAsia="Times New Roman"/>
          <w:color w:val="000000"/>
          <w:lang w:eastAsia="pt-BR"/>
        </w:rPr>
        <w:t>Disponível em &lt;</w:t>
      </w:r>
      <w:hyperlink r:id="rId10" w:history="1">
        <w:r w:rsidR="001A4FB1" w:rsidRPr="00FB3DF0">
          <w:rPr>
            <w:rStyle w:val="Hyperlink"/>
            <w:rFonts w:eastAsia="Times New Roman"/>
            <w:lang w:eastAsia="pt-BR"/>
          </w:rPr>
          <w:t>http://www.corteidh.or.cr/docs/supervisiones/gelman_20_03_13.pdf</w:t>
        </w:r>
      </w:hyperlink>
      <w:r w:rsidR="001A4FB1" w:rsidRPr="00FB3DF0">
        <w:rPr>
          <w:rFonts w:eastAsia="Times New Roman"/>
          <w:color w:val="000000"/>
          <w:lang w:eastAsia="pt-BR"/>
        </w:rPr>
        <w:t>&gt;. Acesso em: 04 jan. 2017.</w:t>
      </w:r>
    </w:p>
    <w:p w14:paraId="27F31E22" w14:textId="0FBABFE3" w:rsidR="006F0A10" w:rsidRPr="00FB3DF0" w:rsidRDefault="006F0A10" w:rsidP="006E1290">
      <w:pPr>
        <w:pStyle w:val="Corpodetexto"/>
      </w:pPr>
    </w:p>
    <w:p w14:paraId="6820B61A" w14:textId="77777777" w:rsidR="0083294D" w:rsidRPr="00707F72" w:rsidRDefault="0083294D" w:rsidP="0083294D">
      <w:pPr>
        <w:rPr>
          <w:b/>
          <w:noProof/>
          <w:sz w:val="24"/>
          <w:szCs w:val="24"/>
          <w:lang w:val="pt-BR"/>
        </w:rPr>
      </w:pPr>
      <w:r w:rsidRPr="00FB3DF0">
        <w:rPr>
          <w:noProof/>
          <w:sz w:val="24"/>
          <w:szCs w:val="24"/>
          <w:lang w:val="es-ES"/>
        </w:rPr>
        <w:t>GARCÍA RAMÍREZ, Sergio</w:t>
      </w:r>
      <w:r w:rsidRPr="00FB3DF0">
        <w:rPr>
          <w:i/>
          <w:noProof/>
          <w:sz w:val="24"/>
          <w:szCs w:val="24"/>
          <w:lang w:val="es-ES"/>
        </w:rPr>
        <w:t xml:space="preserve">. </w:t>
      </w:r>
      <w:r w:rsidRPr="00FB3DF0">
        <w:rPr>
          <w:noProof/>
          <w:sz w:val="24"/>
          <w:szCs w:val="24"/>
          <w:lang w:val="es-ES"/>
        </w:rPr>
        <w:t xml:space="preserve">La “Navegación Americana” de los Derechos Humanos: Hacia um </w:t>
      </w:r>
      <w:r w:rsidRPr="00FB3DF0">
        <w:rPr>
          <w:i/>
          <w:noProof/>
          <w:sz w:val="24"/>
          <w:szCs w:val="24"/>
          <w:lang w:val="es-ES"/>
        </w:rPr>
        <w:t>ius commune</w:t>
      </w:r>
      <w:r w:rsidRPr="00FB3DF0">
        <w:rPr>
          <w:noProof/>
          <w:sz w:val="24"/>
          <w:szCs w:val="24"/>
          <w:lang w:val="es-ES"/>
        </w:rPr>
        <w:t xml:space="preserve">. In: FIX-FIERRO, Héctor Felipe; BOGDANDY, Armin von; MORALES ANTONIAZZI, Mariela (coords.). </w:t>
      </w:r>
      <w:r w:rsidRPr="00FB3DF0">
        <w:rPr>
          <w:b/>
          <w:i/>
          <w:noProof/>
          <w:sz w:val="24"/>
          <w:szCs w:val="24"/>
          <w:lang w:val="es-ES"/>
        </w:rPr>
        <w:t>Ius Constitucionale Commune</w:t>
      </w:r>
      <w:r w:rsidRPr="00FB3DF0">
        <w:rPr>
          <w:b/>
          <w:noProof/>
          <w:sz w:val="24"/>
          <w:szCs w:val="24"/>
          <w:lang w:val="es-ES"/>
        </w:rPr>
        <w:t xml:space="preserve"> en América Latina: </w:t>
      </w:r>
      <w:r w:rsidRPr="00FB3DF0">
        <w:rPr>
          <w:noProof/>
          <w:sz w:val="24"/>
          <w:szCs w:val="24"/>
          <w:lang w:val="es-ES"/>
        </w:rPr>
        <w:t>Rasgos, potencialidades y desafíos.</w:t>
      </w:r>
      <w:r w:rsidRPr="00FB3DF0">
        <w:rPr>
          <w:sz w:val="24"/>
          <w:szCs w:val="24"/>
          <w:lang w:val="es-ES"/>
        </w:rPr>
        <w:t xml:space="preserve"> México: Universidad Nacional Autónoma de México; Max-Planck-</w:t>
      </w:r>
      <w:proofErr w:type="spellStart"/>
      <w:r w:rsidRPr="00FB3DF0">
        <w:rPr>
          <w:sz w:val="24"/>
          <w:szCs w:val="24"/>
          <w:lang w:val="es-ES"/>
        </w:rPr>
        <w:t>Institut</w:t>
      </w:r>
      <w:proofErr w:type="spellEnd"/>
      <w:r w:rsidRPr="00FB3DF0">
        <w:rPr>
          <w:sz w:val="24"/>
          <w:szCs w:val="24"/>
          <w:lang w:val="es-ES"/>
        </w:rPr>
        <w:t xml:space="preserve"> </w:t>
      </w:r>
      <w:proofErr w:type="spellStart"/>
      <w:r w:rsidRPr="00FB3DF0">
        <w:rPr>
          <w:sz w:val="24"/>
          <w:szCs w:val="24"/>
          <w:lang w:val="es-ES"/>
        </w:rPr>
        <w:t>für</w:t>
      </w:r>
      <w:proofErr w:type="spellEnd"/>
      <w:r w:rsidRPr="00FB3DF0">
        <w:rPr>
          <w:sz w:val="24"/>
          <w:szCs w:val="24"/>
          <w:lang w:val="es-ES"/>
        </w:rPr>
        <w:t xml:space="preserve"> </w:t>
      </w:r>
      <w:proofErr w:type="spellStart"/>
      <w:r w:rsidRPr="00FB3DF0">
        <w:rPr>
          <w:sz w:val="24"/>
          <w:szCs w:val="24"/>
          <w:lang w:val="es-ES"/>
        </w:rPr>
        <w:t>Ausländisches</w:t>
      </w:r>
      <w:proofErr w:type="spellEnd"/>
      <w:r w:rsidRPr="00FB3DF0">
        <w:rPr>
          <w:sz w:val="24"/>
          <w:szCs w:val="24"/>
          <w:lang w:val="es-ES"/>
        </w:rPr>
        <w:t xml:space="preserve"> </w:t>
      </w:r>
      <w:proofErr w:type="spellStart"/>
      <w:r w:rsidRPr="00FB3DF0">
        <w:rPr>
          <w:sz w:val="24"/>
          <w:szCs w:val="24"/>
          <w:lang w:val="es-ES"/>
        </w:rPr>
        <w:t>Öffentliches</w:t>
      </w:r>
      <w:proofErr w:type="spellEnd"/>
      <w:r w:rsidRPr="00FB3DF0">
        <w:rPr>
          <w:sz w:val="24"/>
          <w:szCs w:val="24"/>
          <w:lang w:val="es-ES"/>
        </w:rPr>
        <w:t xml:space="preserve"> </w:t>
      </w:r>
      <w:proofErr w:type="spellStart"/>
      <w:r w:rsidRPr="00FB3DF0">
        <w:rPr>
          <w:sz w:val="24"/>
          <w:szCs w:val="24"/>
          <w:lang w:val="es-ES"/>
        </w:rPr>
        <w:t>Recht</w:t>
      </w:r>
      <w:proofErr w:type="spellEnd"/>
      <w:r w:rsidRPr="00FB3DF0">
        <w:rPr>
          <w:sz w:val="24"/>
          <w:szCs w:val="24"/>
          <w:lang w:val="es-ES"/>
        </w:rPr>
        <w:t xml:space="preserve"> </w:t>
      </w:r>
      <w:proofErr w:type="spellStart"/>
      <w:r w:rsidRPr="00FB3DF0">
        <w:rPr>
          <w:sz w:val="24"/>
          <w:szCs w:val="24"/>
          <w:lang w:val="es-ES"/>
        </w:rPr>
        <w:t>und</w:t>
      </w:r>
      <w:proofErr w:type="spellEnd"/>
      <w:r w:rsidRPr="00FB3DF0">
        <w:rPr>
          <w:sz w:val="24"/>
          <w:szCs w:val="24"/>
          <w:lang w:val="es-ES"/>
        </w:rPr>
        <w:t xml:space="preserve"> </w:t>
      </w:r>
      <w:proofErr w:type="spellStart"/>
      <w:r w:rsidRPr="00FB3DF0">
        <w:rPr>
          <w:sz w:val="24"/>
          <w:szCs w:val="24"/>
          <w:lang w:val="es-ES"/>
        </w:rPr>
        <w:t>Völkerrecht</w:t>
      </w:r>
      <w:proofErr w:type="spellEnd"/>
      <w:r w:rsidRPr="00FB3DF0">
        <w:rPr>
          <w:sz w:val="24"/>
          <w:szCs w:val="24"/>
          <w:lang w:val="es-ES"/>
        </w:rPr>
        <w:t xml:space="preserve">; Instituto Iberoamericano de Derecho Constitucional. </w:t>
      </w:r>
      <w:r w:rsidRPr="00FB3DF0">
        <w:rPr>
          <w:sz w:val="24"/>
          <w:szCs w:val="24"/>
        </w:rPr>
        <w:t>2014. p.459-500. Disponível em: &lt;</w:t>
      </w:r>
      <w:r w:rsidR="00353390" w:rsidRPr="00FB3DF0">
        <w:fldChar w:fldCharType="begin"/>
      </w:r>
      <w:r w:rsidR="00353390" w:rsidRPr="00FB3DF0">
        <w:rPr>
          <w:sz w:val="24"/>
          <w:szCs w:val="24"/>
        </w:rPr>
        <w:instrText xml:space="preserve"> HYPERLINK "https://archivos.juridicas.unam.mx/www/bjv/libros/8/3655/20.pdf" </w:instrText>
      </w:r>
      <w:r w:rsidR="00353390" w:rsidRPr="00FB3DF0">
        <w:fldChar w:fldCharType="separate"/>
      </w:r>
      <w:r w:rsidRPr="00FB3DF0">
        <w:rPr>
          <w:rStyle w:val="Hyperlink"/>
          <w:sz w:val="24"/>
          <w:szCs w:val="24"/>
        </w:rPr>
        <w:t>https://archivos.juridicas.unam.mx/www/bjv/libros/8/3655/20.pdf</w:t>
      </w:r>
      <w:r w:rsidR="00353390" w:rsidRPr="00FB3DF0">
        <w:rPr>
          <w:rStyle w:val="Hyperlink"/>
          <w:sz w:val="24"/>
          <w:szCs w:val="24"/>
        </w:rPr>
        <w:fldChar w:fldCharType="end"/>
      </w:r>
      <w:r w:rsidRPr="00FB3DF0">
        <w:rPr>
          <w:sz w:val="24"/>
          <w:szCs w:val="24"/>
        </w:rPr>
        <w:t xml:space="preserve">&gt;. </w:t>
      </w:r>
      <w:r w:rsidRPr="00707F72">
        <w:rPr>
          <w:sz w:val="24"/>
          <w:szCs w:val="24"/>
          <w:lang w:val="pt-BR"/>
        </w:rPr>
        <w:t>Acesso em: 04 jan. 2017.</w:t>
      </w:r>
    </w:p>
    <w:p w14:paraId="0A602B21" w14:textId="2663454A" w:rsidR="0083294D" w:rsidRPr="00FB3DF0" w:rsidRDefault="0083294D" w:rsidP="006E1290">
      <w:pPr>
        <w:pStyle w:val="Corpodetexto"/>
      </w:pPr>
    </w:p>
    <w:p w14:paraId="0076BEEA" w14:textId="255DC6A7" w:rsidR="00AA6D40" w:rsidRPr="00FB3DF0" w:rsidRDefault="00AA6D40" w:rsidP="006E1290">
      <w:pPr>
        <w:pStyle w:val="Corpodetexto"/>
      </w:pPr>
      <w:r w:rsidRPr="00FB3DF0">
        <w:t xml:space="preserve">GOMES, Jesus Tupã Silveira. </w:t>
      </w:r>
      <w:r w:rsidRPr="00FB3DF0">
        <w:rPr>
          <w:b/>
          <w:bCs/>
        </w:rPr>
        <w:t>O Controle de Convencionalidade no Poder Judiciário</w:t>
      </w:r>
      <w:r w:rsidRPr="00FB3DF0">
        <w:t>: Da hierarquia normativa ao diálogo com a Corte Interamericana de Direitos Humanos. Curitiba: Juruá, 2018. 176 p.</w:t>
      </w:r>
    </w:p>
    <w:p w14:paraId="5DD8F449" w14:textId="77777777" w:rsidR="00AA6D40" w:rsidRPr="00FB3DF0" w:rsidRDefault="00AA6D40" w:rsidP="006E1290">
      <w:pPr>
        <w:pStyle w:val="Corpodetexto"/>
      </w:pPr>
    </w:p>
    <w:p w14:paraId="069D9A1C" w14:textId="2D20FEE9" w:rsidR="00DD22D9" w:rsidRPr="00FB3DF0" w:rsidRDefault="00DD22D9" w:rsidP="00DD22D9">
      <w:pPr>
        <w:pStyle w:val="refernciasbibliogrficas"/>
      </w:pPr>
      <w:r w:rsidRPr="00FB3DF0">
        <w:t>KELSEN, Hans.</w:t>
      </w:r>
      <w:r w:rsidRPr="00FB3DF0">
        <w:rPr>
          <w:lang w:val="es-ES"/>
        </w:rPr>
        <w:t xml:space="preserve"> La Transformación del Concepto de Soberanía. </w:t>
      </w:r>
      <w:r w:rsidRPr="00FB3DF0">
        <w:rPr>
          <w:b/>
        </w:rPr>
        <w:t>Revista Direito Público</w:t>
      </w:r>
      <w:r w:rsidRPr="00FB3DF0">
        <w:t>. Porto Alegre: Síntese; Brasília: Instituto Brasiliense de Direito Público, v.11, n.58, jul./ago. 2014, p.32-42. Disponível em: &lt;</w:t>
      </w:r>
      <w:hyperlink r:id="rId11" w:history="1">
        <w:r w:rsidRPr="00FB3DF0">
          <w:rPr>
            <w:rStyle w:val="Hyperlink"/>
          </w:rPr>
          <w:t>https://www.portaldeperiodicos.idp.edu.br/direitopublico/article/view/2303/1193</w:t>
        </w:r>
      </w:hyperlink>
      <w:r w:rsidRPr="00FB3DF0">
        <w:t>&gt;. Acesso em 14 maio 2016.</w:t>
      </w:r>
    </w:p>
    <w:p w14:paraId="74CA0E90" w14:textId="77777777" w:rsidR="00DD22D9" w:rsidRPr="00FB3DF0" w:rsidRDefault="00DD22D9" w:rsidP="006E1290">
      <w:pPr>
        <w:pStyle w:val="Corpodetexto"/>
      </w:pPr>
    </w:p>
    <w:p w14:paraId="4965F97B" w14:textId="420C8152" w:rsidR="0083294D" w:rsidRPr="00FB3DF0" w:rsidRDefault="001903A0" w:rsidP="006E1290">
      <w:pPr>
        <w:pStyle w:val="Corpodetexto"/>
      </w:pPr>
      <w:r w:rsidRPr="00FB3DF0">
        <w:t xml:space="preserve">MAZZUOLI, Valerio de Oliveira. </w:t>
      </w:r>
      <w:r w:rsidRPr="00FB3DF0">
        <w:rPr>
          <w:b/>
        </w:rPr>
        <w:t>O Controle Jurisdicional da Convencionalidade das Leis</w:t>
      </w:r>
      <w:r w:rsidRPr="00FB3DF0">
        <w:rPr>
          <w:i/>
        </w:rPr>
        <w:t xml:space="preserve">. </w:t>
      </w:r>
      <w:r w:rsidRPr="00FB3DF0">
        <w:rPr>
          <w:color w:val="000000"/>
          <w:lang w:eastAsia="pt-BR"/>
        </w:rPr>
        <w:t>4ed. rev., atual. e ampl. São Paulo: Revista dos Tribunais, 2016.</w:t>
      </w:r>
      <w:r w:rsidRPr="00FB3DF0">
        <w:t xml:space="preserve"> 236p.</w:t>
      </w:r>
    </w:p>
    <w:p w14:paraId="00FE8527" w14:textId="77777777" w:rsidR="001903A0" w:rsidRPr="00FB3DF0" w:rsidRDefault="001903A0" w:rsidP="006E1290">
      <w:pPr>
        <w:pStyle w:val="Corpodetexto"/>
      </w:pPr>
    </w:p>
    <w:p w14:paraId="7CA39748" w14:textId="77777777" w:rsidR="00AD5781" w:rsidRPr="00FB3DF0" w:rsidRDefault="00AD5781" w:rsidP="00AD5781">
      <w:pPr>
        <w:adjustRightInd w:val="0"/>
        <w:rPr>
          <w:sz w:val="24"/>
          <w:szCs w:val="24"/>
        </w:rPr>
      </w:pPr>
      <w:r w:rsidRPr="00FB3DF0">
        <w:rPr>
          <w:sz w:val="24"/>
          <w:szCs w:val="24"/>
        </w:rPr>
        <w:t xml:space="preserve">MENDES, Gilmar Ferreira; BRANCO, Paulo Gustavo Gonet. </w:t>
      </w:r>
      <w:r w:rsidRPr="00FB3DF0">
        <w:rPr>
          <w:b/>
          <w:sz w:val="24"/>
          <w:szCs w:val="24"/>
        </w:rPr>
        <w:t>Curso de Direito Constitucional</w:t>
      </w:r>
      <w:r w:rsidRPr="00FB3DF0">
        <w:rPr>
          <w:sz w:val="24"/>
          <w:szCs w:val="24"/>
        </w:rPr>
        <w:t>. 10ed. rev. e atual. São Paulo: Saraiva, 2015. 1470p.</w:t>
      </w:r>
    </w:p>
    <w:p w14:paraId="60B40FA9" w14:textId="77777777" w:rsidR="00AD5781" w:rsidRPr="00FB3DF0" w:rsidRDefault="00AD5781" w:rsidP="00382AC2">
      <w:pPr>
        <w:rPr>
          <w:color w:val="000000"/>
          <w:sz w:val="24"/>
          <w:szCs w:val="24"/>
          <w:lang w:eastAsia="pt-BR"/>
        </w:rPr>
      </w:pPr>
    </w:p>
    <w:p w14:paraId="14452E67" w14:textId="522B42F2" w:rsidR="00382AC2" w:rsidRPr="00FB3DF0" w:rsidRDefault="00382AC2" w:rsidP="00382AC2">
      <w:pPr>
        <w:rPr>
          <w:color w:val="000000"/>
          <w:sz w:val="24"/>
          <w:szCs w:val="24"/>
          <w:lang w:val="es-ES" w:eastAsia="pt-BR"/>
        </w:rPr>
      </w:pPr>
      <w:r w:rsidRPr="00FB3DF0">
        <w:rPr>
          <w:color w:val="000000"/>
          <w:sz w:val="24"/>
          <w:szCs w:val="24"/>
          <w:lang w:eastAsia="pt-BR"/>
        </w:rPr>
        <w:t xml:space="preserve">MITIDIERO, Daniel. </w:t>
      </w:r>
      <w:r w:rsidRPr="00FB3DF0">
        <w:rPr>
          <w:b/>
          <w:color w:val="000000"/>
          <w:sz w:val="24"/>
          <w:szCs w:val="24"/>
          <w:lang w:eastAsia="pt-BR"/>
        </w:rPr>
        <w:t>Cortes Superiores e Cortes Supremas</w:t>
      </w:r>
      <w:r w:rsidRPr="00FB3DF0">
        <w:rPr>
          <w:color w:val="000000"/>
          <w:sz w:val="24"/>
          <w:szCs w:val="24"/>
          <w:lang w:eastAsia="pt-BR"/>
        </w:rPr>
        <w:t xml:space="preserve"> [livro eletrônico]. </w:t>
      </w:r>
      <w:r w:rsidRPr="00FB3DF0">
        <w:rPr>
          <w:color w:val="000000"/>
          <w:sz w:val="24"/>
          <w:szCs w:val="24"/>
          <w:lang w:val="es-ES" w:eastAsia="pt-BR"/>
        </w:rPr>
        <w:t>2ed. São Paulo: Saraiva, 2017.</w:t>
      </w:r>
    </w:p>
    <w:p w14:paraId="3D11E901" w14:textId="77777777" w:rsidR="00382AC2" w:rsidRPr="00FB3DF0" w:rsidRDefault="00382AC2" w:rsidP="00382AC2">
      <w:pPr>
        <w:pStyle w:val="Corpodetexto"/>
      </w:pPr>
    </w:p>
    <w:p w14:paraId="54EAA052" w14:textId="77777777" w:rsidR="0071237E" w:rsidRPr="00FB3DF0" w:rsidRDefault="0071237E" w:rsidP="0071237E">
      <w:pPr>
        <w:rPr>
          <w:sz w:val="24"/>
          <w:szCs w:val="24"/>
          <w:shd w:val="clear" w:color="auto" w:fill="FFFFFF"/>
        </w:rPr>
      </w:pPr>
      <w:r w:rsidRPr="00FB3DF0">
        <w:rPr>
          <w:sz w:val="24"/>
          <w:szCs w:val="24"/>
          <w:shd w:val="clear" w:color="auto" w:fill="FFFFFF"/>
          <w:lang w:val="es-ES"/>
        </w:rPr>
        <w:t xml:space="preserve">MORALES ANTONIAZZI, Mariela. </w:t>
      </w:r>
      <w:r w:rsidRPr="00FB3DF0">
        <w:rPr>
          <w:i/>
          <w:sz w:val="24"/>
          <w:szCs w:val="24"/>
          <w:shd w:val="clear" w:color="auto" w:fill="FFFFFF"/>
          <w:lang w:val="es-ES"/>
        </w:rPr>
        <w:t>El Nuevo Paradigma de la Apertura de los Órdenes Constitucionales: Una perspectiva sudamericana</w:t>
      </w:r>
      <w:r w:rsidRPr="00FB3DF0">
        <w:rPr>
          <w:sz w:val="24"/>
          <w:szCs w:val="24"/>
          <w:shd w:val="clear" w:color="auto" w:fill="FFFFFF"/>
          <w:lang w:val="es-ES"/>
        </w:rPr>
        <w:t xml:space="preserve">. In: BOGDANDY, Armin 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von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; SERNA DE LA GARZA, José 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Maria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 (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Org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.). </w:t>
      </w:r>
      <w:r w:rsidRPr="00FB3DF0">
        <w:rPr>
          <w:rStyle w:val="Forte"/>
          <w:i/>
          <w:sz w:val="24"/>
          <w:szCs w:val="24"/>
          <w:shd w:val="clear" w:color="auto" w:fill="FFFFFF"/>
          <w:lang w:val="es-ES"/>
        </w:rPr>
        <w:t xml:space="preserve">Soberanía y Estado Abierto en América Latina y Europa. </w:t>
      </w:r>
      <w:r w:rsidRPr="00FB3DF0">
        <w:rPr>
          <w:sz w:val="24"/>
          <w:szCs w:val="24"/>
          <w:shd w:val="clear" w:color="auto" w:fill="FFFFFF"/>
          <w:lang w:val="es-ES"/>
        </w:rPr>
        <w:t xml:space="preserve">México: Instituto Iberoamericano de Derecho Constitucional; Max Planck 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Institut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Für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Ausländisches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Öffentliches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Recht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Und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FB3DF0">
        <w:rPr>
          <w:sz w:val="24"/>
          <w:szCs w:val="24"/>
          <w:shd w:val="clear" w:color="auto" w:fill="FFFFFF"/>
          <w:lang w:val="es-ES"/>
        </w:rPr>
        <w:t>Völkerrecht</w:t>
      </w:r>
      <w:proofErr w:type="spellEnd"/>
      <w:r w:rsidRPr="00FB3DF0">
        <w:rPr>
          <w:sz w:val="24"/>
          <w:szCs w:val="24"/>
          <w:shd w:val="clear" w:color="auto" w:fill="FFFFFF"/>
          <w:lang w:val="es-ES"/>
        </w:rPr>
        <w:t xml:space="preserve">; Universidad Nacional Autónoma de México, 2014. p. 233-282. </w:t>
      </w:r>
      <w:r w:rsidRPr="00FB3DF0">
        <w:rPr>
          <w:sz w:val="24"/>
          <w:szCs w:val="24"/>
          <w:shd w:val="clear" w:color="auto" w:fill="FFFFFF"/>
        </w:rPr>
        <w:t>Disponível em: &lt;</w:t>
      </w:r>
      <w:hyperlink r:id="rId12" w:history="1">
        <w:r w:rsidRPr="00FB3DF0">
          <w:rPr>
            <w:rStyle w:val="Hyperlink"/>
            <w:sz w:val="24"/>
            <w:szCs w:val="24"/>
            <w:shd w:val="clear" w:color="auto" w:fill="FFFFFF"/>
          </w:rPr>
          <w:t>https://biblio.juridicas.unam.mx/bjv/detalle-libro/3705-soberania-y-estado-abierto-en-america-latina-y-europa</w:t>
        </w:r>
      </w:hyperlink>
      <w:r w:rsidRPr="00FB3DF0">
        <w:rPr>
          <w:sz w:val="24"/>
          <w:szCs w:val="24"/>
          <w:shd w:val="clear" w:color="auto" w:fill="FFFFFF"/>
        </w:rPr>
        <w:t>&gt;. Acesso em: 02 jan.2017.</w:t>
      </w:r>
    </w:p>
    <w:p w14:paraId="2F32AFD0" w14:textId="1B7BB631" w:rsidR="006E1290" w:rsidRPr="00FB3DF0" w:rsidRDefault="006E1290" w:rsidP="006E1290">
      <w:pPr>
        <w:pStyle w:val="Corpodetexto"/>
      </w:pPr>
    </w:p>
    <w:p w14:paraId="7A894B99" w14:textId="7DF3206F" w:rsidR="00A5598B" w:rsidRPr="00FB3DF0" w:rsidRDefault="00A5598B" w:rsidP="00FB3DF0">
      <w:pPr>
        <w:rPr>
          <w:sz w:val="24"/>
          <w:szCs w:val="24"/>
        </w:rPr>
      </w:pPr>
      <w:r w:rsidRPr="00FB3DF0">
        <w:rPr>
          <w:color w:val="000000"/>
          <w:sz w:val="24"/>
          <w:szCs w:val="24"/>
          <w:lang w:eastAsia="pt-BR"/>
        </w:rPr>
        <w:t xml:space="preserve">TRINDADE, Antônio Augusto Cançado. O Sistema Interamericano de Direitos Humanos no Limiar do Novo Século: Recomendações para o fortalecimento de seu mecanismo de proteção. In: GOMES, Luiz Flávio; PIOVESAN, Flávia (coord.). </w:t>
      </w:r>
      <w:r w:rsidRPr="00FB3DF0">
        <w:rPr>
          <w:b/>
          <w:bCs/>
          <w:color w:val="000000"/>
          <w:sz w:val="24"/>
          <w:szCs w:val="24"/>
          <w:lang w:eastAsia="pt-BR"/>
        </w:rPr>
        <w:t>O Sistema Interamericano de Proteção dos Direitos Humanos e o Direito Brasileiro</w:t>
      </w:r>
      <w:r w:rsidRPr="00FB3DF0">
        <w:rPr>
          <w:i/>
          <w:color w:val="000000"/>
          <w:sz w:val="24"/>
          <w:szCs w:val="24"/>
          <w:lang w:eastAsia="pt-BR"/>
        </w:rPr>
        <w:t>.</w:t>
      </w:r>
      <w:r w:rsidRPr="00FB3DF0">
        <w:rPr>
          <w:color w:val="000000"/>
          <w:sz w:val="24"/>
          <w:szCs w:val="24"/>
          <w:lang w:eastAsia="pt-BR"/>
        </w:rPr>
        <w:t xml:space="preserve"> São Paulo: Revista dos Tribunais, 2000. p.103-151.</w:t>
      </w:r>
    </w:p>
    <w:sectPr w:rsidR="00A5598B" w:rsidRPr="00FB3DF0" w:rsidSect="00D93CBC">
      <w:headerReference w:type="default" r:id="rId13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A78F9" w14:textId="77777777" w:rsidR="009B6385" w:rsidRDefault="009B6385" w:rsidP="006E1290">
      <w:r>
        <w:separator/>
      </w:r>
    </w:p>
  </w:endnote>
  <w:endnote w:type="continuationSeparator" w:id="0">
    <w:p w14:paraId="67E82B9A" w14:textId="77777777" w:rsidR="009B6385" w:rsidRDefault="009B6385" w:rsidP="006E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F0502" w14:textId="77777777" w:rsidR="009B6385" w:rsidRDefault="009B6385" w:rsidP="006E1290">
      <w:r>
        <w:separator/>
      </w:r>
    </w:p>
  </w:footnote>
  <w:footnote w:type="continuationSeparator" w:id="0">
    <w:p w14:paraId="5ACA4641" w14:textId="77777777" w:rsidR="009B6385" w:rsidRDefault="009B6385" w:rsidP="006E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B4175" w14:textId="29EF4299" w:rsidR="006E1290" w:rsidRDefault="006E1290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5ADAAFE3" wp14:editId="50C93EE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0753" cy="1270634"/>
          <wp:effectExtent l="0" t="0" r="3175" b="635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0753" cy="1270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90"/>
    <w:rsid w:val="000150D0"/>
    <w:rsid w:val="00036055"/>
    <w:rsid w:val="00047DFA"/>
    <w:rsid w:val="000A4197"/>
    <w:rsid w:val="00105C52"/>
    <w:rsid w:val="0013546C"/>
    <w:rsid w:val="001362CF"/>
    <w:rsid w:val="00154A2D"/>
    <w:rsid w:val="001903A0"/>
    <w:rsid w:val="001A4FB1"/>
    <w:rsid w:val="001B094A"/>
    <w:rsid w:val="001B4069"/>
    <w:rsid w:val="001D2B99"/>
    <w:rsid w:val="00212F16"/>
    <w:rsid w:val="00214F55"/>
    <w:rsid w:val="002173A6"/>
    <w:rsid w:val="00254286"/>
    <w:rsid w:val="00263E4D"/>
    <w:rsid w:val="0027571B"/>
    <w:rsid w:val="00286439"/>
    <w:rsid w:val="002C4E66"/>
    <w:rsid w:val="002C5968"/>
    <w:rsid w:val="002E7204"/>
    <w:rsid w:val="003142A8"/>
    <w:rsid w:val="00321430"/>
    <w:rsid w:val="00353390"/>
    <w:rsid w:val="00364021"/>
    <w:rsid w:val="00382AC2"/>
    <w:rsid w:val="003C6B1D"/>
    <w:rsid w:val="003D2E74"/>
    <w:rsid w:val="003F4489"/>
    <w:rsid w:val="003F6E40"/>
    <w:rsid w:val="00411670"/>
    <w:rsid w:val="00475F57"/>
    <w:rsid w:val="00494934"/>
    <w:rsid w:val="004A2380"/>
    <w:rsid w:val="004A5FB8"/>
    <w:rsid w:val="004E3EBD"/>
    <w:rsid w:val="004F0CB1"/>
    <w:rsid w:val="004F4AF9"/>
    <w:rsid w:val="00506892"/>
    <w:rsid w:val="005068FE"/>
    <w:rsid w:val="00510524"/>
    <w:rsid w:val="00517522"/>
    <w:rsid w:val="005347EA"/>
    <w:rsid w:val="00567A0A"/>
    <w:rsid w:val="00595FD5"/>
    <w:rsid w:val="005B33F8"/>
    <w:rsid w:val="005B47BB"/>
    <w:rsid w:val="006319D1"/>
    <w:rsid w:val="0065351D"/>
    <w:rsid w:val="00656CDF"/>
    <w:rsid w:val="006A59B1"/>
    <w:rsid w:val="006C3E93"/>
    <w:rsid w:val="006E1290"/>
    <w:rsid w:val="006E3578"/>
    <w:rsid w:val="006F0A10"/>
    <w:rsid w:val="00706149"/>
    <w:rsid w:val="00707F72"/>
    <w:rsid w:val="0071237E"/>
    <w:rsid w:val="00747019"/>
    <w:rsid w:val="007A1EC9"/>
    <w:rsid w:val="007D40A0"/>
    <w:rsid w:val="008019DE"/>
    <w:rsid w:val="008242C5"/>
    <w:rsid w:val="0083294D"/>
    <w:rsid w:val="00846D0E"/>
    <w:rsid w:val="00865DC2"/>
    <w:rsid w:val="00883DEA"/>
    <w:rsid w:val="008870DF"/>
    <w:rsid w:val="008A494B"/>
    <w:rsid w:val="008C1D69"/>
    <w:rsid w:val="008D0BAA"/>
    <w:rsid w:val="00900A3C"/>
    <w:rsid w:val="00957314"/>
    <w:rsid w:val="00981117"/>
    <w:rsid w:val="009A21EE"/>
    <w:rsid w:val="009B6385"/>
    <w:rsid w:val="009C05BE"/>
    <w:rsid w:val="009E237F"/>
    <w:rsid w:val="00A050A8"/>
    <w:rsid w:val="00A5598B"/>
    <w:rsid w:val="00A66F40"/>
    <w:rsid w:val="00AA6D40"/>
    <w:rsid w:val="00AD5781"/>
    <w:rsid w:val="00B010F1"/>
    <w:rsid w:val="00B47052"/>
    <w:rsid w:val="00B85C3C"/>
    <w:rsid w:val="00B90FD1"/>
    <w:rsid w:val="00BF541D"/>
    <w:rsid w:val="00C16B4C"/>
    <w:rsid w:val="00C40DCE"/>
    <w:rsid w:val="00C41308"/>
    <w:rsid w:val="00C451BF"/>
    <w:rsid w:val="00C82136"/>
    <w:rsid w:val="00CA1673"/>
    <w:rsid w:val="00CB5493"/>
    <w:rsid w:val="00CB772A"/>
    <w:rsid w:val="00D10180"/>
    <w:rsid w:val="00D17143"/>
    <w:rsid w:val="00D203D5"/>
    <w:rsid w:val="00D55BB4"/>
    <w:rsid w:val="00D55EA1"/>
    <w:rsid w:val="00D93CBC"/>
    <w:rsid w:val="00DB6596"/>
    <w:rsid w:val="00DD22D9"/>
    <w:rsid w:val="00DE7401"/>
    <w:rsid w:val="00E15607"/>
    <w:rsid w:val="00E239BC"/>
    <w:rsid w:val="00E26DA4"/>
    <w:rsid w:val="00E51638"/>
    <w:rsid w:val="00E53155"/>
    <w:rsid w:val="00E55DE7"/>
    <w:rsid w:val="00E903C8"/>
    <w:rsid w:val="00E908AF"/>
    <w:rsid w:val="00ED282B"/>
    <w:rsid w:val="00F37003"/>
    <w:rsid w:val="00F644EA"/>
    <w:rsid w:val="00F660D3"/>
    <w:rsid w:val="00F74119"/>
    <w:rsid w:val="00FB3DF0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AF4E"/>
  <w15:chartTrackingRefBased/>
  <w15:docId w15:val="{1AF26F9C-0643-4AFA-A6B6-172318C6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E1290"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129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E129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E129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notaderodap">
    <w:name w:val="footnote text"/>
    <w:aliases w:val="Footnote Text Char Char Char Char Char,Footnote Text Char Char Char Char,Footnote reference,FA Fu,Footnote Text Char Char Char,Footnote Text Cha,FA Fußnotentext,FA Fuﬂnotentext,Texto nota pie Car,Footnote Text Char Char,Ca"/>
    <w:basedOn w:val="Normal"/>
    <w:link w:val="TextodenotaderodapChar"/>
    <w:unhideWhenUsed/>
    <w:rsid w:val="006E1290"/>
    <w:rPr>
      <w:sz w:val="20"/>
      <w:szCs w:val="20"/>
    </w:rPr>
  </w:style>
  <w:style w:type="character" w:customStyle="1" w:styleId="TextodenotaderodapChar">
    <w:name w:val="Texto de nota de rodapé Char"/>
    <w:aliases w:val="Footnote Text Char Char Char Char Char Char,Footnote Text Char Char Char Char Char1,Footnote reference Char,FA Fu Char,Footnote Text Char Char Char Char1,Footnote Text Cha Char,FA Fußnotentext Char,FA Fuﬂnotentext Char"/>
    <w:basedOn w:val="Fontepargpadro"/>
    <w:link w:val="Textodenotaderodap"/>
    <w:rsid w:val="006E1290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E129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E1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2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1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29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E12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1290"/>
    <w:rPr>
      <w:color w:val="605E5C"/>
      <w:shd w:val="clear" w:color="auto" w:fill="E1DFDD"/>
    </w:rPr>
  </w:style>
  <w:style w:type="paragraph" w:customStyle="1" w:styleId="refernciasbibliogrficas">
    <w:name w:val="referências bibliográficas"/>
    <w:basedOn w:val="Normal"/>
    <w:uiPriority w:val="99"/>
    <w:qFormat/>
    <w:rsid w:val="001A4FB1"/>
    <w:pPr>
      <w:widowControl/>
      <w:adjustRightInd w:val="0"/>
    </w:pPr>
    <w:rPr>
      <w:rFonts w:eastAsia="Calibri"/>
      <w:sz w:val="24"/>
      <w:szCs w:val="24"/>
      <w:lang w:val="pt-BR"/>
    </w:rPr>
  </w:style>
  <w:style w:type="character" w:styleId="Forte">
    <w:name w:val="Strong"/>
    <w:uiPriority w:val="22"/>
    <w:qFormat/>
    <w:rsid w:val="00712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compilado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chivos.juridicas.unam.mx/www/bjv/libros/8/3655/4.pdf" TargetMode="External"/><Relationship Id="rId12" Type="http://schemas.openxmlformats.org/officeDocument/2006/relationships/hyperlink" Target="https://biblio.juridicas.unam.mx/bjv/detalle-libro/3705-soberania-y-estado-abierto-en-america-latina-y-europ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rtaldeperiodicos.idp.edu.br/direitopublico/article/view/2303/119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rteidh.or.cr/docs/supervisiones/gelman_20_03_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7-2010/2009/decreto/d7030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899E-FA65-4FEC-B32F-256B4F98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11020</Characters>
  <Application>Microsoft Office Word</Application>
  <DocSecurity>0</DocSecurity>
  <Lines>91</Lines>
  <Paragraphs>26</Paragraphs>
  <ScaleCrop>false</ScaleCrop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Gomes</dc:creator>
  <cp:keywords/>
  <dc:description/>
  <cp:lastModifiedBy>angélica santos</cp:lastModifiedBy>
  <cp:revision>2</cp:revision>
  <dcterms:created xsi:type="dcterms:W3CDTF">2020-11-17T03:39:00Z</dcterms:created>
  <dcterms:modified xsi:type="dcterms:W3CDTF">2020-11-17T03:39:00Z</dcterms:modified>
</cp:coreProperties>
</file>