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0EEF8385" w:rsidR="00C802EF" w:rsidRDefault="00A91177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PADRÕES </w:t>
      </w:r>
      <w:r w:rsidR="008F14DE">
        <w:rPr>
          <w:b/>
          <w:sz w:val="24"/>
          <w:szCs w:val="24"/>
        </w:rPr>
        <w:t>DINÂMICOS</w:t>
      </w:r>
      <w:r>
        <w:rPr>
          <w:b/>
          <w:sz w:val="24"/>
          <w:szCs w:val="24"/>
        </w:rPr>
        <w:t xml:space="preserve"> DE DUAS COMUN</w:t>
      </w:r>
      <w:r w:rsidR="0091542B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DADES COM DIFERENTES HISTÓRICOS DE USO E CONSERVAÇÃO NO SERTÃO PERNAMBUCANO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D41FAEF" w14:textId="6E17D1AF" w:rsidR="00C802EF" w:rsidRPr="00570109" w:rsidRDefault="00C67ED7">
      <w:pPr>
        <w:spacing w:line="276" w:lineRule="auto"/>
        <w:ind w:left="221" w:right="214"/>
        <w:jc w:val="center"/>
        <w:rPr>
          <w:b/>
          <w:sz w:val="20"/>
          <w:szCs w:val="20"/>
          <w:vertAlign w:val="superscript"/>
        </w:rPr>
      </w:pPr>
      <w:r>
        <w:rPr>
          <w:b/>
          <w:sz w:val="20"/>
          <w:szCs w:val="20"/>
        </w:rPr>
        <w:t>Alex Nascimento de Sousa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 xml:space="preserve">, </w:t>
      </w:r>
      <w:r w:rsidR="00570109">
        <w:rPr>
          <w:b/>
          <w:sz w:val="20"/>
          <w:szCs w:val="20"/>
        </w:rPr>
        <w:t>Rinaldo Lui</w:t>
      </w:r>
      <w:r w:rsidR="00F9324D">
        <w:rPr>
          <w:b/>
          <w:sz w:val="20"/>
          <w:szCs w:val="20"/>
        </w:rPr>
        <w:t>z</w:t>
      </w:r>
      <w:r w:rsidR="00570109">
        <w:rPr>
          <w:b/>
          <w:sz w:val="20"/>
          <w:szCs w:val="20"/>
        </w:rPr>
        <w:t xml:space="preserve"> Caraciolo Ferreira</w:t>
      </w:r>
      <w:r w:rsidR="00527C3D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="00570109">
        <w:rPr>
          <w:b/>
          <w:sz w:val="20"/>
          <w:szCs w:val="20"/>
        </w:rPr>
        <w:t>Elisiane Alba</w:t>
      </w:r>
      <w:r w:rsidR="00527C3D">
        <w:rPr>
          <w:b/>
          <w:sz w:val="20"/>
          <w:szCs w:val="20"/>
          <w:vertAlign w:val="superscript"/>
        </w:rPr>
        <w:t>1</w:t>
      </w:r>
      <w:r w:rsidR="00570109">
        <w:rPr>
          <w:b/>
          <w:sz w:val="20"/>
          <w:szCs w:val="20"/>
        </w:rPr>
        <w:t xml:space="preserve">, José </w:t>
      </w:r>
      <w:r w:rsidR="00373D5E">
        <w:rPr>
          <w:b/>
          <w:sz w:val="20"/>
          <w:szCs w:val="20"/>
        </w:rPr>
        <w:t>Antônio</w:t>
      </w:r>
      <w:r w:rsidR="00570109">
        <w:rPr>
          <w:b/>
          <w:sz w:val="20"/>
          <w:szCs w:val="20"/>
        </w:rPr>
        <w:t xml:space="preserve"> Aleixo da Silva</w:t>
      </w:r>
      <w:r w:rsidR="00527C3D">
        <w:rPr>
          <w:b/>
          <w:sz w:val="20"/>
          <w:szCs w:val="20"/>
          <w:vertAlign w:val="superscript"/>
        </w:rPr>
        <w:t>1</w:t>
      </w:r>
      <w:r w:rsidR="00570109">
        <w:rPr>
          <w:b/>
          <w:sz w:val="20"/>
          <w:szCs w:val="20"/>
        </w:rPr>
        <w:t>, Maria Beatriz Ferreira</w:t>
      </w:r>
      <w:r w:rsidR="00527C3D">
        <w:rPr>
          <w:b/>
          <w:sz w:val="20"/>
          <w:szCs w:val="20"/>
          <w:vertAlign w:val="superscript"/>
        </w:rPr>
        <w:t>1</w:t>
      </w:r>
      <w:r w:rsidR="00570109">
        <w:rPr>
          <w:b/>
          <w:sz w:val="20"/>
          <w:szCs w:val="20"/>
        </w:rPr>
        <w:t>, Ricardo Cordeiro Lima</w:t>
      </w:r>
      <w:r w:rsidR="00527C3D">
        <w:rPr>
          <w:b/>
          <w:sz w:val="20"/>
          <w:szCs w:val="20"/>
          <w:vertAlign w:val="superscript"/>
        </w:rPr>
        <w:t>1</w:t>
      </w:r>
      <w:r w:rsidR="00570109">
        <w:rPr>
          <w:b/>
          <w:sz w:val="20"/>
          <w:szCs w:val="20"/>
        </w:rPr>
        <w:t>, Larissa Maria Lopes Santana</w:t>
      </w:r>
      <w:r w:rsidR="00527C3D">
        <w:rPr>
          <w:b/>
          <w:sz w:val="20"/>
          <w:szCs w:val="20"/>
          <w:vertAlign w:val="superscript"/>
        </w:rPr>
        <w:t>1</w:t>
      </w:r>
      <w:r w:rsidR="00570109">
        <w:rPr>
          <w:b/>
          <w:sz w:val="20"/>
          <w:szCs w:val="20"/>
        </w:rPr>
        <w:t>, Sarah Aylana de Lima Almeida</w:t>
      </w:r>
      <w:r w:rsidR="00527C3D">
        <w:rPr>
          <w:b/>
          <w:sz w:val="20"/>
          <w:szCs w:val="20"/>
          <w:vertAlign w:val="superscript"/>
        </w:rPr>
        <w:t>1</w:t>
      </w:r>
      <w:r w:rsidR="00570109">
        <w:rPr>
          <w:b/>
          <w:sz w:val="20"/>
          <w:szCs w:val="20"/>
        </w:rPr>
        <w:t>, Tatiana Vitória Firmina de Almeida</w:t>
      </w:r>
      <w:r w:rsidR="00527C3D">
        <w:rPr>
          <w:b/>
          <w:sz w:val="20"/>
          <w:szCs w:val="20"/>
          <w:vertAlign w:val="superscript"/>
        </w:rPr>
        <w:t>1</w:t>
      </w:r>
      <w:r w:rsidR="00570109">
        <w:rPr>
          <w:b/>
          <w:sz w:val="20"/>
          <w:szCs w:val="20"/>
        </w:rPr>
        <w:t>, Aída Xavier de Lima</w:t>
      </w:r>
      <w:r w:rsidR="00527C3D">
        <w:rPr>
          <w:b/>
          <w:sz w:val="20"/>
          <w:szCs w:val="20"/>
          <w:vertAlign w:val="superscript"/>
        </w:rPr>
        <w:t>1</w:t>
      </w:r>
    </w:p>
    <w:p w14:paraId="4744856E" w14:textId="13CD6AF6" w:rsidR="00C802EF" w:rsidRDefault="00570109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Rural de Pernambuco</w:t>
      </w:r>
      <w:r>
        <w:rPr>
          <w:sz w:val="20"/>
          <w:szCs w:val="20"/>
          <w:vertAlign w:val="superscript"/>
        </w:rPr>
        <w:t>1</w:t>
      </w:r>
    </w:p>
    <w:p w14:paraId="2ABFA84D" w14:textId="070D3508" w:rsidR="00C802EF" w:rsidRDefault="0097758F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>*</w:t>
      </w:r>
      <w:r w:rsidR="00570109">
        <w:rPr>
          <w:sz w:val="20"/>
          <w:szCs w:val="20"/>
        </w:rPr>
        <w:t>alexndsousa@gmail.com</w:t>
      </w:r>
      <w:r>
        <w:rPr>
          <w:sz w:val="20"/>
          <w:szCs w:val="20"/>
        </w:rPr>
        <w:t>.</w:t>
      </w:r>
    </w:p>
    <w:p w14:paraId="15A85590" w14:textId="77777777" w:rsidR="00C802EF" w:rsidRDefault="0097758F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3F28E9A9" w14:textId="39EBF0AF" w:rsidR="00C802EF" w:rsidRDefault="0097758F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07285671" w14:textId="337E84A4" w:rsidR="00EF0BF6" w:rsidRPr="00EF0BF6" w:rsidRDefault="00EF0BF6" w:rsidP="00EF0BF6">
      <w:pPr>
        <w:widowControl/>
        <w:jc w:val="both"/>
        <w:rPr>
          <w:sz w:val="20"/>
          <w:szCs w:val="20"/>
        </w:rPr>
      </w:pPr>
      <w:r w:rsidRPr="00EF0BF6">
        <w:rPr>
          <w:sz w:val="20"/>
          <w:szCs w:val="20"/>
        </w:rPr>
        <w:t xml:space="preserve">O presente estudo teve como objetivo analisar os padrões de resposta dinâmica de duas comunidades arbustivo-arbóreas da Caatinga, localizadas no Sertão </w:t>
      </w:r>
      <w:r w:rsidR="00462C42">
        <w:rPr>
          <w:sz w:val="20"/>
          <w:szCs w:val="20"/>
        </w:rPr>
        <w:t>p</w:t>
      </w:r>
      <w:r w:rsidRPr="00EF0BF6">
        <w:rPr>
          <w:sz w:val="20"/>
          <w:szCs w:val="20"/>
        </w:rPr>
        <w:t>ernambucano, sob diferentes históricos de uso e conservação, entre 2008 e 2024. Os dados foram coletados por meio de parcelas permanentes, totalizando 80 unidades amostrais de 400 m²</w:t>
      </w:r>
      <w:r w:rsidR="006A0390">
        <w:rPr>
          <w:sz w:val="20"/>
          <w:szCs w:val="20"/>
        </w:rPr>
        <w:t xml:space="preserve"> (40 para c</w:t>
      </w:r>
      <w:r w:rsidR="00FD75EC">
        <w:rPr>
          <w:sz w:val="20"/>
          <w:szCs w:val="20"/>
        </w:rPr>
        <w:t>a</w:t>
      </w:r>
      <w:r w:rsidR="006A0390">
        <w:rPr>
          <w:sz w:val="20"/>
          <w:szCs w:val="20"/>
        </w:rPr>
        <w:t>da área)</w:t>
      </w:r>
      <w:r w:rsidRPr="00EF0BF6">
        <w:rPr>
          <w:sz w:val="20"/>
          <w:szCs w:val="20"/>
        </w:rPr>
        <w:t>, com monitoramento dos indivíduos vivos, mortos e recrutados em cinco c</w:t>
      </w:r>
      <w:r w:rsidR="006A0390">
        <w:rPr>
          <w:sz w:val="20"/>
          <w:szCs w:val="20"/>
        </w:rPr>
        <w:t>oletas</w:t>
      </w:r>
      <w:r w:rsidRPr="00EF0BF6">
        <w:rPr>
          <w:sz w:val="20"/>
          <w:szCs w:val="20"/>
        </w:rPr>
        <w:t xml:space="preserve"> ao longo do período. Foram calculadas as taxas anuais de mortalidade (M), recrutamento (R), mudança líquida no número de indivíduos (ChN) e rotatividade (TN). </w:t>
      </w:r>
      <w:r w:rsidR="0062100D">
        <w:rPr>
          <w:sz w:val="20"/>
          <w:szCs w:val="20"/>
        </w:rPr>
        <w:t>A Análise de Componentes Principais</w:t>
      </w:r>
      <w:r w:rsidRPr="00EF0BF6">
        <w:rPr>
          <w:sz w:val="20"/>
          <w:szCs w:val="20"/>
        </w:rPr>
        <w:t xml:space="preserve"> (PCA) permiti</w:t>
      </w:r>
      <w:r w:rsidR="0062100D">
        <w:rPr>
          <w:sz w:val="20"/>
          <w:szCs w:val="20"/>
        </w:rPr>
        <w:t xml:space="preserve">u </w:t>
      </w:r>
      <w:r w:rsidRPr="00EF0BF6">
        <w:rPr>
          <w:sz w:val="20"/>
          <w:szCs w:val="20"/>
        </w:rPr>
        <w:t>compreender a variação dos parâmetros dinâmicos ao longo dos quatro períodos</w:t>
      </w:r>
      <w:r w:rsidR="0062100D">
        <w:rPr>
          <w:sz w:val="20"/>
          <w:szCs w:val="20"/>
        </w:rPr>
        <w:t>: 2008 – 2012, 2012 – 2016, 2016 – 2020 e 2020 – 2024</w:t>
      </w:r>
      <w:r w:rsidRPr="00EF0BF6">
        <w:rPr>
          <w:sz w:val="20"/>
          <w:szCs w:val="20"/>
        </w:rPr>
        <w:t>.</w:t>
      </w:r>
      <w:r w:rsidR="0062100D">
        <w:rPr>
          <w:sz w:val="20"/>
          <w:szCs w:val="20"/>
        </w:rPr>
        <w:t xml:space="preserve"> </w:t>
      </w:r>
      <w:r w:rsidRPr="00EF0BF6">
        <w:rPr>
          <w:sz w:val="20"/>
          <w:szCs w:val="20"/>
        </w:rPr>
        <w:t xml:space="preserve">Os resultados evidenciaram que a mortalidade foi mais acentuada durante os períodos de estiagem </w:t>
      </w:r>
      <w:r w:rsidR="0062100D">
        <w:rPr>
          <w:sz w:val="20"/>
          <w:szCs w:val="20"/>
        </w:rPr>
        <w:t>(</w:t>
      </w:r>
      <w:r w:rsidRPr="00EF0BF6">
        <w:rPr>
          <w:sz w:val="20"/>
          <w:szCs w:val="20"/>
        </w:rPr>
        <w:t>2012</w:t>
      </w:r>
      <w:r w:rsidR="0062100D">
        <w:rPr>
          <w:sz w:val="20"/>
          <w:szCs w:val="20"/>
        </w:rPr>
        <w:t xml:space="preserve"> – 2016)</w:t>
      </w:r>
      <w:r w:rsidRPr="00EF0BF6">
        <w:rPr>
          <w:sz w:val="20"/>
          <w:szCs w:val="20"/>
        </w:rPr>
        <w:t xml:space="preserve">. Observou-se que a comunidade mais antropizada (A2) apresentou maior capacidade de recuperação após a seca, com taxas de recrutamento superiores às de mortalidade em determinados períodos. Em contraste, a comunidade mais conservada (A1) sofreu perdas mais expressivas e persistentes na densidade de indivíduos. </w:t>
      </w:r>
    </w:p>
    <w:p w14:paraId="18DBA1B0" w14:textId="7A96990F" w:rsidR="00C802EF" w:rsidRPr="00965249" w:rsidRDefault="0097758F" w:rsidP="00965249">
      <w:pPr>
        <w:widowControl/>
        <w:ind w:left="567" w:right="4" w:hanging="567"/>
        <w:jc w:val="both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F17599">
        <w:rPr>
          <w:sz w:val="20"/>
          <w:szCs w:val="20"/>
        </w:rPr>
        <w:t>Manejo florestal sustentável, análise espaço-temporal, técnica multivariada, Caatinga</w:t>
      </w:r>
    </w:p>
    <w:p w14:paraId="111049E7" w14:textId="77777777" w:rsidR="004F39B9" w:rsidRDefault="004F39B9">
      <w:pPr>
        <w:widowControl/>
        <w:jc w:val="both"/>
        <w:rPr>
          <w:b/>
          <w:sz w:val="20"/>
          <w:szCs w:val="20"/>
        </w:rPr>
      </w:pPr>
    </w:p>
    <w:p w14:paraId="3CD6974F" w14:textId="5900FFD3" w:rsidR="00C802EF" w:rsidRPr="00502108" w:rsidRDefault="0097758F" w:rsidP="00502108">
      <w:pPr>
        <w:pStyle w:val="PargrafodaLista"/>
        <w:widowControl/>
        <w:numPr>
          <w:ilvl w:val="0"/>
          <w:numId w:val="3"/>
        </w:numPr>
        <w:ind w:left="142" w:hanging="142"/>
        <w:jc w:val="both"/>
        <w:rPr>
          <w:sz w:val="20"/>
          <w:szCs w:val="20"/>
        </w:rPr>
      </w:pPr>
      <w:r w:rsidRPr="00502108">
        <w:rPr>
          <w:b/>
          <w:sz w:val="20"/>
          <w:szCs w:val="20"/>
        </w:rPr>
        <w:t xml:space="preserve">INTRODUÇÃO </w:t>
      </w:r>
    </w:p>
    <w:p w14:paraId="00E28AA2" w14:textId="0F5B1CF6" w:rsidR="006811D1" w:rsidRDefault="00BE61F2" w:rsidP="00DE3CE6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processo dinâmico de comunidades </w:t>
      </w:r>
      <w:r w:rsidR="006811D1" w:rsidRPr="006811D1">
        <w:rPr>
          <w:sz w:val="20"/>
          <w:szCs w:val="20"/>
        </w:rPr>
        <w:t xml:space="preserve">permite compreender como </w:t>
      </w:r>
      <w:r w:rsidR="00AC55B4">
        <w:rPr>
          <w:sz w:val="20"/>
          <w:szCs w:val="20"/>
        </w:rPr>
        <w:t xml:space="preserve">o </w:t>
      </w:r>
      <w:r w:rsidR="006811D1" w:rsidRPr="006811D1">
        <w:rPr>
          <w:sz w:val="20"/>
          <w:szCs w:val="20"/>
        </w:rPr>
        <w:t xml:space="preserve">recrutamento, </w:t>
      </w:r>
      <w:r w:rsidR="00AC55B4">
        <w:rPr>
          <w:sz w:val="20"/>
          <w:szCs w:val="20"/>
        </w:rPr>
        <w:t xml:space="preserve">a </w:t>
      </w:r>
      <w:r w:rsidR="006811D1" w:rsidRPr="006811D1">
        <w:rPr>
          <w:sz w:val="20"/>
          <w:szCs w:val="20"/>
        </w:rPr>
        <w:t xml:space="preserve">mortalidade e </w:t>
      </w:r>
      <w:r w:rsidR="00AC55B4">
        <w:rPr>
          <w:sz w:val="20"/>
          <w:szCs w:val="20"/>
        </w:rPr>
        <w:t xml:space="preserve">o </w:t>
      </w:r>
      <w:r w:rsidR="006811D1" w:rsidRPr="006811D1">
        <w:rPr>
          <w:sz w:val="20"/>
          <w:szCs w:val="20"/>
        </w:rPr>
        <w:t>crescimento</w:t>
      </w:r>
      <w:r>
        <w:rPr>
          <w:sz w:val="20"/>
          <w:szCs w:val="20"/>
        </w:rPr>
        <w:t xml:space="preserve"> de indivíduos</w:t>
      </w:r>
      <w:r w:rsidR="00AC55B4">
        <w:rPr>
          <w:sz w:val="20"/>
          <w:szCs w:val="20"/>
        </w:rPr>
        <w:t xml:space="preserve"> arbustivo-arbóreos</w:t>
      </w:r>
      <w:r w:rsidR="006811D1" w:rsidRPr="006811D1">
        <w:rPr>
          <w:sz w:val="20"/>
          <w:szCs w:val="20"/>
        </w:rPr>
        <w:t xml:space="preserve"> respondem a variações </w:t>
      </w:r>
      <w:r>
        <w:rPr>
          <w:sz w:val="20"/>
          <w:szCs w:val="20"/>
        </w:rPr>
        <w:t>ambientais</w:t>
      </w:r>
      <w:r w:rsidR="006811D1" w:rsidRPr="006811D1">
        <w:rPr>
          <w:sz w:val="20"/>
          <w:szCs w:val="20"/>
        </w:rPr>
        <w:t xml:space="preserve"> ao longo do tempo</w:t>
      </w:r>
      <w:r w:rsidR="00A91177">
        <w:rPr>
          <w:sz w:val="20"/>
          <w:szCs w:val="20"/>
        </w:rPr>
        <w:t xml:space="preserve"> (</w:t>
      </w:r>
      <w:r w:rsidR="00A91177">
        <w:rPr>
          <w:rFonts w:ascii="Palatino Linotype" w:hAnsi="Palatino Linotype"/>
          <w:sz w:val="20"/>
          <w:szCs w:val="20"/>
        </w:rPr>
        <w:t xml:space="preserve">MCDOWELL </w:t>
      </w:r>
      <w:r w:rsidR="00A91177" w:rsidRPr="0032614B">
        <w:rPr>
          <w:rFonts w:ascii="Palatino Linotype" w:hAnsi="Palatino Linotype"/>
          <w:i/>
          <w:iCs/>
          <w:sz w:val="20"/>
          <w:szCs w:val="20"/>
        </w:rPr>
        <w:t>et al</w:t>
      </w:r>
      <w:r w:rsidR="00A91177">
        <w:rPr>
          <w:rFonts w:ascii="Palatino Linotype" w:hAnsi="Palatino Linotype"/>
          <w:sz w:val="20"/>
          <w:szCs w:val="20"/>
        </w:rPr>
        <w:t>., 2020)</w:t>
      </w:r>
      <w:r w:rsidR="006811D1" w:rsidRPr="006811D1">
        <w:rPr>
          <w:sz w:val="20"/>
          <w:szCs w:val="20"/>
        </w:rPr>
        <w:t>. No bioma Caatinga, marcado por elevada sazonalidade</w:t>
      </w:r>
      <w:r w:rsidR="00EF3F3C">
        <w:rPr>
          <w:sz w:val="20"/>
          <w:szCs w:val="20"/>
        </w:rPr>
        <w:t xml:space="preserve"> climática</w:t>
      </w:r>
      <w:r w:rsidR="006811D1" w:rsidRPr="006811D1">
        <w:rPr>
          <w:sz w:val="20"/>
          <w:szCs w:val="20"/>
        </w:rPr>
        <w:t xml:space="preserve"> e crescente pressão antrópica, entender </w:t>
      </w:r>
      <w:r>
        <w:rPr>
          <w:sz w:val="20"/>
          <w:szCs w:val="20"/>
        </w:rPr>
        <w:t>a dinâmica</w:t>
      </w:r>
      <w:r w:rsidR="006811D1" w:rsidRPr="006811D1">
        <w:rPr>
          <w:sz w:val="20"/>
          <w:szCs w:val="20"/>
        </w:rPr>
        <w:t xml:space="preserve"> é fundamental para identificar padrões de resposta</w:t>
      </w:r>
      <w:r w:rsidR="00A26501">
        <w:rPr>
          <w:sz w:val="20"/>
          <w:szCs w:val="20"/>
        </w:rPr>
        <w:t>s</w:t>
      </w:r>
      <w:r w:rsidR="006811D1" w:rsidRPr="006811D1">
        <w:rPr>
          <w:sz w:val="20"/>
          <w:szCs w:val="20"/>
        </w:rPr>
        <w:t xml:space="preserve"> </w:t>
      </w:r>
      <w:r w:rsidR="00AC55B4">
        <w:rPr>
          <w:sz w:val="20"/>
          <w:szCs w:val="20"/>
        </w:rPr>
        <w:t>das comunidades</w:t>
      </w:r>
      <w:r w:rsidR="00DE3CE6">
        <w:rPr>
          <w:sz w:val="20"/>
          <w:szCs w:val="20"/>
        </w:rPr>
        <w:t xml:space="preserve"> </w:t>
      </w:r>
      <w:r w:rsidR="00AC55B4">
        <w:rPr>
          <w:sz w:val="20"/>
          <w:szCs w:val="20"/>
        </w:rPr>
        <w:t>frente</w:t>
      </w:r>
      <w:r w:rsidR="006811D1" w:rsidRPr="006811D1">
        <w:rPr>
          <w:sz w:val="20"/>
          <w:szCs w:val="20"/>
        </w:rPr>
        <w:t xml:space="preserve"> </w:t>
      </w:r>
      <w:r w:rsidR="00EF3F3C">
        <w:rPr>
          <w:sz w:val="20"/>
          <w:szCs w:val="20"/>
        </w:rPr>
        <w:t>a esses fatores bióticos e abióticos,</w:t>
      </w:r>
      <w:r w:rsidR="00AC55B4">
        <w:rPr>
          <w:sz w:val="20"/>
          <w:szCs w:val="20"/>
        </w:rPr>
        <w:t xml:space="preserve"> ainda</w:t>
      </w:r>
      <w:r w:rsidR="00DE3CE6">
        <w:rPr>
          <w:sz w:val="20"/>
          <w:szCs w:val="20"/>
        </w:rPr>
        <w:t xml:space="preserve"> mais </w:t>
      </w:r>
      <w:r w:rsidR="00AC55B4">
        <w:rPr>
          <w:sz w:val="20"/>
          <w:szCs w:val="20"/>
        </w:rPr>
        <w:t>em um bioma</w:t>
      </w:r>
      <w:r w:rsidR="00DE3CE6">
        <w:rPr>
          <w:sz w:val="20"/>
          <w:szCs w:val="20"/>
        </w:rPr>
        <w:t xml:space="preserve"> </w:t>
      </w:r>
      <w:r w:rsidR="00AC55B4">
        <w:rPr>
          <w:sz w:val="20"/>
          <w:szCs w:val="20"/>
        </w:rPr>
        <w:t xml:space="preserve">que </w:t>
      </w:r>
      <w:r w:rsidR="00DE3CE6">
        <w:rPr>
          <w:sz w:val="20"/>
          <w:szCs w:val="20"/>
        </w:rPr>
        <w:t xml:space="preserve">possui </w:t>
      </w:r>
      <w:r w:rsidR="00AC55B4">
        <w:rPr>
          <w:sz w:val="20"/>
          <w:szCs w:val="20"/>
        </w:rPr>
        <w:t>distintos cenários florísticos e</w:t>
      </w:r>
      <w:r w:rsidR="00DE3CE6">
        <w:rPr>
          <w:sz w:val="20"/>
          <w:szCs w:val="20"/>
        </w:rPr>
        <w:t xml:space="preserve"> estruturais</w:t>
      </w:r>
      <w:r w:rsidR="00BD5558">
        <w:rPr>
          <w:sz w:val="20"/>
          <w:szCs w:val="20"/>
        </w:rPr>
        <w:t xml:space="preserve"> (</w:t>
      </w:r>
      <w:r w:rsidR="00A27A48">
        <w:rPr>
          <w:rFonts w:ascii="Palatino Linotype" w:hAnsi="Palatino Linotype"/>
          <w:sz w:val="20"/>
          <w:szCs w:val="20"/>
        </w:rPr>
        <w:t xml:space="preserve">FERREIRA </w:t>
      </w:r>
      <w:r w:rsidR="00A27A48" w:rsidRPr="0032614B">
        <w:rPr>
          <w:rFonts w:ascii="Palatino Linotype" w:hAnsi="Palatino Linotype"/>
          <w:i/>
          <w:iCs/>
          <w:sz w:val="20"/>
          <w:szCs w:val="20"/>
        </w:rPr>
        <w:t>et al</w:t>
      </w:r>
      <w:r w:rsidR="00A27A48">
        <w:rPr>
          <w:rFonts w:ascii="Palatino Linotype" w:hAnsi="Palatino Linotype"/>
          <w:sz w:val="20"/>
          <w:szCs w:val="20"/>
        </w:rPr>
        <w:t>., 202</w:t>
      </w:r>
      <w:r w:rsidR="00AE7247">
        <w:rPr>
          <w:rFonts w:ascii="Palatino Linotype" w:hAnsi="Palatino Linotype"/>
          <w:sz w:val="20"/>
          <w:szCs w:val="20"/>
        </w:rPr>
        <w:t>5</w:t>
      </w:r>
      <w:r w:rsidR="00BD5558">
        <w:rPr>
          <w:rFonts w:ascii="Palatino Linotype" w:hAnsi="Palatino Linotype"/>
          <w:sz w:val="20"/>
          <w:szCs w:val="20"/>
        </w:rPr>
        <w:t>)</w:t>
      </w:r>
      <w:r w:rsidR="00AC55B4">
        <w:rPr>
          <w:sz w:val="20"/>
          <w:szCs w:val="20"/>
        </w:rPr>
        <w:t>.</w:t>
      </w:r>
    </w:p>
    <w:p w14:paraId="33A84130" w14:textId="7BB219D9" w:rsidR="00C802EF" w:rsidRPr="00965249" w:rsidRDefault="00AC55B4" w:rsidP="00965249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Considerando dois ambientes, um conservado e outro antrópico, </w:t>
      </w:r>
      <w:r w:rsidR="006811D1" w:rsidRPr="006811D1">
        <w:rPr>
          <w:sz w:val="20"/>
          <w:szCs w:val="20"/>
        </w:rPr>
        <w:t>o objetivo deste trabalho é verificar, por meio d</w:t>
      </w:r>
      <w:r>
        <w:rPr>
          <w:sz w:val="20"/>
          <w:szCs w:val="20"/>
        </w:rPr>
        <w:t>a técnica multivariada</w:t>
      </w:r>
      <w:r w:rsidR="006811D1" w:rsidRPr="006811D1">
        <w:rPr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 w:rsidR="006811D1" w:rsidRPr="006811D1">
        <w:rPr>
          <w:sz w:val="20"/>
          <w:szCs w:val="20"/>
        </w:rPr>
        <w:t xml:space="preserve">nálise de </w:t>
      </w:r>
      <w:r>
        <w:rPr>
          <w:sz w:val="20"/>
          <w:szCs w:val="20"/>
        </w:rPr>
        <w:t>C</w:t>
      </w:r>
      <w:r w:rsidR="006811D1" w:rsidRPr="006811D1">
        <w:rPr>
          <w:sz w:val="20"/>
          <w:szCs w:val="20"/>
        </w:rPr>
        <w:t xml:space="preserve">omponentes </w:t>
      </w:r>
      <w:r>
        <w:rPr>
          <w:sz w:val="20"/>
          <w:szCs w:val="20"/>
        </w:rPr>
        <w:t>P</w:t>
      </w:r>
      <w:r w:rsidR="006811D1" w:rsidRPr="006811D1">
        <w:rPr>
          <w:sz w:val="20"/>
          <w:szCs w:val="20"/>
        </w:rPr>
        <w:t xml:space="preserve">rincipais (PCA), quais foram os padrões de resposta dinâmica </w:t>
      </w:r>
      <w:r w:rsidR="00EF3F3C">
        <w:rPr>
          <w:sz w:val="20"/>
          <w:szCs w:val="20"/>
        </w:rPr>
        <w:t>das duas comunidades</w:t>
      </w:r>
      <w:r w:rsidR="006811D1" w:rsidRPr="006811D1">
        <w:rPr>
          <w:sz w:val="20"/>
          <w:szCs w:val="20"/>
        </w:rPr>
        <w:t xml:space="preserve"> </w:t>
      </w:r>
      <w:r w:rsidR="00EF3F3C">
        <w:rPr>
          <w:sz w:val="20"/>
          <w:szCs w:val="20"/>
        </w:rPr>
        <w:t>no período de 2008 a 2024</w:t>
      </w:r>
      <w:r>
        <w:rPr>
          <w:sz w:val="20"/>
          <w:szCs w:val="20"/>
        </w:rPr>
        <w:t>.</w:t>
      </w:r>
      <w:r w:rsidR="00EF3F3C">
        <w:rPr>
          <w:sz w:val="20"/>
          <w:szCs w:val="20"/>
        </w:rPr>
        <w:t xml:space="preserve"> A finalidade deste trabalho é verificar qual das áreas tende a apresentar maior</w:t>
      </w:r>
      <w:r>
        <w:rPr>
          <w:sz w:val="20"/>
          <w:szCs w:val="20"/>
        </w:rPr>
        <w:t xml:space="preserve"> </w:t>
      </w:r>
      <w:r w:rsidR="006811D1" w:rsidRPr="006811D1">
        <w:rPr>
          <w:sz w:val="20"/>
          <w:szCs w:val="20"/>
        </w:rPr>
        <w:t>resiliência ou vulnerabilidade</w:t>
      </w:r>
      <w:r w:rsidR="00EF3F3C">
        <w:rPr>
          <w:sz w:val="20"/>
          <w:szCs w:val="20"/>
        </w:rPr>
        <w:t>, levando em consideração, principalmente, às variações climáticas recorrentes neste período.</w:t>
      </w:r>
    </w:p>
    <w:p w14:paraId="62E13F4B" w14:textId="77777777" w:rsidR="004F39B9" w:rsidRDefault="004F39B9" w:rsidP="00BE5A71">
      <w:pPr>
        <w:widowControl/>
        <w:jc w:val="both"/>
        <w:rPr>
          <w:b/>
          <w:sz w:val="20"/>
          <w:szCs w:val="20"/>
        </w:rPr>
      </w:pPr>
    </w:p>
    <w:p w14:paraId="36BCE107" w14:textId="10F7AD3B" w:rsidR="00C802EF" w:rsidRPr="00502108" w:rsidRDefault="0097758F" w:rsidP="00502108">
      <w:pPr>
        <w:pStyle w:val="PargrafodaLista"/>
        <w:widowControl/>
        <w:numPr>
          <w:ilvl w:val="0"/>
          <w:numId w:val="3"/>
        </w:numPr>
        <w:ind w:left="142" w:hanging="142"/>
        <w:jc w:val="both"/>
        <w:rPr>
          <w:sz w:val="20"/>
          <w:szCs w:val="20"/>
        </w:rPr>
      </w:pPr>
      <w:r w:rsidRPr="00502108">
        <w:rPr>
          <w:b/>
          <w:sz w:val="20"/>
          <w:szCs w:val="20"/>
        </w:rPr>
        <w:t xml:space="preserve">MATERIAL E MÉTODOS </w:t>
      </w:r>
    </w:p>
    <w:p w14:paraId="3D8BA948" w14:textId="4C115FEA" w:rsidR="00953573" w:rsidRDefault="00157382" w:rsidP="00BE5A71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 estudo foi desenvolvi</w:t>
      </w:r>
      <w:r w:rsidR="00730C2B" w:rsidRPr="00730C2B">
        <w:rPr>
          <w:sz w:val="20"/>
          <w:szCs w:val="20"/>
        </w:rPr>
        <w:t>do em duas comunidades vegetais (A1 e A2) localizadas na Fazenda Ita</w:t>
      </w:r>
      <w:r w:rsidR="00BE5A71">
        <w:rPr>
          <w:sz w:val="20"/>
          <w:szCs w:val="20"/>
        </w:rPr>
        <w:t xml:space="preserve">pemirim, pertencente à empresa Agrimex S. A, no município de Floresta – PE, as quais </w:t>
      </w:r>
      <w:r w:rsidR="00730C2B" w:rsidRPr="00730C2B">
        <w:rPr>
          <w:sz w:val="20"/>
          <w:szCs w:val="20"/>
        </w:rPr>
        <w:t>pertencem à subdivisão Depressão Sertaneja Meridional do bioma Caatinga</w:t>
      </w:r>
      <w:r w:rsidR="00442588">
        <w:rPr>
          <w:sz w:val="20"/>
          <w:szCs w:val="20"/>
        </w:rPr>
        <w:t>.</w:t>
      </w:r>
      <w:r w:rsidR="00BE5A71">
        <w:rPr>
          <w:sz w:val="20"/>
          <w:szCs w:val="20"/>
        </w:rPr>
        <w:t xml:space="preserve"> </w:t>
      </w:r>
      <w:r w:rsidR="00730C2B" w:rsidRPr="00730C2B">
        <w:rPr>
          <w:sz w:val="20"/>
          <w:szCs w:val="20"/>
        </w:rPr>
        <w:t>A área A1 é considerada relativamente mais conservada, pois não apresenta registros recentes de distúrbios intensos. Em contraste, a área A2 encontra-se em regeneração natural após a interrupção de um plantio de eucalipto e permanece sujeita a pressões antrópicas contínuas</w:t>
      </w:r>
      <w:r w:rsidR="000C7C2F" w:rsidRPr="000C7C2F">
        <w:rPr>
          <w:sz w:val="20"/>
          <w:szCs w:val="20"/>
        </w:rPr>
        <w:t>.</w:t>
      </w:r>
    </w:p>
    <w:p w14:paraId="084F60A0" w14:textId="41DFCD75" w:rsidR="00442588" w:rsidRPr="00442588" w:rsidRDefault="00442588" w:rsidP="00442588">
      <w:pPr>
        <w:widowControl/>
        <w:ind w:firstLine="709"/>
        <w:jc w:val="both"/>
        <w:rPr>
          <w:sz w:val="20"/>
          <w:szCs w:val="20"/>
        </w:rPr>
      </w:pPr>
      <w:r w:rsidRPr="00442588">
        <w:rPr>
          <w:sz w:val="20"/>
          <w:szCs w:val="20"/>
        </w:rPr>
        <w:t>O monitoramento foi realizado em 80 parcelas permanentes, sendo 40 em cada comunidade, com dimensões de 20 × 20 m e espaçamento de 80 m entre si, totalizando 3,2 hectares de área amostral. As coletas ocorreram nos anos de 2008, 2012, 2016, 2020 e 2024</w:t>
      </w:r>
      <w:r w:rsidR="001B38AE">
        <w:rPr>
          <w:sz w:val="20"/>
          <w:szCs w:val="20"/>
        </w:rPr>
        <w:t xml:space="preserve">, onde </w:t>
      </w:r>
      <w:r w:rsidRPr="00442588">
        <w:rPr>
          <w:sz w:val="20"/>
          <w:szCs w:val="20"/>
        </w:rPr>
        <w:t xml:space="preserve">cada indivíduo foi identificado com placas a 1,30 m do solo, </w:t>
      </w:r>
      <w:r w:rsidR="001B38AE">
        <w:rPr>
          <w:sz w:val="20"/>
          <w:szCs w:val="20"/>
        </w:rPr>
        <w:t>e as</w:t>
      </w:r>
      <w:r w:rsidRPr="00442588">
        <w:rPr>
          <w:sz w:val="20"/>
          <w:szCs w:val="20"/>
        </w:rPr>
        <w:t xml:space="preserve"> espécies </w:t>
      </w:r>
      <w:r w:rsidR="00157382">
        <w:rPr>
          <w:sz w:val="20"/>
          <w:szCs w:val="20"/>
        </w:rPr>
        <w:t>foram</w:t>
      </w:r>
      <w:r w:rsidRPr="00442588">
        <w:rPr>
          <w:sz w:val="20"/>
          <w:szCs w:val="20"/>
        </w:rPr>
        <w:t xml:space="preserve"> revisadas e atualizadas anualmente com base no sistema APG IV, conforme o Herbário Virtual do Jardim Botânico do Rio de Janeiro (R</w:t>
      </w:r>
      <w:r w:rsidR="006E6F00" w:rsidRPr="00442588">
        <w:rPr>
          <w:sz w:val="20"/>
          <w:szCs w:val="20"/>
        </w:rPr>
        <w:t>EFLORA</w:t>
      </w:r>
      <w:r w:rsidRPr="00442588">
        <w:rPr>
          <w:sz w:val="20"/>
          <w:szCs w:val="20"/>
        </w:rPr>
        <w:t>, 2020).</w:t>
      </w:r>
    </w:p>
    <w:p w14:paraId="42DF2305" w14:textId="20B7078F" w:rsidR="00645B8A" w:rsidRPr="000C7C2F" w:rsidRDefault="00442588" w:rsidP="00954E0A">
      <w:pPr>
        <w:widowControl/>
        <w:ind w:firstLine="709"/>
        <w:jc w:val="both"/>
        <w:rPr>
          <w:sz w:val="20"/>
          <w:szCs w:val="20"/>
        </w:rPr>
      </w:pPr>
      <w:r w:rsidRPr="00442588">
        <w:rPr>
          <w:sz w:val="20"/>
          <w:szCs w:val="20"/>
        </w:rPr>
        <w:t xml:space="preserve">A coleta </w:t>
      </w:r>
      <w:r w:rsidR="000C68EB">
        <w:rPr>
          <w:sz w:val="20"/>
          <w:szCs w:val="20"/>
        </w:rPr>
        <w:t xml:space="preserve">dos dados (altura e circunferência) </w:t>
      </w:r>
      <w:r w:rsidRPr="00442588">
        <w:rPr>
          <w:sz w:val="20"/>
          <w:szCs w:val="20"/>
        </w:rPr>
        <w:t xml:space="preserve">foi </w:t>
      </w:r>
      <w:r w:rsidR="001B38AE" w:rsidRPr="000C68EB">
        <w:rPr>
          <w:sz w:val="20"/>
          <w:szCs w:val="20"/>
        </w:rPr>
        <w:t>realizada</w:t>
      </w:r>
      <w:r w:rsidRPr="00442588">
        <w:rPr>
          <w:sz w:val="20"/>
          <w:szCs w:val="20"/>
        </w:rPr>
        <w:t xml:space="preserve"> por fuste, visto que muitas espécies d</w:t>
      </w:r>
      <w:r w:rsidR="00644AAB">
        <w:rPr>
          <w:sz w:val="20"/>
          <w:szCs w:val="20"/>
        </w:rPr>
        <w:t>a Caatinga apresentam bifurcações</w:t>
      </w:r>
      <w:r w:rsidRPr="00442588">
        <w:rPr>
          <w:sz w:val="20"/>
          <w:szCs w:val="20"/>
        </w:rPr>
        <w:t xml:space="preserve">, distinguindo-se entre indivíduos </w:t>
      </w:r>
      <w:r w:rsidR="001B38AE">
        <w:rPr>
          <w:sz w:val="20"/>
          <w:szCs w:val="20"/>
        </w:rPr>
        <w:t>unifustes</w:t>
      </w:r>
      <w:r w:rsidRPr="00442588">
        <w:rPr>
          <w:sz w:val="20"/>
          <w:szCs w:val="20"/>
        </w:rPr>
        <w:t xml:space="preserve"> e multifustes conforme a altura da bifurcação em relação ao solo. Considerou-se como recrutado todo indivíduo com ao menos um fuste vivo que atingisse circunferência à </w:t>
      </w:r>
      <w:r w:rsidR="00644AAB">
        <w:rPr>
          <w:sz w:val="20"/>
          <w:szCs w:val="20"/>
        </w:rPr>
        <w:t xml:space="preserve">1,30 m do solo </w:t>
      </w:r>
      <w:r w:rsidRPr="00442588">
        <w:rPr>
          <w:sz w:val="20"/>
          <w:szCs w:val="20"/>
        </w:rPr>
        <w:t xml:space="preserve">(C) </w:t>
      </w:r>
      <w:r w:rsidR="00644AAB">
        <w:rPr>
          <w:sz w:val="20"/>
          <w:szCs w:val="20"/>
        </w:rPr>
        <w:t xml:space="preserve">≥ </w:t>
      </w:r>
      <w:r w:rsidRPr="00442588">
        <w:rPr>
          <w:sz w:val="20"/>
          <w:szCs w:val="20"/>
        </w:rPr>
        <w:t xml:space="preserve">6 cm e que não estivesse presente nos registros anteriores. Indivíduos foram </w:t>
      </w:r>
      <w:r w:rsidRPr="00442588">
        <w:rPr>
          <w:sz w:val="20"/>
          <w:szCs w:val="20"/>
        </w:rPr>
        <w:lastRenderedPageBreak/>
        <w:t>classificados como mortos quando todos os seus fustes apresentavam ausência de atividade meristemática, caule seco e casca sem tecido vivo, observados por inspeção visual e remoção superficial da casca.</w:t>
      </w:r>
    </w:p>
    <w:p w14:paraId="04F3C3B9" w14:textId="79217471" w:rsidR="000C7C2F" w:rsidRPr="000C7C2F" w:rsidRDefault="00954E0A" w:rsidP="00192002">
      <w:pPr>
        <w:widowControl/>
        <w:spacing w:after="24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No que diz respeito à obtenção dos parâmetros dinâmicos, a</w:t>
      </w:r>
      <w:r w:rsidR="00D85094" w:rsidRPr="00D85094">
        <w:rPr>
          <w:sz w:val="20"/>
          <w:szCs w:val="20"/>
        </w:rPr>
        <w:t>s taxas anuais médias de mortalidade e recrutamento das comunidades arbustivo-arbóreas foram calculadas com base na contagem de indivíduos mortos, recrutados e sobreviventes em cada parcela, nos intervalos entre os anos de 2008–2012, 2012–2016, 2016–2020 e 2020–2024. A organização dos dados foi realizada no software Microsoft Excel (versão 2024), e os cálculos seguiram as equações propostas por Sheil</w:t>
      </w:r>
      <w:r w:rsidR="00D17B4C">
        <w:rPr>
          <w:sz w:val="20"/>
          <w:szCs w:val="20"/>
        </w:rPr>
        <w:t xml:space="preserve">, </w:t>
      </w:r>
      <w:r w:rsidR="00D17B4C" w:rsidRPr="00D17B4C">
        <w:rPr>
          <w:sz w:val="20"/>
          <w:szCs w:val="20"/>
        </w:rPr>
        <w:t>Burslem</w:t>
      </w:r>
      <w:r w:rsidR="00D17B4C">
        <w:rPr>
          <w:sz w:val="20"/>
          <w:szCs w:val="20"/>
        </w:rPr>
        <w:t xml:space="preserve"> e Alder</w:t>
      </w:r>
      <w:r w:rsidR="00D17B4C" w:rsidRPr="00D85094">
        <w:rPr>
          <w:sz w:val="20"/>
          <w:szCs w:val="20"/>
        </w:rPr>
        <w:t xml:space="preserve"> </w:t>
      </w:r>
      <w:r w:rsidR="00D85094" w:rsidRPr="00D85094">
        <w:rPr>
          <w:sz w:val="20"/>
          <w:szCs w:val="20"/>
        </w:rPr>
        <w:t>(1995</w:t>
      </w:r>
      <w:r w:rsidR="0096048E">
        <w:rPr>
          <w:sz w:val="20"/>
          <w:szCs w:val="20"/>
        </w:rPr>
        <w:t xml:space="preserve">) e </w:t>
      </w:r>
      <w:r w:rsidR="0096048E" w:rsidRPr="00D85094">
        <w:rPr>
          <w:sz w:val="20"/>
          <w:szCs w:val="20"/>
        </w:rPr>
        <w:t>Sheil</w:t>
      </w:r>
      <w:r w:rsidR="00D17B4C">
        <w:rPr>
          <w:sz w:val="20"/>
          <w:szCs w:val="20"/>
        </w:rPr>
        <w:t xml:space="preserve">, </w:t>
      </w:r>
      <w:r w:rsidR="00D17B4C" w:rsidRPr="00D17B4C">
        <w:rPr>
          <w:sz w:val="20"/>
          <w:szCs w:val="20"/>
        </w:rPr>
        <w:t>Jennings</w:t>
      </w:r>
      <w:r w:rsidR="00D17B4C">
        <w:rPr>
          <w:sz w:val="20"/>
          <w:szCs w:val="20"/>
        </w:rPr>
        <w:t xml:space="preserve"> e Savill </w:t>
      </w:r>
      <w:r w:rsidR="0096048E">
        <w:rPr>
          <w:sz w:val="20"/>
          <w:szCs w:val="20"/>
        </w:rPr>
        <w:t>(</w:t>
      </w:r>
      <w:r w:rsidR="00D85094" w:rsidRPr="00D85094">
        <w:rPr>
          <w:sz w:val="20"/>
          <w:szCs w:val="20"/>
        </w:rPr>
        <w:t>2000)</w:t>
      </w:r>
      <w:r w:rsidR="00D85094">
        <w:rPr>
          <w:sz w:val="20"/>
          <w:szCs w:val="20"/>
        </w:rPr>
        <w:t>, conforme as Equações 1 e 2</w:t>
      </w:r>
      <w:r w:rsidR="000C7C2F" w:rsidRPr="000C7C2F">
        <w:rPr>
          <w:sz w:val="20"/>
          <w:szCs w:val="20"/>
        </w:rPr>
        <w:t>:</w:t>
      </w:r>
    </w:p>
    <w:p w14:paraId="49FE5364" w14:textId="50BFE45D" w:rsidR="000C7C2F" w:rsidRPr="00730C2B" w:rsidRDefault="006514D1" w:rsidP="00730C2B">
      <w:pPr>
        <w:rPr>
          <w:color w:val="000000"/>
          <w:sz w:val="20"/>
          <w:szCs w:val="20"/>
        </w:rPr>
      </w:pPr>
      <w:r w:rsidRPr="006514D1">
        <w:rPr>
          <w:noProof/>
        </w:rPr>
        <w:drawing>
          <wp:inline distT="0" distB="0" distL="0" distR="0" wp14:anchorId="0A69485E" wp14:editId="04956D11">
            <wp:extent cx="1008000" cy="396000"/>
            <wp:effectExtent l="0" t="0" r="0" b="0"/>
            <wp:docPr id="1093893917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7" t="1" r="38347" b="-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C2B">
        <w:rPr>
          <w:color w:val="000000"/>
          <w:sz w:val="20"/>
          <w:szCs w:val="20"/>
        </w:rPr>
        <w:t xml:space="preserve">                                                                            </w:t>
      </w:r>
      <w:r>
        <w:rPr>
          <w:color w:val="000000"/>
          <w:sz w:val="20"/>
          <w:szCs w:val="20"/>
        </w:rPr>
        <w:t xml:space="preserve">                                                </w:t>
      </w:r>
      <w:r w:rsidR="00730C2B">
        <w:rPr>
          <w:color w:val="000000"/>
          <w:sz w:val="20"/>
          <w:szCs w:val="20"/>
        </w:rPr>
        <w:t xml:space="preserve">          (1)</w:t>
      </w:r>
    </w:p>
    <w:p w14:paraId="3CD20E40" w14:textId="66677EED" w:rsidR="000C7C2F" w:rsidRPr="00730C2B" w:rsidRDefault="006514D1" w:rsidP="006514D1">
      <w:pPr>
        <w:rPr>
          <w:rFonts w:eastAsiaTheme="minorEastAsia"/>
          <w:color w:val="000000"/>
          <w:sz w:val="20"/>
          <w:szCs w:val="20"/>
        </w:rPr>
      </w:pPr>
      <w:r w:rsidRPr="006514D1">
        <w:rPr>
          <w:rFonts w:eastAsiaTheme="minorEastAsia"/>
          <w:noProof/>
        </w:rPr>
        <w:drawing>
          <wp:inline distT="0" distB="0" distL="0" distR="0" wp14:anchorId="14FEB0B3" wp14:editId="68824881">
            <wp:extent cx="1008000" cy="396000"/>
            <wp:effectExtent l="0" t="0" r="1905" b="0"/>
            <wp:docPr id="109727356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5" t="-5881" r="37355" b="-1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C2B">
        <w:rPr>
          <w:rFonts w:eastAsiaTheme="minorEastAsia"/>
          <w:color w:val="000000"/>
          <w:sz w:val="20"/>
          <w:szCs w:val="20"/>
        </w:rPr>
        <w:t xml:space="preserve">                                                        </w:t>
      </w:r>
      <w:r>
        <w:rPr>
          <w:rFonts w:eastAsiaTheme="minorEastAsia"/>
          <w:color w:val="000000"/>
          <w:sz w:val="20"/>
          <w:szCs w:val="20"/>
        </w:rPr>
        <w:t xml:space="preserve">                                       </w:t>
      </w:r>
      <w:r w:rsidR="00730C2B">
        <w:rPr>
          <w:rFonts w:eastAsiaTheme="minorEastAsia"/>
          <w:color w:val="000000"/>
          <w:sz w:val="20"/>
          <w:szCs w:val="20"/>
        </w:rPr>
        <w:t xml:space="preserve">                                   (2)</w:t>
      </w:r>
    </w:p>
    <w:p w14:paraId="61798ECE" w14:textId="130170E7" w:rsidR="000C7C2F" w:rsidRPr="000C7C2F" w:rsidRDefault="001F5E1E" w:rsidP="00836C7A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Em que: M = </w:t>
      </w:r>
      <w:r w:rsidR="000C7C2F" w:rsidRPr="000C7C2F">
        <w:rPr>
          <w:sz w:val="20"/>
          <w:szCs w:val="20"/>
        </w:rPr>
        <w:t>taxa de mortalidade (% ano</w:t>
      </w:r>
      <w:r w:rsidR="003E2173">
        <w:rPr>
          <w:sz w:val="20"/>
          <w:szCs w:val="20"/>
          <w:vertAlign w:val="superscript"/>
        </w:rPr>
        <w:t>-</w:t>
      </w:r>
      <w:r w:rsidR="000C7C2F" w:rsidRPr="003E2173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); R =</w:t>
      </w:r>
      <w:r w:rsidR="000C7C2F" w:rsidRPr="000C7C2F">
        <w:rPr>
          <w:sz w:val="20"/>
          <w:szCs w:val="20"/>
        </w:rPr>
        <w:t xml:space="preserve"> taxa de recrutamento (% ano</w:t>
      </w:r>
      <w:r w:rsidR="003E2173">
        <w:rPr>
          <w:sz w:val="20"/>
          <w:szCs w:val="20"/>
          <w:vertAlign w:val="superscript"/>
        </w:rPr>
        <w:t>-</w:t>
      </w:r>
      <w:r w:rsidR="000C7C2F" w:rsidRPr="003E2173">
        <w:rPr>
          <w:sz w:val="20"/>
          <w:szCs w:val="20"/>
          <w:vertAlign w:val="superscript"/>
        </w:rPr>
        <w:t>1</w:t>
      </w:r>
      <w:r w:rsidR="000C7C2F" w:rsidRPr="000C7C2F">
        <w:rPr>
          <w:sz w:val="20"/>
          <w:szCs w:val="20"/>
        </w:rPr>
        <w:t>); N</w:t>
      </w:r>
      <w:r w:rsidR="000C7C2F" w:rsidRPr="001F5E1E">
        <w:rPr>
          <w:sz w:val="20"/>
          <w:szCs w:val="20"/>
          <w:vertAlign w:val="subscript"/>
        </w:rPr>
        <w:t>0</w:t>
      </w:r>
      <w:r>
        <w:rPr>
          <w:sz w:val="20"/>
          <w:szCs w:val="20"/>
        </w:rPr>
        <w:t xml:space="preserve"> e Nt = </w:t>
      </w:r>
      <w:r w:rsidR="000C7C2F" w:rsidRPr="000C7C2F">
        <w:rPr>
          <w:sz w:val="20"/>
          <w:szCs w:val="20"/>
        </w:rPr>
        <w:t>contagem inicial e final de indivíduo</w:t>
      </w:r>
      <w:r>
        <w:rPr>
          <w:sz w:val="20"/>
          <w:szCs w:val="20"/>
        </w:rPr>
        <w:t xml:space="preserve">s, respectivamente; Nm e Nr = </w:t>
      </w:r>
      <w:r w:rsidR="000C7C2F" w:rsidRPr="000C7C2F">
        <w:rPr>
          <w:sz w:val="20"/>
          <w:szCs w:val="20"/>
        </w:rPr>
        <w:t xml:space="preserve">número de indivíduos mortos e recrutados, respectivamente; e t </w:t>
      </w:r>
      <w:r>
        <w:rPr>
          <w:sz w:val="20"/>
          <w:szCs w:val="20"/>
        </w:rPr>
        <w:t xml:space="preserve">= </w:t>
      </w:r>
      <w:r w:rsidR="000C7C2F" w:rsidRPr="000C7C2F">
        <w:rPr>
          <w:sz w:val="20"/>
          <w:szCs w:val="20"/>
        </w:rPr>
        <w:t>período (tempo).</w:t>
      </w:r>
    </w:p>
    <w:p w14:paraId="0F6861B6" w14:textId="1EA8C431" w:rsidR="000C7C2F" w:rsidRPr="000C7C2F" w:rsidRDefault="00D85094" w:rsidP="00836C7A">
      <w:pPr>
        <w:widowControl/>
        <w:ind w:firstLine="709"/>
        <w:jc w:val="both"/>
        <w:rPr>
          <w:sz w:val="20"/>
          <w:szCs w:val="20"/>
        </w:rPr>
      </w:pPr>
      <w:r w:rsidRPr="00D85094">
        <w:rPr>
          <w:sz w:val="20"/>
          <w:szCs w:val="20"/>
        </w:rPr>
        <w:t>Para complementar a análise da dinâmica, também foram calculadas a taxa de rotatividade (turnover) do número de indivíduos e a taxa de mudança líquida no número de indivíduos (ChN), com base nas metodologias propostas por Werneck e Franceschinelli (2004) e Korning e Balslev (1994), respectivamente</w:t>
      </w:r>
      <w:r w:rsidR="00184CD8">
        <w:rPr>
          <w:sz w:val="20"/>
          <w:szCs w:val="20"/>
        </w:rPr>
        <w:t>, c</w:t>
      </w:r>
      <w:r>
        <w:rPr>
          <w:sz w:val="20"/>
          <w:szCs w:val="20"/>
        </w:rPr>
        <w:t>onforme a</w:t>
      </w:r>
      <w:r w:rsidR="00A74625">
        <w:rPr>
          <w:sz w:val="20"/>
          <w:szCs w:val="20"/>
        </w:rPr>
        <w:t>s Equações</w:t>
      </w:r>
      <w:r>
        <w:rPr>
          <w:sz w:val="20"/>
          <w:szCs w:val="20"/>
        </w:rPr>
        <w:t xml:space="preserve"> 3 e 4</w:t>
      </w:r>
      <w:r w:rsidR="000C7C2F" w:rsidRPr="000C7C2F">
        <w:rPr>
          <w:sz w:val="20"/>
          <w:szCs w:val="20"/>
        </w:rPr>
        <w:t>:</w:t>
      </w:r>
    </w:p>
    <w:p w14:paraId="327933AC" w14:textId="61FF8771" w:rsidR="000C7C2F" w:rsidRPr="000C7C2F" w:rsidRDefault="006514D1" w:rsidP="00730C2B">
      <w:pPr>
        <w:rPr>
          <w:rFonts w:eastAsiaTheme="minorEastAsia"/>
          <w:color w:val="000000"/>
          <w:sz w:val="20"/>
          <w:szCs w:val="20"/>
        </w:rPr>
      </w:pPr>
      <w:r w:rsidRPr="006514D1">
        <w:rPr>
          <w:rFonts w:eastAsiaTheme="minorEastAsia"/>
          <w:noProof/>
        </w:rPr>
        <w:drawing>
          <wp:inline distT="0" distB="0" distL="0" distR="0" wp14:anchorId="6E5F349F" wp14:editId="665A1B17">
            <wp:extent cx="647700" cy="285750"/>
            <wp:effectExtent l="0" t="0" r="0" b="0"/>
            <wp:docPr id="1767523827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4" t="-1" r="42479" b="-2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3" cy="2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C2B">
        <w:rPr>
          <w:rFonts w:eastAsiaTheme="minorEastAsia"/>
          <w:color w:val="000000"/>
          <w:sz w:val="20"/>
          <w:szCs w:val="20"/>
        </w:rPr>
        <w:t xml:space="preserve">       </w:t>
      </w:r>
      <w:r>
        <w:rPr>
          <w:rFonts w:eastAsiaTheme="minorEastAsia"/>
          <w:color w:val="000000"/>
          <w:sz w:val="20"/>
          <w:szCs w:val="20"/>
        </w:rPr>
        <w:t xml:space="preserve">                                      </w:t>
      </w:r>
      <w:r w:rsidR="00730C2B">
        <w:rPr>
          <w:rFonts w:eastAsiaTheme="minorEastAsia"/>
          <w:color w:val="000000"/>
          <w:sz w:val="20"/>
          <w:szCs w:val="20"/>
        </w:rPr>
        <w:t xml:space="preserve">                                                                                                        (3)</w:t>
      </w:r>
    </w:p>
    <w:p w14:paraId="6EC01BEF" w14:textId="10CE97F8" w:rsidR="000C7C2F" w:rsidRPr="000C7C2F" w:rsidRDefault="006514D1" w:rsidP="006514D1">
      <w:pPr>
        <w:rPr>
          <w:rFonts w:eastAsiaTheme="minorEastAsia"/>
          <w:color w:val="000000"/>
          <w:sz w:val="20"/>
          <w:szCs w:val="20"/>
        </w:rPr>
      </w:pPr>
      <w:r w:rsidRPr="006514D1">
        <w:rPr>
          <w:rFonts w:eastAsiaTheme="minorEastAsia"/>
          <w:noProof/>
        </w:rPr>
        <w:drawing>
          <wp:inline distT="0" distB="0" distL="0" distR="0" wp14:anchorId="36975AB8" wp14:editId="1AADCD15">
            <wp:extent cx="962025" cy="355818"/>
            <wp:effectExtent l="0" t="0" r="0" b="6350"/>
            <wp:docPr id="204272727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7" r="37851" b="-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47" cy="36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C2B">
        <w:rPr>
          <w:rFonts w:eastAsiaTheme="minorEastAsia"/>
          <w:color w:val="000000"/>
          <w:sz w:val="20"/>
          <w:szCs w:val="20"/>
        </w:rPr>
        <w:t xml:space="preserve">                                                                </w:t>
      </w:r>
      <w:r>
        <w:rPr>
          <w:rFonts w:eastAsiaTheme="minorEastAsia"/>
          <w:color w:val="000000"/>
          <w:sz w:val="20"/>
          <w:szCs w:val="20"/>
        </w:rPr>
        <w:t xml:space="preserve">                               </w:t>
      </w:r>
      <w:r w:rsidR="00730C2B">
        <w:rPr>
          <w:rFonts w:eastAsiaTheme="minorEastAsia"/>
          <w:color w:val="000000"/>
          <w:sz w:val="20"/>
          <w:szCs w:val="20"/>
        </w:rPr>
        <w:t xml:space="preserve">                                      (4)</w:t>
      </w:r>
    </w:p>
    <w:p w14:paraId="5AFC807B" w14:textId="71A8662B" w:rsidR="000C7C2F" w:rsidRDefault="00A74625" w:rsidP="00836C7A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Em que: TN = </w:t>
      </w:r>
      <w:r w:rsidR="000C7C2F" w:rsidRPr="000C7C2F">
        <w:rPr>
          <w:sz w:val="20"/>
          <w:szCs w:val="20"/>
        </w:rPr>
        <w:t>taxa de rotatividade (turnover)</w:t>
      </w:r>
      <w:r>
        <w:rPr>
          <w:sz w:val="20"/>
          <w:szCs w:val="20"/>
        </w:rPr>
        <w:t xml:space="preserve"> do número de indivíduos (% ano</w:t>
      </w:r>
      <w:r w:rsidRPr="00A74625">
        <w:rPr>
          <w:sz w:val="20"/>
          <w:szCs w:val="20"/>
          <w:vertAlign w:val="superscript"/>
        </w:rPr>
        <w:t>-</w:t>
      </w:r>
      <w:r w:rsidR="000C7C2F" w:rsidRPr="00A74625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); M = taxa de mortalidade (% ano</w:t>
      </w:r>
      <w:r w:rsidRPr="00A74625">
        <w:rPr>
          <w:sz w:val="20"/>
          <w:szCs w:val="20"/>
          <w:vertAlign w:val="superscript"/>
        </w:rPr>
        <w:t>-</w:t>
      </w:r>
      <w:r w:rsidR="000C7C2F" w:rsidRPr="00A74625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); R = taxa de recrutamento (% ano</w:t>
      </w:r>
      <w:r w:rsidRPr="00A74625">
        <w:rPr>
          <w:sz w:val="20"/>
          <w:szCs w:val="20"/>
          <w:vertAlign w:val="superscript"/>
        </w:rPr>
        <w:t>-</w:t>
      </w:r>
      <w:r w:rsidR="000C7C2F" w:rsidRPr="00A74625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); N0 e Nt = </w:t>
      </w:r>
      <w:r w:rsidR="000C7C2F" w:rsidRPr="000C7C2F">
        <w:rPr>
          <w:sz w:val="20"/>
          <w:szCs w:val="20"/>
        </w:rPr>
        <w:t>contagem inicial e final de indiv</w:t>
      </w:r>
      <w:r>
        <w:rPr>
          <w:sz w:val="20"/>
          <w:szCs w:val="20"/>
        </w:rPr>
        <w:t xml:space="preserve">íduos, respectivamente; e t = </w:t>
      </w:r>
      <w:r w:rsidR="000C7C2F" w:rsidRPr="000C7C2F">
        <w:rPr>
          <w:sz w:val="20"/>
          <w:szCs w:val="20"/>
        </w:rPr>
        <w:t>período (tempo)</w:t>
      </w:r>
      <w:r w:rsidR="00A43A84">
        <w:rPr>
          <w:sz w:val="20"/>
          <w:szCs w:val="20"/>
        </w:rPr>
        <w:t>.</w:t>
      </w:r>
    </w:p>
    <w:p w14:paraId="492BAD85" w14:textId="1682CFA1" w:rsidR="00C802EF" w:rsidRDefault="00D85094" w:rsidP="00965249">
      <w:pPr>
        <w:widowControl/>
        <w:ind w:firstLine="709"/>
        <w:jc w:val="both"/>
        <w:rPr>
          <w:sz w:val="20"/>
          <w:szCs w:val="20"/>
        </w:rPr>
      </w:pPr>
      <w:r w:rsidRPr="00D85094">
        <w:rPr>
          <w:sz w:val="20"/>
          <w:szCs w:val="20"/>
        </w:rPr>
        <w:t xml:space="preserve">Com o intuito de identificar padrões nos processos dinâmicos das parcelas das duas áreas, foram realizadas análises </w:t>
      </w:r>
      <w:r w:rsidR="00A74625">
        <w:rPr>
          <w:sz w:val="20"/>
          <w:szCs w:val="20"/>
        </w:rPr>
        <w:t xml:space="preserve">estatísticas </w:t>
      </w:r>
      <w:r w:rsidRPr="00D85094">
        <w:rPr>
          <w:sz w:val="20"/>
          <w:szCs w:val="20"/>
        </w:rPr>
        <w:t>para os intervalos de 2008–2012, 2012–2016, 2016–2020 e 2020–2024. As taxas de mortalidade (M), recrutamento (R), rotatividade (TN) e mudança líquida no número de indivíduos (Ch</w:t>
      </w:r>
      <w:r w:rsidR="00A74625">
        <w:rPr>
          <w:sz w:val="20"/>
          <w:szCs w:val="20"/>
        </w:rPr>
        <w:t>N) foram ordenadas por meio de Análise de Componentes P</w:t>
      </w:r>
      <w:r w:rsidRPr="00D85094">
        <w:rPr>
          <w:sz w:val="20"/>
          <w:szCs w:val="20"/>
        </w:rPr>
        <w:t>rincipais (PCA), após padronização dos dados para variância unitária. A PCA foi executada com a função prcomp() do pacote base stats do</w:t>
      </w:r>
      <w:r w:rsidR="00A74625">
        <w:rPr>
          <w:sz w:val="20"/>
          <w:szCs w:val="20"/>
        </w:rPr>
        <w:t xml:space="preserve"> </w:t>
      </w:r>
      <w:r w:rsidR="00A74625" w:rsidRPr="0023323D">
        <w:rPr>
          <w:i/>
          <w:iCs/>
          <w:sz w:val="20"/>
          <w:szCs w:val="20"/>
        </w:rPr>
        <w:t>software</w:t>
      </w:r>
      <w:r w:rsidRPr="00D85094">
        <w:rPr>
          <w:sz w:val="20"/>
          <w:szCs w:val="20"/>
        </w:rPr>
        <w:t xml:space="preserve"> R (</w:t>
      </w:r>
      <w:r w:rsidR="007C28AC" w:rsidRPr="00D85094">
        <w:rPr>
          <w:sz w:val="20"/>
          <w:szCs w:val="20"/>
        </w:rPr>
        <w:t>R CORE TEAM</w:t>
      </w:r>
      <w:r w:rsidRPr="00D85094">
        <w:rPr>
          <w:sz w:val="20"/>
          <w:szCs w:val="20"/>
        </w:rPr>
        <w:t>, 202</w:t>
      </w:r>
      <w:r w:rsidR="008A0972">
        <w:rPr>
          <w:sz w:val="20"/>
          <w:szCs w:val="20"/>
        </w:rPr>
        <w:t>5</w:t>
      </w:r>
      <w:r w:rsidRPr="00D85094">
        <w:rPr>
          <w:sz w:val="20"/>
          <w:szCs w:val="20"/>
        </w:rPr>
        <w:t>), utilizando a matriz de covariância para extração de autovalores e autovetores. As representações gráficas foram geradas com os pacotes ggplot2 e ggrepel</w:t>
      </w:r>
      <w:r w:rsidR="00A43A84" w:rsidRPr="00A43A84">
        <w:rPr>
          <w:sz w:val="20"/>
          <w:szCs w:val="20"/>
        </w:rPr>
        <w:t>.</w:t>
      </w:r>
    </w:p>
    <w:p w14:paraId="79CAFF4B" w14:textId="77777777" w:rsidR="004F39B9" w:rsidRDefault="004F39B9" w:rsidP="000F07CA">
      <w:pPr>
        <w:widowControl/>
        <w:jc w:val="both"/>
        <w:rPr>
          <w:b/>
          <w:sz w:val="20"/>
          <w:szCs w:val="20"/>
        </w:rPr>
      </w:pPr>
    </w:p>
    <w:p w14:paraId="1875CFCB" w14:textId="1F48E94A" w:rsidR="00C802EF" w:rsidRPr="00804FC4" w:rsidRDefault="0097758F" w:rsidP="00804FC4">
      <w:pPr>
        <w:pStyle w:val="PargrafodaLista"/>
        <w:widowControl/>
        <w:numPr>
          <w:ilvl w:val="0"/>
          <w:numId w:val="3"/>
        </w:numPr>
        <w:ind w:left="142" w:hanging="142"/>
        <w:jc w:val="both"/>
        <w:rPr>
          <w:sz w:val="20"/>
          <w:szCs w:val="20"/>
        </w:rPr>
      </w:pPr>
      <w:r w:rsidRPr="00804FC4">
        <w:rPr>
          <w:b/>
          <w:sz w:val="20"/>
          <w:szCs w:val="20"/>
        </w:rPr>
        <w:t xml:space="preserve">RESULTADOS E DISCUSSÃO </w:t>
      </w:r>
    </w:p>
    <w:p w14:paraId="3696EE62" w14:textId="21AFB50B" w:rsidR="00B24121" w:rsidRDefault="0097758F" w:rsidP="000E248C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Entre os anos de 2008 e 2012, a</w:t>
      </w:r>
      <w:r w:rsidR="000E248C">
        <w:rPr>
          <w:sz w:val="20"/>
          <w:szCs w:val="20"/>
        </w:rPr>
        <w:t xml:space="preserve">s áreas A1 e A2 </w:t>
      </w:r>
      <w:r w:rsidR="00BB7034" w:rsidRPr="00BB7034">
        <w:rPr>
          <w:sz w:val="20"/>
          <w:szCs w:val="20"/>
        </w:rPr>
        <w:t>registraram aument</w:t>
      </w:r>
      <w:r w:rsidR="000E248C">
        <w:rPr>
          <w:sz w:val="20"/>
          <w:szCs w:val="20"/>
        </w:rPr>
        <w:t>o na densidade de indivíduos</w:t>
      </w:r>
      <w:r w:rsidR="00BB7034" w:rsidRPr="00BB703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de aproximadamente </w:t>
      </w:r>
      <w:r w:rsidR="0020722B">
        <w:rPr>
          <w:sz w:val="20"/>
          <w:szCs w:val="20"/>
        </w:rPr>
        <w:t>7,15</w:t>
      </w:r>
      <w:r w:rsidR="00B24121">
        <w:rPr>
          <w:sz w:val="20"/>
          <w:szCs w:val="20"/>
        </w:rPr>
        <w:t>% e 7,07</w:t>
      </w:r>
      <w:r>
        <w:rPr>
          <w:sz w:val="20"/>
          <w:szCs w:val="20"/>
        </w:rPr>
        <w:t>%, respectivamente</w:t>
      </w:r>
      <w:r w:rsidR="00BB7034" w:rsidRPr="00BB7034">
        <w:rPr>
          <w:sz w:val="20"/>
          <w:szCs w:val="20"/>
        </w:rPr>
        <w:t xml:space="preserve">, </w:t>
      </w:r>
      <w:r>
        <w:rPr>
          <w:sz w:val="20"/>
          <w:szCs w:val="20"/>
        </w:rPr>
        <w:t>sendo est</w:t>
      </w:r>
      <w:r w:rsidR="00953714">
        <w:rPr>
          <w:sz w:val="20"/>
          <w:szCs w:val="20"/>
        </w:rPr>
        <w:t xml:space="preserve">e o </w:t>
      </w:r>
      <w:r w:rsidR="00BB7034" w:rsidRPr="00BB7034">
        <w:rPr>
          <w:sz w:val="20"/>
          <w:szCs w:val="20"/>
        </w:rPr>
        <w:t>reflexo de uma baixa taxa de mortalidade (M)</w:t>
      </w:r>
      <w:r w:rsidR="00B24121">
        <w:rPr>
          <w:sz w:val="20"/>
          <w:szCs w:val="20"/>
        </w:rPr>
        <w:t xml:space="preserve">, que em A1 foi de 0,13 </w:t>
      </w:r>
      <w:r w:rsidR="00B24121" w:rsidRPr="00730C2B">
        <w:rPr>
          <w:color w:val="000000"/>
          <w:sz w:val="20"/>
          <w:szCs w:val="20"/>
        </w:rPr>
        <w:t>%.ano</w:t>
      </w:r>
      <w:r w:rsidR="00B24121" w:rsidRPr="00730C2B">
        <w:rPr>
          <w:color w:val="000000"/>
          <w:sz w:val="20"/>
          <w:szCs w:val="20"/>
          <w:vertAlign w:val="superscript"/>
        </w:rPr>
        <w:t>-1</w:t>
      </w:r>
      <w:r w:rsidR="00B24121">
        <w:rPr>
          <w:color w:val="000000"/>
          <w:sz w:val="20"/>
          <w:szCs w:val="20"/>
        </w:rPr>
        <w:t xml:space="preserve"> e em A2, 1,32 </w:t>
      </w:r>
      <w:r w:rsidR="00B24121" w:rsidRPr="00730C2B">
        <w:rPr>
          <w:color w:val="000000"/>
          <w:sz w:val="20"/>
          <w:szCs w:val="20"/>
        </w:rPr>
        <w:t>%.ano</w:t>
      </w:r>
      <w:r w:rsidR="00B24121" w:rsidRPr="00730C2B">
        <w:rPr>
          <w:color w:val="000000"/>
          <w:sz w:val="20"/>
          <w:szCs w:val="20"/>
          <w:vertAlign w:val="superscript"/>
        </w:rPr>
        <w:t>-1</w:t>
      </w:r>
      <w:r w:rsidR="00B24121">
        <w:rPr>
          <w:color w:val="000000"/>
          <w:sz w:val="20"/>
          <w:szCs w:val="20"/>
        </w:rPr>
        <w:t>,</w:t>
      </w:r>
      <w:r w:rsidR="00B24121">
        <w:rPr>
          <w:sz w:val="20"/>
          <w:szCs w:val="20"/>
        </w:rPr>
        <w:t xml:space="preserve"> além de uma</w:t>
      </w:r>
      <w:r w:rsidR="00BB7034" w:rsidRPr="00BB7034">
        <w:rPr>
          <w:sz w:val="20"/>
          <w:szCs w:val="20"/>
        </w:rPr>
        <w:t xml:space="preserve"> maior taxa de recrutamento (R)</w:t>
      </w:r>
      <w:r w:rsidR="00B24121">
        <w:rPr>
          <w:sz w:val="20"/>
          <w:szCs w:val="20"/>
        </w:rPr>
        <w:t xml:space="preserve"> (1,88 </w:t>
      </w:r>
      <w:r w:rsidR="00B24121" w:rsidRPr="00730C2B">
        <w:rPr>
          <w:color w:val="000000"/>
          <w:sz w:val="20"/>
          <w:szCs w:val="20"/>
        </w:rPr>
        <w:t>%.ano</w:t>
      </w:r>
      <w:r w:rsidR="00B24121" w:rsidRPr="00730C2B">
        <w:rPr>
          <w:color w:val="000000"/>
          <w:sz w:val="20"/>
          <w:szCs w:val="20"/>
          <w:vertAlign w:val="superscript"/>
        </w:rPr>
        <w:t>-1</w:t>
      </w:r>
      <w:r w:rsidR="00B24121">
        <w:rPr>
          <w:color w:val="000000"/>
          <w:sz w:val="20"/>
          <w:szCs w:val="20"/>
        </w:rPr>
        <w:t xml:space="preserve"> em A1 e 2,82 </w:t>
      </w:r>
      <w:r w:rsidR="00B24121" w:rsidRPr="00730C2B">
        <w:rPr>
          <w:color w:val="000000"/>
          <w:sz w:val="20"/>
          <w:szCs w:val="20"/>
        </w:rPr>
        <w:t>%.ano</w:t>
      </w:r>
      <w:r w:rsidR="00B24121" w:rsidRPr="00730C2B">
        <w:rPr>
          <w:color w:val="000000"/>
          <w:sz w:val="20"/>
          <w:szCs w:val="20"/>
          <w:vertAlign w:val="superscript"/>
        </w:rPr>
        <w:t>-1</w:t>
      </w:r>
      <w:r w:rsidR="00B24121">
        <w:rPr>
          <w:color w:val="000000"/>
          <w:sz w:val="20"/>
          <w:szCs w:val="20"/>
        </w:rPr>
        <w:t xml:space="preserve"> em A2)</w:t>
      </w:r>
      <w:r w:rsidR="00BB7034" w:rsidRPr="00BB7034">
        <w:rPr>
          <w:sz w:val="20"/>
          <w:szCs w:val="20"/>
        </w:rPr>
        <w:t xml:space="preserve">. No período de 2012 a 2016, observou-se uma redução </w:t>
      </w:r>
      <w:r w:rsidR="00B24121">
        <w:rPr>
          <w:sz w:val="20"/>
          <w:szCs w:val="20"/>
        </w:rPr>
        <w:t>de</w:t>
      </w:r>
      <w:r w:rsidR="00160448">
        <w:rPr>
          <w:sz w:val="20"/>
          <w:szCs w:val="20"/>
        </w:rPr>
        <w:t xml:space="preserve"> cerca de</w:t>
      </w:r>
      <w:r w:rsidR="00B24121">
        <w:rPr>
          <w:sz w:val="20"/>
          <w:szCs w:val="20"/>
        </w:rPr>
        <w:t xml:space="preserve"> 37,</w:t>
      </w:r>
      <w:r w:rsidR="00160448">
        <w:rPr>
          <w:sz w:val="20"/>
          <w:szCs w:val="20"/>
        </w:rPr>
        <w:t>03% e 17,16</w:t>
      </w:r>
      <w:r w:rsidR="00B24121">
        <w:rPr>
          <w:sz w:val="20"/>
          <w:szCs w:val="20"/>
        </w:rPr>
        <w:t xml:space="preserve">% </w:t>
      </w:r>
      <w:r w:rsidR="00BB7034" w:rsidRPr="00BB7034">
        <w:rPr>
          <w:sz w:val="20"/>
          <w:szCs w:val="20"/>
        </w:rPr>
        <w:t>na densidade</w:t>
      </w:r>
      <w:r w:rsidR="00BB7034">
        <w:rPr>
          <w:sz w:val="20"/>
          <w:szCs w:val="20"/>
        </w:rPr>
        <w:t xml:space="preserve"> </w:t>
      </w:r>
      <w:r w:rsidR="00BB7034" w:rsidRPr="00BB7034">
        <w:rPr>
          <w:sz w:val="20"/>
          <w:szCs w:val="20"/>
        </w:rPr>
        <w:t xml:space="preserve">e um aumento </w:t>
      </w:r>
      <w:r w:rsidR="00BB7034">
        <w:rPr>
          <w:sz w:val="20"/>
          <w:szCs w:val="20"/>
        </w:rPr>
        <w:t>em M</w:t>
      </w:r>
      <w:r w:rsidR="00160448">
        <w:rPr>
          <w:sz w:val="20"/>
          <w:szCs w:val="20"/>
        </w:rPr>
        <w:t xml:space="preserve"> de 12,27 </w:t>
      </w:r>
      <w:r w:rsidR="00160448">
        <w:rPr>
          <w:color w:val="000000"/>
          <w:sz w:val="20"/>
          <w:szCs w:val="20"/>
        </w:rPr>
        <w:t xml:space="preserve">e 6,27 </w:t>
      </w:r>
      <w:r w:rsidR="00160448" w:rsidRPr="00730C2B">
        <w:rPr>
          <w:color w:val="000000"/>
          <w:sz w:val="20"/>
          <w:szCs w:val="20"/>
        </w:rPr>
        <w:t>%.ano</w:t>
      </w:r>
      <w:r w:rsidR="00160448" w:rsidRPr="00730C2B">
        <w:rPr>
          <w:color w:val="000000"/>
          <w:sz w:val="20"/>
          <w:szCs w:val="20"/>
          <w:vertAlign w:val="superscript"/>
        </w:rPr>
        <w:t>-1</w:t>
      </w:r>
      <w:r w:rsidR="00160448">
        <w:rPr>
          <w:color w:val="000000"/>
          <w:sz w:val="20"/>
          <w:szCs w:val="20"/>
        </w:rPr>
        <w:t xml:space="preserve"> </w:t>
      </w:r>
      <w:r w:rsidR="00160448">
        <w:rPr>
          <w:sz w:val="20"/>
          <w:szCs w:val="20"/>
        </w:rPr>
        <w:t>em A1 e A2, respectivamente</w:t>
      </w:r>
      <w:r w:rsidR="00BB7034" w:rsidRPr="00BB7034">
        <w:rPr>
          <w:sz w:val="20"/>
          <w:szCs w:val="20"/>
        </w:rPr>
        <w:t>, resultando em altas taxas de rotatividade (TN) associadas a taxas negativas de mudança</w:t>
      </w:r>
      <w:r w:rsidR="00160448">
        <w:rPr>
          <w:sz w:val="20"/>
          <w:szCs w:val="20"/>
        </w:rPr>
        <w:t xml:space="preserve"> líquida</w:t>
      </w:r>
      <w:r w:rsidR="00BB7034" w:rsidRPr="00BB7034">
        <w:rPr>
          <w:sz w:val="20"/>
          <w:szCs w:val="20"/>
        </w:rPr>
        <w:t xml:space="preserve"> no número de indi</w:t>
      </w:r>
      <w:r w:rsidR="008D3A17">
        <w:rPr>
          <w:sz w:val="20"/>
          <w:szCs w:val="20"/>
        </w:rPr>
        <w:t>víduos (ChN)</w:t>
      </w:r>
      <w:r w:rsidR="00112398">
        <w:rPr>
          <w:sz w:val="20"/>
          <w:szCs w:val="20"/>
        </w:rPr>
        <w:t xml:space="preserve"> (-10,92 e -4,60 </w:t>
      </w:r>
      <w:r w:rsidR="00112398" w:rsidRPr="00730C2B">
        <w:rPr>
          <w:color w:val="000000"/>
          <w:sz w:val="20"/>
          <w:szCs w:val="20"/>
        </w:rPr>
        <w:t>%.ano</w:t>
      </w:r>
      <w:r w:rsidR="00112398" w:rsidRPr="00730C2B">
        <w:rPr>
          <w:color w:val="000000"/>
          <w:sz w:val="20"/>
          <w:szCs w:val="20"/>
          <w:vertAlign w:val="superscript"/>
        </w:rPr>
        <w:t>-1</w:t>
      </w:r>
      <w:r w:rsidR="00112398" w:rsidRPr="00112398">
        <w:rPr>
          <w:color w:val="000000"/>
          <w:sz w:val="20"/>
          <w:szCs w:val="20"/>
        </w:rPr>
        <w:t>, respectivamente</w:t>
      </w:r>
      <w:r w:rsidR="00112398">
        <w:rPr>
          <w:color w:val="000000"/>
          <w:sz w:val="20"/>
          <w:szCs w:val="20"/>
        </w:rPr>
        <w:t>)</w:t>
      </w:r>
      <w:r w:rsidR="008D3A17">
        <w:rPr>
          <w:sz w:val="20"/>
          <w:szCs w:val="20"/>
        </w:rPr>
        <w:t xml:space="preserve">. </w:t>
      </w:r>
    </w:p>
    <w:p w14:paraId="5720EA89" w14:textId="68C2293D" w:rsidR="00526BC1" w:rsidRPr="00B14C60" w:rsidRDefault="008D3A17" w:rsidP="00B14C60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Entre 2016 e 2020,</w:t>
      </w:r>
      <w:r w:rsidR="00BB7034" w:rsidRPr="00BB7034">
        <w:rPr>
          <w:sz w:val="20"/>
          <w:szCs w:val="20"/>
        </w:rPr>
        <w:t xml:space="preserve"> A1 apresentou </w:t>
      </w:r>
      <w:r w:rsidR="00BB7034">
        <w:rPr>
          <w:sz w:val="20"/>
          <w:szCs w:val="20"/>
        </w:rPr>
        <w:t>M</w:t>
      </w:r>
      <w:r w:rsidR="00BB7034" w:rsidRPr="00BB7034">
        <w:rPr>
          <w:sz w:val="20"/>
          <w:szCs w:val="20"/>
        </w:rPr>
        <w:t xml:space="preserve"> superior ao </w:t>
      </w:r>
      <w:r w:rsidR="00BB7034">
        <w:rPr>
          <w:sz w:val="20"/>
          <w:szCs w:val="20"/>
        </w:rPr>
        <w:t>R</w:t>
      </w:r>
      <w:r w:rsidR="00BB7034" w:rsidRPr="00BB7034">
        <w:rPr>
          <w:sz w:val="20"/>
          <w:szCs w:val="20"/>
        </w:rPr>
        <w:t xml:space="preserve">, enquanto na A2 o </w:t>
      </w:r>
      <w:r w:rsidR="00BB7034">
        <w:rPr>
          <w:sz w:val="20"/>
          <w:szCs w:val="20"/>
        </w:rPr>
        <w:t>R</w:t>
      </w:r>
      <w:r w:rsidR="00BB7034" w:rsidRPr="00BB7034">
        <w:rPr>
          <w:sz w:val="20"/>
          <w:szCs w:val="20"/>
        </w:rPr>
        <w:t xml:space="preserve"> foi maior que </w:t>
      </w:r>
      <w:r w:rsidR="00BB7034">
        <w:rPr>
          <w:sz w:val="20"/>
          <w:szCs w:val="20"/>
        </w:rPr>
        <w:t>M</w:t>
      </w:r>
      <w:r w:rsidR="00BB7034" w:rsidRPr="00BB7034">
        <w:rPr>
          <w:sz w:val="20"/>
          <w:szCs w:val="20"/>
        </w:rPr>
        <w:t>, embora ainda tenha ocorrido perda na densidade</w:t>
      </w:r>
      <w:r w:rsidR="0023117B">
        <w:rPr>
          <w:sz w:val="20"/>
          <w:szCs w:val="20"/>
        </w:rPr>
        <w:t xml:space="preserve"> (cerca de 4,15% e 2,18%, respectivamente). E</w:t>
      </w:r>
      <w:r w:rsidR="00BB7034" w:rsidRPr="00BB7034">
        <w:rPr>
          <w:sz w:val="20"/>
          <w:szCs w:val="20"/>
        </w:rPr>
        <w:t>m ambas</w:t>
      </w:r>
      <w:r w:rsidR="0023117B">
        <w:rPr>
          <w:sz w:val="20"/>
          <w:szCs w:val="20"/>
        </w:rPr>
        <w:t xml:space="preserve"> as áreas</w:t>
      </w:r>
      <w:r w:rsidR="00BB7034" w:rsidRPr="00BB7034">
        <w:rPr>
          <w:sz w:val="20"/>
          <w:szCs w:val="20"/>
        </w:rPr>
        <w:t>, o TN permaneceu elevado</w:t>
      </w:r>
      <w:r w:rsidR="0023117B">
        <w:rPr>
          <w:sz w:val="20"/>
          <w:szCs w:val="20"/>
        </w:rPr>
        <w:t xml:space="preserve"> (3,17 e 3,59 </w:t>
      </w:r>
      <w:r w:rsidR="0023117B" w:rsidRPr="00730C2B">
        <w:rPr>
          <w:color w:val="000000"/>
          <w:sz w:val="20"/>
          <w:szCs w:val="20"/>
        </w:rPr>
        <w:t>%.ano</w:t>
      </w:r>
      <w:r w:rsidR="0023117B" w:rsidRPr="00730C2B">
        <w:rPr>
          <w:color w:val="000000"/>
          <w:sz w:val="20"/>
          <w:szCs w:val="20"/>
          <w:vertAlign w:val="superscript"/>
        </w:rPr>
        <w:t>-1</w:t>
      </w:r>
      <w:r w:rsidR="0023117B">
        <w:rPr>
          <w:color w:val="000000"/>
          <w:sz w:val="20"/>
          <w:szCs w:val="20"/>
          <w:vertAlign w:val="superscript"/>
        </w:rPr>
        <w:t xml:space="preserve"> </w:t>
      </w:r>
      <w:r w:rsidR="0023117B" w:rsidRPr="00112398">
        <w:rPr>
          <w:color w:val="000000"/>
          <w:sz w:val="20"/>
          <w:szCs w:val="20"/>
        </w:rPr>
        <w:t>em A1 e A2, respectivamente</w:t>
      </w:r>
      <w:r w:rsidR="0023117B">
        <w:rPr>
          <w:color w:val="000000"/>
          <w:sz w:val="20"/>
          <w:szCs w:val="20"/>
        </w:rPr>
        <w:t>)</w:t>
      </w:r>
      <w:r w:rsidR="00BB7034" w:rsidRPr="00BB7034">
        <w:rPr>
          <w:sz w:val="20"/>
          <w:szCs w:val="20"/>
        </w:rPr>
        <w:t xml:space="preserve"> e o ChN, negativo. Já no período de 2020 a 2024, </w:t>
      </w:r>
      <w:r>
        <w:rPr>
          <w:sz w:val="20"/>
          <w:szCs w:val="20"/>
        </w:rPr>
        <w:t xml:space="preserve">A1 e A2 </w:t>
      </w:r>
      <w:r w:rsidR="00BB7034" w:rsidRPr="00BB7034">
        <w:rPr>
          <w:sz w:val="20"/>
          <w:szCs w:val="20"/>
        </w:rPr>
        <w:t>voltaram a apresentar mortalidade superior ao recrutamento, com redução nas taxas de rotatividade</w:t>
      </w:r>
      <w:r w:rsidR="00B14C60">
        <w:rPr>
          <w:sz w:val="20"/>
          <w:szCs w:val="20"/>
        </w:rPr>
        <w:t xml:space="preserve"> (1,48 </w:t>
      </w:r>
      <w:r w:rsidR="00B14C60" w:rsidRPr="00730C2B">
        <w:rPr>
          <w:color w:val="000000"/>
          <w:sz w:val="20"/>
          <w:szCs w:val="20"/>
        </w:rPr>
        <w:t>%.ano</w:t>
      </w:r>
      <w:r w:rsidR="00B14C60" w:rsidRPr="00730C2B">
        <w:rPr>
          <w:color w:val="000000"/>
          <w:sz w:val="20"/>
          <w:szCs w:val="20"/>
          <w:vertAlign w:val="superscript"/>
        </w:rPr>
        <w:t>-1</w:t>
      </w:r>
      <w:r w:rsidR="00B14C60">
        <w:rPr>
          <w:color w:val="000000"/>
          <w:sz w:val="20"/>
          <w:szCs w:val="20"/>
        </w:rPr>
        <w:t xml:space="preserve"> em A1 e 0,58 </w:t>
      </w:r>
      <w:r w:rsidR="00B14C60" w:rsidRPr="00730C2B">
        <w:rPr>
          <w:color w:val="000000"/>
          <w:sz w:val="20"/>
          <w:szCs w:val="20"/>
        </w:rPr>
        <w:t>%.ano</w:t>
      </w:r>
      <w:r w:rsidR="00B14C60" w:rsidRPr="00730C2B">
        <w:rPr>
          <w:color w:val="000000"/>
          <w:sz w:val="20"/>
          <w:szCs w:val="20"/>
          <w:vertAlign w:val="superscript"/>
        </w:rPr>
        <w:t>-1</w:t>
      </w:r>
      <w:r w:rsidR="00B14C60">
        <w:rPr>
          <w:color w:val="000000"/>
          <w:sz w:val="20"/>
          <w:szCs w:val="20"/>
        </w:rPr>
        <w:t xml:space="preserve"> em A2)</w:t>
      </w:r>
      <w:r w:rsidR="00BB7034" w:rsidRPr="00BB7034">
        <w:rPr>
          <w:sz w:val="20"/>
          <w:szCs w:val="20"/>
        </w:rPr>
        <w:t xml:space="preserve"> e manutenção de ChN negativ</w:t>
      </w:r>
      <w:r w:rsidR="00BB7034">
        <w:rPr>
          <w:sz w:val="20"/>
          <w:szCs w:val="20"/>
        </w:rPr>
        <w:t>o</w:t>
      </w:r>
      <w:r w:rsidR="00C707DD">
        <w:rPr>
          <w:sz w:val="20"/>
          <w:szCs w:val="20"/>
        </w:rPr>
        <w:t>.</w:t>
      </w:r>
    </w:p>
    <w:p w14:paraId="2AC4EBCC" w14:textId="21C87797" w:rsidR="00DE3CE6" w:rsidRDefault="00D85094" w:rsidP="00151375">
      <w:pPr>
        <w:ind w:firstLine="709"/>
        <w:jc w:val="both"/>
        <w:rPr>
          <w:sz w:val="20"/>
          <w:szCs w:val="20"/>
        </w:rPr>
      </w:pPr>
      <w:bookmarkStart w:id="2" w:name="_Hlk198814191"/>
      <w:r w:rsidRPr="00D85094">
        <w:rPr>
          <w:sz w:val="20"/>
          <w:szCs w:val="20"/>
        </w:rPr>
        <w:t xml:space="preserve">A </w:t>
      </w:r>
      <w:r w:rsidR="00585BF5">
        <w:rPr>
          <w:sz w:val="20"/>
          <w:szCs w:val="20"/>
        </w:rPr>
        <w:t xml:space="preserve">PCA </w:t>
      </w:r>
      <w:r w:rsidRPr="00D85094">
        <w:rPr>
          <w:sz w:val="20"/>
          <w:szCs w:val="20"/>
        </w:rPr>
        <w:t>permitiu o ordenamento das unidades amostrais com base nos parâmetros dinâmicos das comunidades</w:t>
      </w:r>
      <w:r w:rsidR="006335B0">
        <w:rPr>
          <w:sz w:val="20"/>
          <w:szCs w:val="20"/>
        </w:rPr>
        <w:t xml:space="preserve">. </w:t>
      </w:r>
      <w:r w:rsidRPr="00D85094">
        <w:rPr>
          <w:sz w:val="20"/>
          <w:szCs w:val="20"/>
        </w:rPr>
        <w:t>O Componente 1 respondeu por 69,07%, 73,55%, 61,25% e 53,36% da variância nos períodos de 2008–2012, 2012–2016, 2016–2020 e 2020–2024, respectivamente. Já o Componente 2 explicou 30,83%, 26,45%, 38,65% e 46,63% da variânc</w:t>
      </w:r>
      <w:r w:rsidR="008D3A17">
        <w:rPr>
          <w:sz w:val="20"/>
          <w:szCs w:val="20"/>
        </w:rPr>
        <w:t>ia total nos mesmos intervalos (</w:t>
      </w:r>
      <w:r w:rsidRPr="00D85094">
        <w:rPr>
          <w:sz w:val="20"/>
          <w:szCs w:val="20"/>
        </w:rPr>
        <w:t xml:space="preserve">Tabela </w:t>
      </w:r>
      <w:r w:rsidR="00B14C60">
        <w:rPr>
          <w:sz w:val="20"/>
          <w:szCs w:val="20"/>
        </w:rPr>
        <w:t>1</w:t>
      </w:r>
      <w:r w:rsidR="008D3A17">
        <w:rPr>
          <w:sz w:val="20"/>
          <w:szCs w:val="20"/>
        </w:rPr>
        <w:t>)</w:t>
      </w:r>
      <w:r w:rsidR="00526BC1" w:rsidRPr="00526BC1">
        <w:rPr>
          <w:sz w:val="20"/>
          <w:szCs w:val="20"/>
        </w:rPr>
        <w:t>.</w:t>
      </w:r>
    </w:p>
    <w:p w14:paraId="08A113C6" w14:textId="77777777" w:rsidR="00151375" w:rsidRPr="00DE3CE6" w:rsidRDefault="00151375" w:rsidP="00151375">
      <w:pPr>
        <w:jc w:val="both"/>
        <w:rPr>
          <w:sz w:val="20"/>
          <w:szCs w:val="20"/>
        </w:rPr>
      </w:pPr>
    </w:p>
    <w:p w14:paraId="37A2068D" w14:textId="00A856F4" w:rsidR="00426431" w:rsidRPr="00426431" w:rsidRDefault="00426431" w:rsidP="00051072">
      <w:pPr>
        <w:widowControl/>
        <w:ind w:left="851" w:hanging="851"/>
        <w:jc w:val="both"/>
        <w:rPr>
          <w:sz w:val="20"/>
          <w:szCs w:val="20"/>
        </w:rPr>
      </w:pPr>
      <w:r w:rsidRPr="00426431">
        <w:rPr>
          <w:sz w:val="20"/>
          <w:szCs w:val="20"/>
        </w:rPr>
        <w:t xml:space="preserve">Tabela </w:t>
      </w:r>
      <w:r w:rsidR="00B14C60">
        <w:rPr>
          <w:sz w:val="20"/>
          <w:szCs w:val="20"/>
        </w:rPr>
        <w:t>1</w:t>
      </w:r>
      <w:r w:rsidRPr="00426431">
        <w:rPr>
          <w:sz w:val="20"/>
          <w:szCs w:val="20"/>
        </w:rPr>
        <w:t>. Autovalores e variância dos componentes principais resultantes das va</w:t>
      </w:r>
      <w:r w:rsidR="00585BF5">
        <w:rPr>
          <w:sz w:val="20"/>
          <w:szCs w:val="20"/>
        </w:rPr>
        <w:t xml:space="preserve">riáveis de dinâmicas amostradas </w:t>
      </w:r>
      <w:r w:rsidRPr="00426431">
        <w:rPr>
          <w:sz w:val="20"/>
          <w:szCs w:val="20"/>
        </w:rPr>
        <w:t>das comunidades (A1 e A2), no município de Floresta – PE.</w:t>
      </w:r>
    </w:p>
    <w:tbl>
      <w:tblPr>
        <w:tblW w:w="91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5"/>
        <w:gridCol w:w="990"/>
        <w:gridCol w:w="993"/>
        <w:gridCol w:w="990"/>
        <w:gridCol w:w="993"/>
        <w:gridCol w:w="990"/>
        <w:gridCol w:w="993"/>
        <w:gridCol w:w="990"/>
        <w:gridCol w:w="993"/>
      </w:tblGrid>
      <w:tr w:rsidR="00426431" w:rsidRPr="00B81497" w14:paraId="5F430A90" w14:textId="77777777" w:rsidTr="00585BF5">
        <w:trPr>
          <w:trHeight w:val="70"/>
          <w:jc w:val="center"/>
        </w:trPr>
        <w:tc>
          <w:tcPr>
            <w:tcW w:w="125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E21D26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 xml:space="preserve">Variáveis 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85110C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2008-2012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BD5D1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2012-2016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6B8AC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2016-2020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7812A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2020-2024</w:t>
            </w:r>
          </w:p>
        </w:tc>
      </w:tr>
      <w:tr w:rsidR="00A26501" w:rsidRPr="00B81497" w14:paraId="7F8C535A" w14:textId="77777777" w:rsidTr="00585BF5">
        <w:trPr>
          <w:trHeight w:val="70"/>
          <w:jc w:val="center"/>
        </w:trPr>
        <w:tc>
          <w:tcPr>
            <w:tcW w:w="125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F91C24" w14:textId="77777777" w:rsidR="00426431" w:rsidRPr="00B81497" w:rsidRDefault="00426431" w:rsidP="0097758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  <w:hideMark/>
          </w:tcPr>
          <w:p w14:paraId="54B96526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CP1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6A3500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CP2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  <w:hideMark/>
          </w:tcPr>
          <w:p w14:paraId="708024CD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CP1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10CA93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CP2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  <w:hideMark/>
          </w:tcPr>
          <w:p w14:paraId="42385E37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CP1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8344B7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CP2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  <w:hideMark/>
          </w:tcPr>
          <w:p w14:paraId="51EFE710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CP1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802EB2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CP2</w:t>
            </w:r>
          </w:p>
        </w:tc>
      </w:tr>
      <w:tr w:rsidR="00A26501" w:rsidRPr="00B81497" w14:paraId="17455334" w14:textId="77777777" w:rsidTr="00585BF5">
        <w:trPr>
          <w:trHeight w:val="70"/>
          <w:jc w:val="center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AB17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0EBE73E4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0,3130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709FD6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-0,7685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6AB09C72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0,5806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6EBB1A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-0,0894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770C8752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0,1438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B03B71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0,7833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21E53233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-0,6844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C38153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-0,0076</w:t>
            </w:r>
          </w:p>
        </w:tc>
      </w:tr>
      <w:tr w:rsidR="00A26501" w:rsidRPr="00B81497" w14:paraId="47A7287C" w14:textId="77777777" w:rsidTr="00585BF5">
        <w:trPr>
          <w:trHeight w:val="80"/>
          <w:jc w:val="center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A3B7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5CB69BAA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0,5921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7EB015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0,1570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6B3601F9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-0,1638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F6A053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-0,9331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3D715529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0,6339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DCEAE6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-0,0971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192C4DB4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0,0077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ADA531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-0,7321</w:t>
            </w:r>
          </w:p>
        </w:tc>
      </w:tr>
      <w:tr w:rsidR="00A26501" w:rsidRPr="00B81497" w14:paraId="7026F780" w14:textId="77777777" w:rsidTr="00585BF5">
        <w:trPr>
          <w:trHeight w:val="80"/>
          <w:jc w:val="center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F529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T</w:t>
            </w:r>
            <w:r w:rsidRPr="0075119A">
              <w:rPr>
                <w:color w:val="000000"/>
                <w:sz w:val="20"/>
                <w:szCs w:val="20"/>
              </w:rPr>
              <w:t>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2272171D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0,5859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ED78B3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-0,2041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6A3C113D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0,5501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6E436E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0,3223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2A1D8683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0,5764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BE283B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0,3468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1F1A34B4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-0,5140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64ABFD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-0,4835</w:t>
            </w:r>
          </w:p>
        </w:tc>
      </w:tr>
      <w:tr w:rsidR="00A26501" w:rsidRPr="00B81497" w14:paraId="2E0B104A" w14:textId="77777777" w:rsidTr="00585BF5">
        <w:trPr>
          <w:trHeight w:val="80"/>
          <w:jc w:val="center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1ED9A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Ch</w:t>
            </w:r>
            <w:r w:rsidRPr="0075119A">
              <w:rPr>
                <w:color w:val="000000"/>
                <w:sz w:val="20"/>
                <w:szCs w:val="20"/>
              </w:rPr>
              <w:t>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5934E969" w14:textId="77777777" w:rsidR="00426431" w:rsidRPr="001E3900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E3900">
              <w:rPr>
                <w:b/>
                <w:bCs/>
                <w:color w:val="000000"/>
                <w:sz w:val="20"/>
                <w:szCs w:val="20"/>
              </w:rPr>
              <w:t>0,4563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EB5163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0,5857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279E208D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-0,5776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53960A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-0,1322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39AFEF26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0,4953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7665D7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-0,5067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322DA533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0,5170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2762EE" w14:textId="77777777" w:rsidR="00426431" w:rsidRPr="00B81497" w:rsidRDefault="00426431" w:rsidP="0097758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81497">
              <w:rPr>
                <w:b/>
                <w:bCs/>
                <w:color w:val="000000"/>
                <w:sz w:val="20"/>
                <w:szCs w:val="20"/>
              </w:rPr>
              <w:t>-0,4798</w:t>
            </w:r>
          </w:p>
        </w:tc>
      </w:tr>
      <w:tr w:rsidR="00A26501" w:rsidRPr="00B81497" w14:paraId="41E71424" w14:textId="77777777" w:rsidTr="00585BF5">
        <w:trPr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7CB9D3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Autovalores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F1D6C7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2,7627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C96557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1,2333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41744E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2,9418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178291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1,0579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F8D149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2,4501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81D64E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1,5460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0740AE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2,1346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4944F4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1,8652</w:t>
            </w:r>
          </w:p>
        </w:tc>
      </w:tr>
      <w:tr w:rsidR="00A26501" w:rsidRPr="00B81497" w14:paraId="2AB79171" w14:textId="77777777" w:rsidTr="00585BF5">
        <w:trPr>
          <w:trHeight w:val="70"/>
          <w:jc w:val="center"/>
        </w:trPr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C7834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Variância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9C3589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69,07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BEB005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30,83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739531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73,55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2F6FCA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26,45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E05CF1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61,25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5A6B1C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38,65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CBD7AE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53,36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1E0521" w14:textId="77777777" w:rsidR="00426431" w:rsidRPr="00B81497" w:rsidRDefault="00426431" w:rsidP="0097758F">
            <w:pPr>
              <w:jc w:val="center"/>
              <w:rPr>
                <w:color w:val="000000"/>
                <w:sz w:val="20"/>
                <w:szCs w:val="20"/>
              </w:rPr>
            </w:pPr>
            <w:r w:rsidRPr="00B81497">
              <w:rPr>
                <w:color w:val="000000"/>
                <w:sz w:val="20"/>
                <w:szCs w:val="20"/>
              </w:rPr>
              <w:t>46,63</w:t>
            </w:r>
          </w:p>
        </w:tc>
      </w:tr>
    </w:tbl>
    <w:p w14:paraId="5F535658" w14:textId="345AA5E7" w:rsidR="00426431" w:rsidRPr="00426431" w:rsidRDefault="00426431" w:rsidP="00426431">
      <w:pPr>
        <w:widowControl/>
        <w:jc w:val="both"/>
        <w:rPr>
          <w:sz w:val="16"/>
          <w:szCs w:val="16"/>
        </w:rPr>
      </w:pPr>
      <w:r>
        <w:rPr>
          <w:sz w:val="16"/>
          <w:szCs w:val="16"/>
        </w:rPr>
        <w:t xml:space="preserve">Em que: </w:t>
      </w:r>
      <w:r w:rsidR="00585BF5">
        <w:rPr>
          <w:sz w:val="16"/>
          <w:szCs w:val="16"/>
        </w:rPr>
        <w:t xml:space="preserve">M = </w:t>
      </w:r>
      <w:r w:rsidRPr="00426431">
        <w:rPr>
          <w:sz w:val="16"/>
          <w:szCs w:val="16"/>
        </w:rPr>
        <w:t>taxa de mortalidade (%.ha</w:t>
      </w:r>
      <w:r w:rsidRPr="00585BF5">
        <w:rPr>
          <w:sz w:val="16"/>
          <w:szCs w:val="16"/>
          <w:vertAlign w:val="superscript"/>
        </w:rPr>
        <w:t>-1</w:t>
      </w:r>
      <w:r w:rsidR="00585BF5">
        <w:rPr>
          <w:sz w:val="16"/>
          <w:szCs w:val="16"/>
        </w:rPr>
        <w:t xml:space="preserve">); R = </w:t>
      </w:r>
      <w:r w:rsidRPr="00426431">
        <w:rPr>
          <w:sz w:val="16"/>
          <w:szCs w:val="16"/>
        </w:rPr>
        <w:t>taxa de recrutamento (%.ha</w:t>
      </w:r>
      <w:r w:rsidRPr="00585BF5">
        <w:rPr>
          <w:sz w:val="16"/>
          <w:szCs w:val="16"/>
          <w:vertAlign w:val="superscript"/>
        </w:rPr>
        <w:t>-1</w:t>
      </w:r>
      <w:r w:rsidR="00585BF5">
        <w:rPr>
          <w:sz w:val="16"/>
          <w:szCs w:val="16"/>
        </w:rPr>
        <w:t xml:space="preserve">); ChN = </w:t>
      </w:r>
      <w:r w:rsidRPr="00426431">
        <w:rPr>
          <w:sz w:val="16"/>
          <w:szCs w:val="16"/>
        </w:rPr>
        <w:t>taxa de mudança líquida no número de indivíduos (%.ha</w:t>
      </w:r>
      <w:r w:rsidRPr="00585BF5">
        <w:rPr>
          <w:sz w:val="16"/>
          <w:szCs w:val="16"/>
          <w:vertAlign w:val="superscript"/>
        </w:rPr>
        <w:t>-1</w:t>
      </w:r>
      <w:r w:rsidR="00585BF5">
        <w:rPr>
          <w:sz w:val="16"/>
          <w:szCs w:val="16"/>
        </w:rPr>
        <w:t xml:space="preserve">); TN = </w:t>
      </w:r>
      <w:r w:rsidRPr="00426431">
        <w:rPr>
          <w:sz w:val="16"/>
          <w:szCs w:val="16"/>
        </w:rPr>
        <w:t>taxa de rotatividade (turnover) no número de indivíduo (%.ha</w:t>
      </w:r>
      <w:r w:rsidRPr="00585BF5">
        <w:rPr>
          <w:sz w:val="16"/>
          <w:szCs w:val="16"/>
          <w:vertAlign w:val="superscript"/>
        </w:rPr>
        <w:t>-1</w:t>
      </w:r>
      <w:r w:rsidRPr="00426431">
        <w:rPr>
          <w:sz w:val="16"/>
          <w:szCs w:val="16"/>
        </w:rPr>
        <w:t>).</w:t>
      </w:r>
    </w:p>
    <w:bookmarkEnd w:id="2"/>
    <w:p w14:paraId="16C483EA" w14:textId="646CD715" w:rsidR="00526BC1" w:rsidRDefault="00526BC1" w:rsidP="0075119A">
      <w:pPr>
        <w:jc w:val="both"/>
        <w:rPr>
          <w:sz w:val="20"/>
          <w:szCs w:val="20"/>
        </w:rPr>
      </w:pPr>
    </w:p>
    <w:p w14:paraId="7142F363" w14:textId="20CBA6A7" w:rsidR="00526BC1" w:rsidRDefault="007F523B" w:rsidP="004A783A">
      <w:pPr>
        <w:ind w:firstLine="709"/>
        <w:jc w:val="both"/>
        <w:rPr>
          <w:sz w:val="20"/>
          <w:szCs w:val="20"/>
        </w:rPr>
      </w:pPr>
      <w:r w:rsidRPr="007F523B">
        <w:rPr>
          <w:sz w:val="20"/>
          <w:szCs w:val="20"/>
        </w:rPr>
        <w:t>Os resultados da PCA refletiram as variações e</w:t>
      </w:r>
      <w:r w:rsidR="00B14C60">
        <w:rPr>
          <w:sz w:val="20"/>
          <w:szCs w:val="20"/>
        </w:rPr>
        <w:t>struturais descritas na Tabela 1</w:t>
      </w:r>
      <w:r w:rsidRPr="007F523B">
        <w:rPr>
          <w:sz w:val="20"/>
          <w:szCs w:val="20"/>
        </w:rPr>
        <w:t>, indicando que as mudanças no número de indivíduos (ChN e TN) estiveram associadas</w:t>
      </w:r>
      <w:r w:rsidR="00926AF3">
        <w:rPr>
          <w:sz w:val="20"/>
          <w:szCs w:val="20"/>
        </w:rPr>
        <w:t xml:space="preserve"> </w:t>
      </w:r>
      <w:r w:rsidRPr="007F523B">
        <w:rPr>
          <w:sz w:val="20"/>
          <w:szCs w:val="20"/>
        </w:rPr>
        <w:t>às taxas de mortalidade e recrutamento</w:t>
      </w:r>
      <w:r>
        <w:rPr>
          <w:sz w:val="20"/>
          <w:szCs w:val="20"/>
        </w:rPr>
        <w:t xml:space="preserve">, </w:t>
      </w:r>
      <w:r w:rsidRPr="007F523B">
        <w:rPr>
          <w:sz w:val="20"/>
          <w:szCs w:val="20"/>
        </w:rPr>
        <w:t>com maior influência do recrutamento no primeiro e terceiro períodos, e da mortalidade no segundo e quarto</w:t>
      </w:r>
      <w:r w:rsidR="00926AF3">
        <w:rPr>
          <w:sz w:val="20"/>
          <w:szCs w:val="20"/>
        </w:rPr>
        <w:t xml:space="preserve"> (Figura 1)</w:t>
      </w:r>
      <w:r w:rsidRPr="007F523B">
        <w:rPr>
          <w:sz w:val="20"/>
          <w:szCs w:val="20"/>
        </w:rPr>
        <w:t xml:space="preserve">. </w:t>
      </w:r>
      <w:r w:rsidR="006335B0" w:rsidRPr="006335B0">
        <w:rPr>
          <w:sz w:val="20"/>
          <w:szCs w:val="20"/>
        </w:rPr>
        <w:t>As unidades amostrais não formaram agrupamentos distintos no primeiro período, mas a partir do segundo</w:t>
      </w:r>
      <w:r w:rsidR="0075119A">
        <w:rPr>
          <w:sz w:val="20"/>
          <w:szCs w:val="20"/>
        </w:rPr>
        <w:t>,</w:t>
      </w:r>
      <w:r w:rsidR="006335B0" w:rsidRPr="006335B0">
        <w:rPr>
          <w:sz w:val="20"/>
          <w:szCs w:val="20"/>
        </w:rPr>
        <w:t xml:space="preserve"> essa diferenciação passou a </w:t>
      </w:r>
      <w:r w:rsidR="0075119A">
        <w:rPr>
          <w:sz w:val="20"/>
          <w:szCs w:val="20"/>
        </w:rPr>
        <w:t xml:space="preserve">ser </w:t>
      </w:r>
      <w:r w:rsidR="006335B0" w:rsidRPr="006335B0">
        <w:rPr>
          <w:sz w:val="20"/>
          <w:szCs w:val="20"/>
        </w:rPr>
        <w:t>perceptível</w:t>
      </w:r>
      <w:r w:rsidR="00B04693">
        <w:rPr>
          <w:sz w:val="20"/>
          <w:szCs w:val="20"/>
        </w:rPr>
        <w:t>.</w:t>
      </w:r>
    </w:p>
    <w:p w14:paraId="00A0CE66" w14:textId="77777777" w:rsidR="002E79BA" w:rsidRDefault="002E79BA" w:rsidP="002E79BA">
      <w:pPr>
        <w:jc w:val="both"/>
        <w:rPr>
          <w:sz w:val="20"/>
          <w:szCs w:val="20"/>
        </w:rPr>
      </w:pPr>
    </w:p>
    <w:p w14:paraId="72359366" w14:textId="51B132F9" w:rsidR="005A715D" w:rsidRDefault="005A715D" w:rsidP="005A715D">
      <w:pPr>
        <w:jc w:val="center"/>
        <w:rPr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15FD54E6" wp14:editId="5A17316D">
            <wp:extent cx="3952875" cy="3524987"/>
            <wp:effectExtent l="0" t="0" r="0" b="0"/>
            <wp:docPr id="506248418" name="Imagem 18" descr="Gráfico, Gráfico de dispers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48418" name="Imagem 18" descr="Gráfico, Gráfico de dispersão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559" cy="356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C567" w14:textId="33FD060E" w:rsidR="005A715D" w:rsidRPr="005A715D" w:rsidRDefault="005A715D" w:rsidP="003858E1">
      <w:pPr>
        <w:ind w:left="851" w:hanging="851"/>
        <w:jc w:val="both"/>
        <w:rPr>
          <w:sz w:val="20"/>
          <w:szCs w:val="20"/>
        </w:rPr>
      </w:pPr>
      <w:r w:rsidRPr="005A715D">
        <w:rPr>
          <w:sz w:val="20"/>
          <w:szCs w:val="20"/>
        </w:rPr>
        <w:t xml:space="preserve">Figura </w:t>
      </w:r>
      <w:r w:rsidR="00926AF3">
        <w:rPr>
          <w:sz w:val="20"/>
          <w:szCs w:val="20"/>
        </w:rPr>
        <w:t>1</w:t>
      </w:r>
      <w:r w:rsidRPr="005A715D">
        <w:rPr>
          <w:sz w:val="20"/>
          <w:szCs w:val="20"/>
        </w:rPr>
        <w:t>. Representação bidimensional dos padrões de variação das áreas A</w:t>
      </w:r>
      <w:r w:rsidRPr="005A715D">
        <w:rPr>
          <w:sz w:val="20"/>
          <w:szCs w:val="20"/>
          <w:vertAlign w:val="subscript"/>
        </w:rPr>
        <w:t>1</w:t>
      </w:r>
      <w:r w:rsidRPr="005A715D">
        <w:rPr>
          <w:sz w:val="20"/>
          <w:szCs w:val="20"/>
        </w:rPr>
        <w:t xml:space="preserve"> e A</w:t>
      </w:r>
      <w:r w:rsidRPr="005A715D">
        <w:rPr>
          <w:sz w:val="20"/>
          <w:szCs w:val="20"/>
          <w:vertAlign w:val="subscript"/>
        </w:rPr>
        <w:t>2</w:t>
      </w:r>
      <w:r w:rsidRPr="005A715D">
        <w:rPr>
          <w:sz w:val="20"/>
          <w:szCs w:val="20"/>
        </w:rPr>
        <w:t xml:space="preserve"> ao longo dos períodos de 2008 a 2012 (A), 2012 a 2016 (B), 2016 a 2020 (C) e 2020 a 2024 (D), obtida por Análise de Componentes Principais (PCA), no município de Floresta – PE.</w:t>
      </w:r>
    </w:p>
    <w:p w14:paraId="7075BCF3" w14:textId="77777777" w:rsidR="005A715D" w:rsidRDefault="005A715D" w:rsidP="005A715D">
      <w:pPr>
        <w:rPr>
          <w:sz w:val="20"/>
          <w:szCs w:val="20"/>
        </w:rPr>
      </w:pPr>
    </w:p>
    <w:p w14:paraId="3FC50F7D" w14:textId="3243A3DE" w:rsidR="00B04693" w:rsidRDefault="00233A39" w:rsidP="00B04693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Ao avaliar o Componente 1, n</w:t>
      </w:r>
      <w:r w:rsidR="00B04693" w:rsidRPr="006335B0">
        <w:rPr>
          <w:sz w:val="20"/>
          <w:szCs w:val="20"/>
        </w:rPr>
        <w:t xml:space="preserve">o segundo período, </w:t>
      </w:r>
      <w:r w:rsidR="00B04693">
        <w:rPr>
          <w:sz w:val="20"/>
          <w:szCs w:val="20"/>
        </w:rPr>
        <w:t>A1 e A2 passaram</w:t>
      </w:r>
      <w:r w:rsidR="00B04693" w:rsidRPr="006335B0">
        <w:rPr>
          <w:sz w:val="20"/>
          <w:szCs w:val="20"/>
        </w:rPr>
        <w:t xml:space="preserve"> a </w:t>
      </w:r>
      <w:r w:rsidR="00B04693">
        <w:rPr>
          <w:sz w:val="20"/>
          <w:szCs w:val="20"/>
        </w:rPr>
        <w:t xml:space="preserve">ter </w:t>
      </w:r>
      <w:r w:rsidR="00B04693" w:rsidRPr="006335B0">
        <w:rPr>
          <w:sz w:val="20"/>
          <w:szCs w:val="20"/>
        </w:rPr>
        <w:t xml:space="preserve">maior </w:t>
      </w:r>
      <w:r>
        <w:rPr>
          <w:sz w:val="20"/>
          <w:szCs w:val="20"/>
        </w:rPr>
        <w:t>mudança no número de indivíduos</w:t>
      </w:r>
      <w:r w:rsidR="00B04693" w:rsidRPr="006335B0">
        <w:rPr>
          <w:sz w:val="20"/>
          <w:szCs w:val="20"/>
        </w:rPr>
        <w:t xml:space="preserve"> associada à mortalidade de indivíduos. No terceiro, A2 destacou-se por uma mudança estrutural influenciada principalmente pelo recrutamento</w:t>
      </w:r>
      <w:r w:rsidR="00B04693">
        <w:rPr>
          <w:sz w:val="20"/>
          <w:szCs w:val="20"/>
        </w:rPr>
        <w:t>, enquanto A1, pela mortalidade</w:t>
      </w:r>
      <w:r w:rsidR="00B04693" w:rsidRPr="006335B0">
        <w:rPr>
          <w:sz w:val="20"/>
          <w:szCs w:val="20"/>
        </w:rPr>
        <w:t xml:space="preserve">. Já no quarto período, </w:t>
      </w:r>
      <w:r w:rsidR="00B04693">
        <w:rPr>
          <w:sz w:val="20"/>
          <w:szCs w:val="20"/>
        </w:rPr>
        <w:t>ambas as áreas voltaram</w:t>
      </w:r>
      <w:r w:rsidR="00B04693" w:rsidRPr="006335B0">
        <w:rPr>
          <w:sz w:val="20"/>
          <w:szCs w:val="20"/>
        </w:rPr>
        <w:t xml:space="preserve"> a apresentar maior influência da mortalidade sobre sua dinâmica estrutural.</w:t>
      </w:r>
      <w:r w:rsidR="00B04693">
        <w:rPr>
          <w:sz w:val="20"/>
          <w:szCs w:val="20"/>
        </w:rPr>
        <w:t xml:space="preserve"> É importante ressaltar que</w:t>
      </w:r>
      <w:r w:rsidR="00B04693" w:rsidRPr="007F523B">
        <w:rPr>
          <w:sz w:val="20"/>
          <w:szCs w:val="20"/>
        </w:rPr>
        <w:t xml:space="preserve"> </w:t>
      </w:r>
      <w:r w:rsidR="00B04693">
        <w:rPr>
          <w:sz w:val="20"/>
          <w:szCs w:val="20"/>
        </w:rPr>
        <w:t>algumas</w:t>
      </w:r>
      <w:r w:rsidR="00B04693" w:rsidRPr="007F523B">
        <w:rPr>
          <w:sz w:val="20"/>
          <w:szCs w:val="20"/>
        </w:rPr>
        <w:t xml:space="preserve"> </w:t>
      </w:r>
      <w:r w:rsidR="00B04693">
        <w:rPr>
          <w:sz w:val="20"/>
          <w:szCs w:val="20"/>
        </w:rPr>
        <w:t xml:space="preserve">unidades amostrais </w:t>
      </w:r>
      <w:r w:rsidR="00B04693" w:rsidRPr="007F523B">
        <w:rPr>
          <w:sz w:val="20"/>
          <w:szCs w:val="20"/>
        </w:rPr>
        <w:t>se distribuíram ao longo de um gradiente contínuo</w:t>
      </w:r>
      <w:r w:rsidR="00B04693">
        <w:rPr>
          <w:sz w:val="20"/>
          <w:szCs w:val="20"/>
        </w:rPr>
        <w:t xml:space="preserve"> (não se discriminaram)</w:t>
      </w:r>
      <w:r w:rsidR="00B04693" w:rsidRPr="007F523B">
        <w:rPr>
          <w:sz w:val="20"/>
          <w:szCs w:val="20"/>
        </w:rPr>
        <w:t xml:space="preserve">, sugerindo ausência de padrões estruturais bem definidos entre as áreas, comportamento semelhante ao descrito por Cruz </w:t>
      </w:r>
      <w:r w:rsidR="00B04693" w:rsidRPr="000E248C">
        <w:rPr>
          <w:i/>
          <w:sz w:val="20"/>
          <w:szCs w:val="20"/>
        </w:rPr>
        <w:t>et al</w:t>
      </w:r>
      <w:r w:rsidR="00B04693" w:rsidRPr="007F523B">
        <w:rPr>
          <w:sz w:val="20"/>
          <w:szCs w:val="20"/>
        </w:rPr>
        <w:t>. (2024) em Floresta Ombrófila Mista, o que reforça a complexidade da dinâmica ecológica também em ambientes semiáridos</w:t>
      </w:r>
      <w:r w:rsidR="00B04693" w:rsidRPr="00526BC1">
        <w:rPr>
          <w:sz w:val="20"/>
          <w:szCs w:val="20"/>
        </w:rPr>
        <w:t>.</w:t>
      </w:r>
    </w:p>
    <w:p w14:paraId="0A8DEFEC" w14:textId="0729A86C" w:rsidR="009E357C" w:rsidRPr="00926AF3" w:rsidRDefault="009E357C" w:rsidP="00926AF3">
      <w:pPr>
        <w:widowControl/>
        <w:ind w:firstLine="709"/>
        <w:jc w:val="both"/>
      </w:pPr>
      <w:r>
        <w:rPr>
          <w:sz w:val="20"/>
          <w:szCs w:val="20"/>
        </w:rPr>
        <w:t>Alguns trabalhos</w:t>
      </w:r>
      <w:r w:rsidR="005D5F16" w:rsidRPr="00D85094">
        <w:rPr>
          <w:sz w:val="20"/>
          <w:szCs w:val="20"/>
        </w:rPr>
        <w:t xml:space="preserve"> apontam a ocorrência de uma seca severa na região Nordeste do Brasil entre 2011 e 2012, com persistência de eventos de seca de intensidade moderada a extrema até 2019 (C</w:t>
      </w:r>
      <w:r w:rsidR="00286014" w:rsidRPr="00D85094">
        <w:rPr>
          <w:sz w:val="20"/>
          <w:szCs w:val="20"/>
        </w:rPr>
        <w:t>UNHA</w:t>
      </w:r>
      <w:r w:rsidR="005D5F16" w:rsidRPr="00D85094">
        <w:rPr>
          <w:sz w:val="20"/>
          <w:szCs w:val="20"/>
        </w:rPr>
        <w:t xml:space="preserve"> </w:t>
      </w:r>
      <w:r w:rsidR="005D5F16" w:rsidRPr="004C24A5">
        <w:rPr>
          <w:i/>
          <w:iCs/>
          <w:sz w:val="20"/>
          <w:szCs w:val="20"/>
        </w:rPr>
        <w:t>et al</w:t>
      </w:r>
      <w:r w:rsidR="005D5F16" w:rsidRPr="00D85094">
        <w:rPr>
          <w:sz w:val="20"/>
          <w:szCs w:val="20"/>
        </w:rPr>
        <w:t>., 2019). Esse período é reconhecido como um dos mais críticos da história recente, afetando tanto a população quanto a vegetação e seus aspectos fenológicos (</w:t>
      </w:r>
      <w:r w:rsidR="00614F5D">
        <w:rPr>
          <w:sz w:val="20"/>
          <w:szCs w:val="20"/>
        </w:rPr>
        <w:t>MARENGO</w:t>
      </w:r>
      <w:r w:rsidR="00C82D4C">
        <w:rPr>
          <w:sz w:val="20"/>
          <w:szCs w:val="20"/>
        </w:rPr>
        <w:t xml:space="preserve">; TORRES; ALVES, </w:t>
      </w:r>
      <w:r w:rsidR="005D5F16" w:rsidRPr="00D85094">
        <w:rPr>
          <w:sz w:val="20"/>
          <w:szCs w:val="20"/>
        </w:rPr>
        <w:t>2017; F</w:t>
      </w:r>
      <w:r w:rsidR="00286014" w:rsidRPr="00D85094">
        <w:rPr>
          <w:sz w:val="20"/>
          <w:szCs w:val="20"/>
        </w:rPr>
        <w:t>ERREIRA</w:t>
      </w:r>
      <w:r w:rsidR="005D5F16" w:rsidRPr="00D85094">
        <w:rPr>
          <w:sz w:val="20"/>
          <w:szCs w:val="20"/>
        </w:rPr>
        <w:t xml:space="preserve"> </w:t>
      </w:r>
      <w:r w:rsidR="005D5F16" w:rsidRPr="00614F5D">
        <w:rPr>
          <w:i/>
          <w:sz w:val="20"/>
          <w:szCs w:val="20"/>
        </w:rPr>
        <w:t>et al</w:t>
      </w:r>
      <w:r w:rsidR="005D5F16" w:rsidRPr="00D85094">
        <w:rPr>
          <w:sz w:val="20"/>
          <w:szCs w:val="20"/>
        </w:rPr>
        <w:t xml:space="preserve">., 2025). </w:t>
      </w:r>
      <w:r>
        <w:rPr>
          <w:sz w:val="20"/>
          <w:szCs w:val="20"/>
        </w:rPr>
        <w:t xml:space="preserve">Ao comparar esses eventos climáticos com os </w:t>
      </w:r>
      <w:r w:rsidR="00A9204B">
        <w:rPr>
          <w:sz w:val="20"/>
          <w:szCs w:val="20"/>
        </w:rPr>
        <w:t>resultados</w:t>
      </w:r>
      <w:r>
        <w:rPr>
          <w:sz w:val="20"/>
          <w:szCs w:val="20"/>
        </w:rPr>
        <w:t xml:space="preserve"> deste trabalho</w:t>
      </w:r>
      <w:r w:rsidR="00A9204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verifica-se que a </w:t>
      </w:r>
      <w:r w:rsidR="00526BC1" w:rsidRPr="00526BC1">
        <w:rPr>
          <w:sz w:val="20"/>
          <w:szCs w:val="20"/>
        </w:rPr>
        <w:t>variação climática</w:t>
      </w:r>
      <w:r>
        <w:rPr>
          <w:sz w:val="20"/>
          <w:szCs w:val="20"/>
        </w:rPr>
        <w:t>,</w:t>
      </w:r>
      <w:r w:rsidR="00526BC1" w:rsidRPr="00526BC1">
        <w:rPr>
          <w:sz w:val="20"/>
          <w:szCs w:val="20"/>
        </w:rPr>
        <w:t xml:space="preserve"> </w:t>
      </w:r>
      <w:r>
        <w:rPr>
          <w:sz w:val="20"/>
          <w:szCs w:val="20"/>
        </w:rPr>
        <w:t>entre 2012 e 2016, tende a ser o</w:t>
      </w:r>
      <w:r w:rsidR="00526BC1" w:rsidRPr="00526BC1">
        <w:rPr>
          <w:sz w:val="20"/>
          <w:szCs w:val="20"/>
        </w:rPr>
        <w:t xml:space="preserve"> principal fator para a </w:t>
      </w:r>
      <w:r>
        <w:rPr>
          <w:sz w:val="20"/>
          <w:szCs w:val="20"/>
        </w:rPr>
        <w:t>mortalidade de indivíduos</w:t>
      </w:r>
      <w:r w:rsidR="00526BC1" w:rsidRPr="00526BC1">
        <w:rPr>
          <w:sz w:val="20"/>
          <w:szCs w:val="20"/>
        </w:rPr>
        <w:t xml:space="preserve"> </w:t>
      </w:r>
      <w:r>
        <w:rPr>
          <w:sz w:val="20"/>
          <w:szCs w:val="20"/>
        </w:rPr>
        <w:t>nas</w:t>
      </w:r>
      <w:r w:rsidR="00526BC1" w:rsidRPr="00526BC1">
        <w:rPr>
          <w:sz w:val="20"/>
          <w:szCs w:val="20"/>
        </w:rPr>
        <w:t xml:space="preserve"> comunidades semiáridas </w:t>
      </w:r>
      <w:r>
        <w:rPr>
          <w:sz w:val="20"/>
          <w:szCs w:val="20"/>
        </w:rPr>
        <w:t>estudadas</w:t>
      </w:r>
      <w:r w:rsidR="00526BC1" w:rsidRPr="00526BC1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Essa </w:t>
      </w:r>
      <w:r>
        <w:rPr>
          <w:sz w:val="20"/>
          <w:szCs w:val="20"/>
        </w:rPr>
        <w:lastRenderedPageBreak/>
        <w:t xml:space="preserve">predisposição é confirmada por </w:t>
      </w:r>
      <w:r w:rsidRPr="00526BC1">
        <w:rPr>
          <w:sz w:val="20"/>
          <w:szCs w:val="20"/>
        </w:rPr>
        <w:t xml:space="preserve">Siyum </w:t>
      </w:r>
      <w:r>
        <w:rPr>
          <w:sz w:val="20"/>
          <w:szCs w:val="20"/>
        </w:rPr>
        <w:t>(</w:t>
      </w:r>
      <w:r w:rsidRPr="00526BC1">
        <w:rPr>
          <w:sz w:val="20"/>
          <w:szCs w:val="20"/>
        </w:rPr>
        <w:t>2020</w:t>
      </w:r>
      <w:r>
        <w:rPr>
          <w:sz w:val="20"/>
          <w:szCs w:val="20"/>
        </w:rPr>
        <w:t>)</w:t>
      </w:r>
      <w:r w:rsidR="00C67ED7">
        <w:rPr>
          <w:sz w:val="20"/>
          <w:szCs w:val="20"/>
        </w:rPr>
        <w:t xml:space="preserve"> e </w:t>
      </w:r>
      <w:r w:rsidR="00C67ED7" w:rsidRPr="00526BC1">
        <w:rPr>
          <w:sz w:val="20"/>
          <w:szCs w:val="20"/>
        </w:rPr>
        <w:t xml:space="preserve">Manrique-Ascencio </w:t>
      </w:r>
      <w:r w:rsidR="00C67ED7" w:rsidRPr="00614F5D">
        <w:rPr>
          <w:i/>
          <w:sz w:val="20"/>
          <w:szCs w:val="20"/>
        </w:rPr>
        <w:t>et al</w:t>
      </w:r>
      <w:r w:rsidR="00C67ED7" w:rsidRPr="00526BC1">
        <w:rPr>
          <w:sz w:val="20"/>
          <w:szCs w:val="20"/>
        </w:rPr>
        <w:t>.</w:t>
      </w:r>
      <w:r w:rsidR="00C67ED7">
        <w:rPr>
          <w:sz w:val="20"/>
          <w:szCs w:val="20"/>
        </w:rPr>
        <w:t xml:space="preserve"> (</w:t>
      </w:r>
      <w:r w:rsidR="00C67ED7" w:rsidRPr="00526BC1">
        <w:rPr>
          <w:sz w:val="20"/>
          <w:szCs w:val="20"/>
        </w:rPr>
        <w:t>2024</w:t>
      </w:r>
      <w:r w:rsidR="00C67ED7">
        <w:rPr>
          <w:sz w:val="20"/>
          <w:szCs w:val="20"/>
        </w:rPr>
        <w:t>)</w:t>
      </w:r>
      <w:r>
        <w:rPr>
          <w:sz w:val="20"/>
          <w:szCs w:val="20"/>
        </w:rPr>
        <w:t>, ao afirmarem que em</w:t>
      </w:r>
      <w:r w:rsidR="00526BC1" w:rsidRPr="00526BC1">
        <w:rPr>
          <w:sz w:val="20"/>
          <w:szCs w:val="20"/>
        </w:rPr>
        <w:t xml:space="preserve"> períodos de seca, </w:t>
      </w:r>
      <w:r>
        <w:rPr>
          <w:sz w:val="20"/>
          <w:szCs w:val="20"/>
        </w:rPr>
        <w:t>comunidades arbustivo-arbóreas de florestas secas</w:t>
      </w:r>
      <w:r w:rsidR="00526BC1" w:rsidRPr="00526BC1">
        <w:rPr>
          <w:sz w:val="20"/>
          <w:szCs w:val="20"/>
        </w:rPr>
        <w:t xml:space="preserve"> </w:t>
      </w:r>
      <w:r>
        <w:rPr>
          <w:sz w:val="20"/>
          <w:szCs w:val="20"/>
        </w:rPr>
        <w:t>tendem a ter</w:t>
      </w:r>
      <w:r w:rsidR="00526BC1" w:rsidRPr="00526BC1">
        <w:rPr>
          <w:sz w:val="20"/>
          <w:szCs w:val="20"/>
        </w:rPr>
        <w:t xml:space="preserve"> aumento da mortalidade de indivíduos</w:t>
      </w:r>
      <w:r>
        <w:rPr>
          <w:sz w:val="20"/>
          <w:szCs w:val="20"/>
        </w:rPr>
        <w:t xml:space="preserve"> e com o aumento da precipitação</w:t>
      </w:r>
      <w:r w:rsidR="00526BC1" w:rsidRPr="00526BC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tendem a ter maior </w:t>
      </w:r>
      <w:r w:rsidR="00526BC1" w:rsidRPr="00526BC1">
        <w:rPr>
          <w:sz w:val="20"/>
          <w:szCs w:val="20"/>
        </w:rPr>
        <w:t xml:space="preserve">recrutamento </w:t>
      </w:r>
      <w:r>
        <w:rPr>
          <w:sz w:val="20"/>
          <w:szCs w:val="20"/>
        </w:rPr>
        <w:t>e</w:t>
      </w:r>
      <w:r w:rsidR="00526BC1" w:rsidRPr="00526BC1">
        <w:rPr>
          <w:sz w:val="20"/>
          <w:szCs w:val="20"/>
        </w:rPr>
        <w:t xml:space="preserve"> crescimento dos indivíduos remanescentes.</w:t>
      </w:r>
      <w:r w:rsidR="00A9204B">
        <w:rPr>
          <w:sz w:val="20"/>
          <w:szCs w:val="20"/>
        </w:rPr>
        <w:t xml:space="preserve"> </w:t>
      </w:r>
    </w:p>
    <w:p w14:paraId="587B8AB0" w14:textId="268044E9" w:rsidR="00426431" w:rsidRPr="00151375" w:rsidRDefault="009E357C" w:rsidP="00151375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Além disso, os resultados mostram que </w:t>
      </w:r>
      <w:r w:rsidR="00A9204B">
        <w:rPr>
          <w:sz w:val="20"/>
          <w:szCs w:val="20"/>
        </w:rPr>
        <w:t>áreas com distúrbio recente</w:t>
      </w:r>
      <w:r>
        <w:rPr>
          <w:sz w:val="20"/>
          <w:szCs w:val="20"/>
        </w:rPr>
        <w:t>, como a área A2,</w:t>
      </w:r>
      <w:r w:rsidR="00A9204B">
        <w:rPr>
          <w:sz w:val="20"/>
          <w:szCs w:val="20"/>
        </w:rPr>
        <w:t xml:space="preserve"> </w:t>
      </w:r>
      <w:r>
        <w:rPr>
          <w:sz w:val="20"/>
          <w:szCs w:val="20"/>
        </w:rPr>
        <w:t>tendem a apresentar</w:t>
      </w:r>
      <w:r w:rsidR="00A9204B">
        <w:rPr>
          <w:sz w:val="20"/>
          <w:szCs w:val="20"/>
        </w:rPr>
        <w:t xml:space="preserve"> maior resiliência no período pós-seca, </w:t>
      </w:r>
      <w:r w:rsidR="001B68AA">
        <w:rPr>
          <w:sz w:val="20"/>
          <w:szCs w:val="20"/>
        </w:rPr>
        <w:t>estando associado</w:t>
      </w:r>
      <w:r w:rsidR="00A9204B">
        <w:rPr>
          <w:sz w:val="20"/>
          <w:szCs w:val="20"/>
        </w:rPr>
        <w:t xml:space="preserve"> à menor competição que </w:t>
      </w:r>
      <w:r w:rsidR="001B68AA">
        <w:rPr>
          <w:sz w:val="20"/>
          <w:szCs w:val="20"/>
        </w:rPr>
        <w:t>existe</w:t>
      </w:r>
      <w:r w:rsidR="00A9204B">
        <w:rPr>
          <w:sz w:val="20"/>
          <w:szCs w:val="20"/>
        </w:rPr>
        <w:t xml:space="preserve"> entre</w:t>
      </w:r>
      <w:r w:rsidR="001B68AA">
        <w:rPr>
          <w:sz w:val="20"/>
          <w:szCs w:val="20"/>
        </w:rPr>
        <w:t xml:space="preserve"> os</w:t>
      </w:r>
      <w:r w:rsidR="00A9204B">
        <w:rPr>
          <w:sz w:val="20"/>
          <w:szCs w:val="20"/>
        </w:rPr>
        <w:t xml:space="preserve"> indivíduos (devido à menor densidade) e a maior disponibilidade de recursos.</w:t>
      </w:r>
      <w:r w:rsidR="001B68AA">
        <w:rPr>
          <w:sz w:val="20"/>
          <w:szCs w:val="20"/>
        </w:rPr>
        <w:t xml:space="preserve"> Contudo, para</w:t>
      </w:r>
      <w:r w:rsidR="00A9204B">
        <w:rPr>
          <w:sz w:val="20"/>
          <w:szCs w:val="20"/>
        </w:rPr>
        <w:t xml:space="preserve"> uma melhor compreensão do processo dinâmico</w:t>
      </w:r>
      <w:r w:rsidR="001B68AA">
        <w:rPr>
          <w:sz w:val="20"/>
          <w:szCs w:val="20"/>
        </w:rPr>
        <w:t xml:space="preserve"> nessas áreas,</w:t>
      </w:r>
      <w:r w:rsidR="00526BC1" w:rsidRPr="00526BC1">
        <w:rPr>
          <w:sz w:val="20"/>
          <w:szCs w:val="20"/>
        </w:rPr>
        <w:t xml:space="preserve"> Oliveira </w:t>
      </w:r>
      <w:r w:rsidR="00526BC1" w:rsidRPr="00614F5D">
        <w:rPr>
          <w:i/>
          <w:sz w:val="20"/>
          <w:szCs w:val="20"/>
        </w:rPr>
        <w:t>et al</w:t>
      </w:r>
      <w:r w:rsidR="00526BC1" w:rsidRPr="00526BC1">
        <w:rPr>
          <w:sz w:val="20"/>
          <w:szCs w:val="20"/>
        </w:rPr>
        <w:t xml:space="preserve">. (2020) destacam </w:t>
      </w:r>
      <w:r w:rsidR="00A9204B">
        <w:rPr>
          <w:sz w:val="20"/>
          <w:szCs w:val="20"/>
        </w:rPr>
        <w:t>a importância</w:t>
      </w:r>
      <w:r w:rsidR="00526BC1" w:rsidRPr="00526BC1">
        <w:rPr>
          <w:sz w:val="20"/>
          <w:szCs w:val="20"/>
        </w:rPr>
        <w:t xml:space="preserve"> de se investigar a resposta das populações de espécies individualmente, uma vez que cada espécie pode adotar estratégias adaptativas distintas diante </w:t>
      </w:r>
      <w:r w:rsidR="00926AF3">
        <w:rPr>
          <w:sz w:val="20"/>
          <w:szCs w:val="20"/>
        </w:rPr>
        <w:t>d</w:t>
      </w:r>
      <w:r w:rsidR="00526BC1" w:rsidRPr="00526BC1">
        <w:rPr>
          <w:sz w:val="20"/>
          <w:szCs w:val="20"/>
        </w:rPr>
        <w:t xml:space="preserve">a estiagem. </w:t>
      </w:r>
    </w:p>
    <w:p w14:paraId="4A8B79F0" w14:textId="77777777" w:rsidR="004F39B9" w:rsidRDefault="004F39B9" w:rsidP="00E729B5">
      <w:pPr>
        <w:widowControl/>
        <w:jc w:val="both"/>
        <w:rPr>
          <w:b/>
          <w:sz w:val="20"/>
          <w:szCs w:val="20"/>
        </w:rPr>
      </w:pPr>
    </w:p>
    <w:p w14:paraId="5EDAE14F" w14:textId="2EA97461" w:rsidR="00C802EF" w:rsidRPr="00804FC4" w:rsidRDefault="0097758F" w:rsidP="00804FC4">
      <w:pPr>
        <w:pStyle w:val="PargrafodaLista"/>
        <w:widowControl/>
        <w:numPr>
          <w:ilvl w:val="0"/>
          <w:numId w:val="3"/>
        </w:numPr>
        <w:ind w:left="142" w:hanging="142"/>
        <w:jc w:val="both"/>
        <w:rPr>
          <w:sz w:val="20"/>
          <w:szCs w:val="20"/>
        </w:rPr>
      </w:pPr>
      <w:r w:rsidRPr="00804FC4">
        <w:rPr>
          <w:b/>
          <w:sz w:val="20"/>
          <w:szCs w:val="20"/>
        </w:rPr>
        <w:t xml:space="preserve">CONCLUSÕES </w:t>
      </w:r>
    </w:p>
    <w:p w14:paraId="0E028BE3" w14:textId="6067A2CF" w:rsidR="00C802EF" w:rsidRDefault="001B68AA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Comunidades arbustivo-arbóreas </w:t>
      </w:r>
      <w:r w:rsidR="00107C5E">
        <w:rPr>
          <w:sz w:val="20"/>
          <w:szCs w:val="20"/>
        </w:rPr>
        <w:t xml:space="preserve">em regiões semiáridas geralmente apresentam </w:t>
      </w:r>
      <w:r>
        <w:rPr>
          <w:sz w:val="20"/>
          <w:szCs w:val="20"/>
        </w:rPr>
        <w:t>maior mortalidade em períodos de estiagem;</w:t>
      </w:r>
    </w:p>
    <w:p w14:paraId="12BD446E" w14:textId="23D53D2B" w:rsidR="00C802EF" w:rsidRDefault="001B68AA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>
        <w:rPr>
          <w:sz w:val="20"/>
          <w:szCs w:val="20"/>
        </w:rPr>
        <w:t>Áreas mais antropizadas tendem a ser mais resilientes no período</w:t>
      </w:r>
      <w:r w:rsidR="00FE4D21">
        <w:rPr>
          <w:sz w:val="20"/>
          <w:szCs w:val="20"/>
        </w:rPr>
        <w:t xml:space="preserve"> pós</w:t>
      </w:r>
      <w:r>
        <w:rPr>
          <w:sz w:val="20"/>
          <w:szCs w:val="20"/>
        </w:rPr>
        <w:t xml:space="preserve">-seca, com taxa de recrutamento maior que </w:t>
      </w:r>
      <w:r w:rsidR="00FE4D21">
        <w:rPr>
          <w:sz w:val="20"/>
          <w:szCs w:val="20"/>
        </w:rPr>
        <w:t xml:space="preserve">a taxa de </w:t>
      </w:r>
      <w:r w:rsidR="00926AF3">
        <w:rPr>
          <w:sz w:val="20"/>
          <w:szCs w:val="20"/>
        </w:rPr>
        <w:t>mortalidade;</w:t>
      </w:r>
    </w:p>
    <w:p w14:paraId="0B7797C8" w14:textId="0E512828" w:rsidR="00C802EF" w:rsidRPr="00151375" w:rsidRDefault="00FE4D21" w:rsidP="00B26ADC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Recomenda-se avaliar a dinâmica </w:t>
      </w:r>
      <w:r w:rsidR="00107C5E">
        <w:rPr>
          <w:sz w:val="20"/>
          <w:szCs w:val="20"/>
        </w:rPr>
        <w:t xml:space="preserve">a nível de </w:t>
      </w:r>
      <w:r>
        <w:rPr>
          <w:sz w:val="20"/>
          <w:szCs w:val="20"/>
        </w:rPr>
        <w:t>população</w:t>
      </w:r>
      <w:r w:rsidR="00107C5E">
        <w:rPr>
          <w:sz w:val="20"/>
          <w:szCs w:val="20"/>
        </w:rPr>
        <w:t>, com o intuito de</w:t>
      </w:r>
      <w:r>
        <w:rPr>
          <w:sz w:val="20"/>
          <w:szCs w:val="20"/>
        </w:rPr>
        <w:t xml:space="preserve"> compreender os mecanismos de adaptação das espécies frente ao período de estiagem. </w:t>
      </w:r>
    </w:p>
    <w:p w14:paraId="046FAC25" w14:textId="77777777" w:rsidR="004F39B9" w:rsidRDefault="004F39B9" w:rsidP="00B26ADC">
      <w:pPr>
        <w:widowControl/>
        <w:jc w:val="both"/>
        <w:rPr>
          <w:b/>
          <w:sz w:val="20"/>
          <w:szCs w:val="20"/>
        </w:rPr>
      </w:pPr>
    </w:p>
    <w:p w14:paraId="3F715C7B" w14:textId="2A68E028" w:rsidR="00C802EF" w:rsidRPr="00804FC4" w:rsidRDefault="0097758F" w:rsidP="00804FC4">
      <w:pPr>
        <w:pStyle w:val="PargrafodaLista"/>
        <w:widowControl/>
        <w:numPr>
          <w:ilvl w:val="0"/>
          <w:numId w:val="3"/>
        </w:numPr>
        <w:ind w:left="142" w:hanging="142"/>
        <w:jc w:val="both"/>
        <w:rPr>
          <w:sz w:val="20"/>
          <w:szCs w:val="20"/>
        </w:rPr>
      </w:pPr>
      <w:r w:rsidRPr="00804FC4">
        <w:rPr>
          <w:b/>
          <w:sz w:val="20"/>
          <w:szCs w:val="20"/>
        </w:rPr>
        <w:t xml:space="preserve">REFERÊNCIAS </w:t>
      </w:r>
    </w:p>
    <w:p w14:paraId="34D7AEFA" w14:textId="2DDF86EC" w:rsidR="00C67ED7" w:rsidRPr="00C82D4C" w:rsidRDefault="00C67ED7" w:rsidP="00C67ED7">
      <w:pPr>
        <w:widowControl/>
        <w:spacing w:after="120"/>
        <w:jc w:val="both"/>
        <w:rPr>
          <w:sz w:val="20"/>
          <w:szCs w:val="20"/>
        </w:rPr>
      </w:pPr>
      <w:r w:rsidRPr="00C82D4C">
        <w:rPr>
          <w:sz w:val="20"/>
          <w:szCs w:val="20"/>
        </w:rPr>
        <w:t>CUNHA, A. P. M. A.</w:t>
      </w:r>
      <w:r w:rsidR="00C82D4C">
        <w:rPr>
          <w:sz w:val="20"/>
          <w:szCs w:val="20"/>
        </w:rPr>
        <w:t xml:space="preserve"> </w:t>
      </w:r>
      <w:r w:rsidR="00C82D4C" w:rsidRPr="00C82D4C">
        <w:rPr>
          <w:i/>
          <w:iCs/>
          <w:sz w:val="20"/>
          <w:szCs w:val="20"/>
        </w:rPr>
        <w:t>et al</w:t>
      </w:r>
      <w:r w:rsidR="00C82D4C">
        <w:rPr>
          <w:sz w:val="20"/>
          <w:szCs w:val="20"/>
        </w:rPr>
        <w:t>.</w:t>
      </w:r>
      <w:r w:rsidRPr="00C82D4C">
        <w:rPr>
          <w:sz w:val="20"/>
          <w:szCs w:val="20"/>
        </w:rPr>
        <w:t xml:space="preserve"> </w:t>
      </w:r>
      <w:r w:rsidRPr="00C82D4C">
        <w:rPr>
          <w:sz w:val="20"/>
          <w:szCs w:val="20"/>
          <w:lang w:val="en-US"/>
        </w:rPr>
        <w:t xml:space="preserve">Extreme </w:t>
      </w:r>
      <w:r w:rsidR="0091542B" w:rsidRPr="00C82D4C">
        <w:rPr>
          <w:sz w:val="20"/>
          <w:szCs w:val="20"/>
          <w:lang w:val="en-US"/>
        </w:rPr>
        <w:t>d</w:t>
      </w:r>
      <w:r w:rsidRPr="00C82D4C">
        <w:rPr>
          <w:sz w:val="20"/>
          <w:szCs w:val="20"/>
          <w:lang w:val="en-US"/>
        </w:rPr>
        <w:t xml:space="preserve">rought </w:t>
      </w:r>
      <w:r w:rsidR="0091542B" w:rsidRPr="00C82D4C">
        <w:rPr>
          <w:sz w:val="20"/>
          <w:szCs w:val="20"/>
          <w:lang w:val="en-US"/>
        </w:rPr>
        <w:t>e</w:t>
      </w:r>
      <w:r w:rsidRPr="00C82D4C">
        <w:rPr>
          <w:sz w:val="20"/>
          <w:szCs w:val="20"/>
          <w:lang w:val="en-US"/>
        </w:rPr>
        <w:t xml:space="preserve">vents over Brazil from 2011 to 2019. </w:t>
      </w:r>
      <w:r w:rsidRPr="00C82D4C">
        <w:rPr>
          <w:b/>
          <w:bCs/>
          <w:sz w:val="20"/>
          <w:szCs w:val="20"/>
        </w:rPr>
        <w:t>Atmosphere</w:t>
      </w:r>
      <w:r w:rsidRPr="00C82D4C">
        <w:rPr>
          <w:sz w:val="20"/>
          <w:szCs w:val="20"/>
        </w:rPr>
        <w:t xml:space="preserve">, v. 10, n. 11, p. </w:t>
      </w:r>
      <w:r w:rsidR="00131515">
        <w:rPr>
          <w:sz w:val="20"/>
          <w:szCs w:val="20"/>
        </w:rPr>
        <w:t>1-20</w:t>
      </w:r>
      <w:r w:rsidRPr="00C82D4C">
        <w:rPr>
          <w:sz w:val="20"/>
          <w:szCs w:val="20"/>
        </w:rPr>
        <w:t xml:space="preserve">, 2019. </w:t>
      </w:r>
    </w:p>
    <w:p w14:paraId="1F4AC345" w14:textId="47DBC78D" w:rsidR="00C67ED7" w:rsidRPr="00373D5E" w:rsidRDefault="00C67ED7" w:rsidP="00C67ED7">
      <w:pPr>
        <w:widowControl/>
        <w:spacing w:after="120"/>
        <w:jc w:val="both"/>
        <w:rPr>
          <w:sz w:val="20"/>
          <w:szCs w:val="20"/>
        </w:rPr>
      </w:pPr>
      <w:r w:rsidRPr="00C82D4C">
        <w:rPr>
          <w:sz w:val="20"/>
          <w:szCs w:val="20"/>
        </w:rPr>
        <w:t>CRUZ, M. J. C.</w:t>
      </w:r>
      <w:r w:rsidR="00C82D4C">
        <w:rPr>
          <w:sz w:val="20"/>
          <w:szCs w:val="20"/>
        </w:rPr>
        <w:t xml:space="preserve"> </w:t>
      </w:r>
      <w:r w:rsidR="00C82D4C" w:rsidRPr="00C82D4C">
        <w:rPr>
          <w:i/>
          <w:iCs/>
          <w:sz w:val="20"/>
          <w:szCs w:val="20"/>
        </w:rPr>
        <w:t>et al</w:t>
      </w:r>
      <w:r w:rsidR="00C82D4C">
        <w:rPr>
          <w:sz w:val="20"/>
          <w:szCs w:val="20"/>
        </w:rPr>
        <w:t xml:space="preserve">. </w:t>
      </w:r>
      <w:r w:rsidRPr="00C82D4C">
        <w:rPr>
          <w:sz w:val="20"/>
          <w:szCs w:val="20"/>
        </w:rPr>
        <w:t>Sucessão florestal inicial em áreas Alto-Montanas no Planalto Sul Catarinense.</w:t>
      </w:r>
      <w:r w:rsidR="00EF0BF6" w:rsidRPr="00C82D4C">
        <w:rPr>
          <w:sz w:val="20"/>
          <w:szCs w:val="20"/>
        </w:rPr>
        <w:t xml:space="preserve"> </w:t>
      </w:r>
      <w:r w:rsidRPr="00373D5E">
        <w:rPr>
          <w:b/>
          <w:bCs/>
          <w:sz w:val="20"/>
          <w:szCs w:val="20"/>
        </w:rPr>
        <w:t>Ciência Florestal</w:t>
      </w:r>
      <w:r w:rsidRPr="00373D5E">
        <w:rPr>
          <w:sz w:val="20"/>
          <w:szCs w:val="20"/>
        </w:rPr>
        <w:t xml:space="preserve">, v. 33, n. 4, p. 1-19, 2024. </w:t>
      </w:r>
    </w:p>
    <w:p w14:paraId="1778FB56" w14:textId="18030863" w:rsidR="00C67ED7" w:rsidRPr="00C82D4C" w:rsidRDefault="00C67ED7" w:rsidP="00C67ED7">
      <w:pPr>
        <w:widowControl/>
        <w:spacing w:after="120"/>
        <w:jc w:val="both"/>
        <w:rPr>
          <w:sz w:val="20"/>
          <w:szCs w:val="20"/>
        </w:rPr>
      </w:pPr>
      <w:r w:rsidRPr="00C82D4C">
        <w:rPr>
          <w:sz w:val="20"/>
          <w:szCs w:val="20"/>
        </w:rPr>
        <w:t>FERREIRA, M. B.</w:t>
      </w:r>
      <w:r w:rsidR="00C82D4C" w:rsidRPr="00C82D4C">
        <w:rPr>
          <w:sz w:val="20"/>
          <w:szCs w:val="20"/>
        </w:rPr>
        <w:t xml:space="preserve"> </w:t>
      </w:r>
      <w:r w:rsidR="00C82D4C" w:rsidRPr="00C82D4C">
        <w:rPr>
          <w:i/>
          <w:iCs/>
          <w:sz w:val="20"/>
          <w:szCs w:val="20"/>
        </w:rPr>
        <w:t>et al</w:t>
      </w:r>
      <w:r w:rsidR="00C82D4C" w:rsidRPr="00C82D4C">
        <w:rPr>
          <w:sz w:val="20"/>
          <w:szCs w:val="20"/>
        </w:rPr>
        <w:t xml:space="preserve">. </w:t>
      </w:r>
      <w:r w:rsidRPr="00C82D4C">
        <w:rPr>
          <w:sz w:val="20"/>
          <w:szCs w:val="20"/>
          <w:lang w:val="en-US"/>
        </w:rPr>
        <w:t>Space–</w:t>
      </w:r>
      <w:r w:rsidR="00631673" w:rsidRPr="00C82D4C">
        <w:rPr>
          <w:sz w:val="20"/>
          <w:szCs w:val="20"/>
          <w:lang w:val="en-US"/>
        </w:rPr>
        <w:t>t</w:t>
      </w:r>
      <w:r w:rsidRPr="00C82D4C">
        <w:rPr>
          <w:sz w:val="20"/>
          <w:szCs w:val="20"/>
          <w:lang w:val="en-US"/>
        </w:rPr>
        <w:t xml:space="preserve">ime </w:t>
      </w:r>
      <w:r w:rsidR="00631673" w:rsidRPr="00C82D4C">
        <w:rPr>
          <w:sz w:val="20"/>
          <w:szCs w:val="20"/>
          <w:lang w:val="en-US"/>
        </w:rPr>
        <w:t>d</w:t>
      </w:r>
      <w:r w:rsidRPr="00C82D4C">
        <w:rPr>
          <w:sz w:val="20"/>
          <w:szCs w:val="20"/>
          <w:lang w:val="en-US"/>
        </w:rPr>
        <w:t xml:space="preserve">ynamics of </w:t>
      </w:r>
      <w:r w:rsidR="00631673" w:rsidRPr="00C82D4C">
        <w:rPr>
          <w:sz w:val="20"/>
          <w:szCs w:val="20"/>
          <w:lang w:val="en-US"/>
        </w:rPr>
        <w:t>m</w:t>
      </w:r>
      <w:r w:rsidRPr="00C82D4C">
        <w:rPr>
          <w:sz w:val="20"/>
          <w:szCs w:val="20"/>
          <w:lang w:val="en-US"/>
        </w:rPr>
        <w:t xml:space="preserve">ortality and </w:t>
      </w:r>
      <w:r w:rsidR="00631673" w:rsidRPr="00C82D4C">
        <w:rPr>
          <w:sz w:val="20"/>
          <w:szCs w:val="20"/>
          <w:lang w:val="en-US"/>
        </w:rPr>
        <w:t>r</w:t>
      </w:r>
      <w:r w:rsidRPr="00C82D4C">
        <w:rPr>
          <w:sz w:val="20"/>
          <w:szCs w:val="20"/>
          <w:lang w:val="en-US"/>
        </w:rPr>
        <w:t xml:space="preserve">ecruitment of </w:t>
      </w:r>
      <w:r w:rsidR="00631673" w:rsidRPr="00C82D4C">
        <w:rPr>
          <w:sz w:val="20"/>
          <w:szCs w:val="20"/>
          <w:lang w:val="en-US"/>
        </w:rPr>
        <w:t>s</w:t>
      </w:r>
      <w:r w:rsidRPr="00C82D4C">
        <w:rPr>
          <w:sz w:val="20"/>
          <w:szCs w:val="20"/>
          <w:lang w:val="en-US"/>
        </w:rPr>
        <w:t xml:space="preserve">tems and </w:t>
      </w:r>
      <w:r w:rsidR="00631673" w:rsidRPr="00C82D4C">
        <w:rPr>
          <w:sz w:val="20"/>
          <w:szCs w:val="20"/>
          <w:lang w:val="en-US"/>
        </w:rPr>
        <w:t>t</w:t>
      </w:r>
      <w:r w:rsidRPr="00C82D4C">
        <w:rPr>
          <w:sz w:val="20"/>
          <w:szCs w:val="20"/>
          <w:lang w:val="en-US"/>
        </w:rPr>
        <w:t xml:space="preserve">rees in a Seasonally Dry Tropical Forest: effect of the 2012-2021 droughts. </w:t>
      </w:r>
      <w:r w:rsidRPr="00C82D4C">
        <w:rPr>
          <w:b/>
          <w:bCs/>
          <w:sz w:val="20"/>
          <w:szCs w:val="20"/>
        </w:rPr>
        <w:t>Remote Sensing</w:t>
      </w:r>
      <w:r w:rsidRPr="00C82D4C">
        <w:rPr>
          <w:sz w:val="20"/>
          <w:szCs w:val="20"/>
        </w:rPr>
        <w:t>, v. 17, n. 9, p. 1</w:t>
      </w:r>
      <w:r w:rsidR="00131515">
        <w:rPr>
          <w:sz w:val="20"/>
          <w:szCs w:val="20"/>
        </w:rPr>
        <w:t>-35</w:t>
      </w:r>
      <w:r w:rsidRPr="00C82D4C">
        <w:rPr>
          <w:sz w:val="20"/>
          <w:szCs w:val="20"/>
        </w:rPr>
        <w:t xml:space="preserve">, 2025. </w:t>
      </w:r>
    </w:p>
    <w:p w14:paraId="23E802E7" w14:textId="0DF459F2" w:rsidR="008743E2" w:rsidRPr="00C82D4C" w:rsidRDefault="00AE7247" w:rsidP="00C67ED7">
      <w:pPr>
        <w:widowControl/>
        <w:spacing w:after="120"/>
        <w:jc w:val="both"/>
        <w:rPr>
          <w:sz w:val="20"/>
          <w:szCs w:val="20"/>
        </w:rPr>
      </w:pPr>
      <w:r w:rsidRPr="00C82D4C">
        <w:rPr>
          <w:sz w:val="20"/>
          <w:szCs w:val="20"/>
        </w:rPr>
        <w:t xml:space="preserve">FLORA DO BRASIL </w:t>
      </w:r>
      <w:r w:rsidR="008743E2" w:rsidRPr="00C82D4C">
        <w:rPr>
          <w:sz w:val="20"/>
          <w:szCs w:val="20"/>
        </w:rPr>
        <w:t xml:space="preserve">(REFLORA). </w:t>
      </w:r>
      <w:r w:rsidR="008743E2" w:rsidRPr="00C82D4C">
        <w:rPr>
          <w:b/>
          <w:bCs/>
          <w:sz w:val="20"/>
          <w:szCs w:val="20"/>
        </w:rPr>
        <w:t>Jardim Botânico do Rio de Janeiro</w:t>
      </w:r>
      <w:r w:rsidR="008743E2" w:rsidRPr="00C82D4C">
        <w:rPr>
          <w:sz w:val="20"/>
          <w:szCs w:val="20"/>
        </w:rPr>
        <w:t xml:space="preserve">. </w:t>
      </w:r>
      <w:r w:rsidR="00FD600C" w:rsidRPr="00C82D4C">
        <w:rPr>
          <w:sz w:val="20"/>
          <w:szCs w:val="20"/>
        </w:rPr>
        <w:t>Disponível em</w:t>
      </w:r>
      <w:r w:rsidR="008743E2" w:rsidRPr="00C82D4C">
        <w:rPr>
          <w:sz w:val="20"/>
          <w:szCs w:val="20"/>
        </w:rPr>
        <w:t xml:space="preserve">: </w:t>
      </w:r>
      <w:hyperlink r:id="rId13" w:history="1">
        <w:r w:rsidR="008743E2" w:rsidRPr="00C82D4C">
          <w:rPr>
            <w:sz w:val="20"/>
            <w:szCs w:val="20"/>
          </w:rPr>
          <w:t>https://floradobrasil2020.jbrj.gov.br/</w:t>
        </w:r>
      </w:hyperlink>
      <w:r w:rsidR="008743E2" w:rsidRPr="00C82D4C">
        <w:rPr>
          <w:sz w:val="20"/>
          <w:szCs w:val="20"/>
        </w:rPr>
        <w:t xml:space="preserve"> </w:t>
      </w:r>
      <w:r w:rsidR="00FD600C" w:rsidRPr="00C82D4C">
        <w:rPr>
          <w:sz w:val="20"/>
          <w:szCs w:val="20"/>
        </w:rPr>
        <w:t>Acesso em: 30 mai. 2025.</w:t>
      </w:r>
    </w:p>
    <w:p w14:paraId="54D7B4E9" w14:textId="77777777" w:rsidR="00C67ED7" w:rsidRPr="00C82D4C" w:rsidRDefault="00C67ED7" w:rsidP="00C67ED7">
      <w:pPr>
        <w:widowControl/>
        <w:spacing w:after="120"/>
        <w:jc w:val="both"/>
        <w:rPr>
          <w:sz w:val="20"/>
          <w:szCs w:val="20"/>
          <w:lang w:val="en-US"/>
        </w:rPr>
      </w:pPr>
      <w:r w:rsidRPr="00C82D4C">
        <w:rPr>
          <w:sz w:val="20"/>
          <w:szCs w:val="20"/>
          <w:lang w:val="en-US"/>
        </w:rPr>
        <w:t xml:space="preserve">KORNING, J.; BALSLEV, H. Growth and mortality of treen in Amazonian tropical rain forest in Ecuador. </w:t>
      </w:r>
      <w:r w:rsidRPr="00C82D4C">
        <w:rPr>
          <w:b/>
          <w:bCs/>
          <w:sz w:val="20"/>
          <w:szCs w:val="20"/>
          <w:lang w:val="en-US"/>
        </w:rPr>
        <w:t>Journal of Vegetation Science</w:t>
      </w:r>
      <w:r w:rsidRPr="00C82D4C">
        <w:rPr>
          <w:sz w:val="20"/>
          <w:szCs w:val="20"/>
          <w:lang w:val="en-US"/>
        </w:rPr>
        <w:t xml:space="preserve">, v. 4, n. 1, p. 77-86, 1994. </w:t>
      </w:r>
    </w:p>
    <w:p w14:paraId="53D75A16" w14:textId="66C94690" w:rsidR="00C67ED7" w:rsidRPr="00C82D4C" w:rsidRDefault="00C67ED7" w:rsidP="00C67ED7">
      <w:pPr>
        <w:widowControl/>
        <w:spacing w:after="120"/>
        <w:jc w:val="both"/>
        <w:rPr>
          <w:sz w:val="20"/>
          <w:szCs w:val="20"/>
          <w:lang w:val="en-US"/>
        </w:rPr>
      </w:pPr>
      <w:r w:rsidRPr="00C82D4C">
        <w:rPr>
          <w:sz w:val="20"/>
          <w:szCs w:val="20"/>
        </w:rPr>
        <w:t>MANRIQUE‐ASCENCIO, A.</w:t>
      </w:r>
      <w:r w:rsidR="00C82D4C" w:rsidRPr="00C82D4C">
        <w:rPr>
          <w:sz w:val="20"/>
          <w:szCs w:val="20"/>
        </w:rPr>
        <w:t xml:space="preserve"> </w:t>
      </w:r>
      <w:r w:rsidR="00C82D4C" w:rsidRPr="00C82D4C">
        <w:rPr>
          <w:i/>
          <w:iCs/>
          <w:sz w:val="20"/>
          <w:szCs w:val="20"/>
        </w:rPr>
        <w:t>et al</w:t>
      </w:r>
      <w:r w:rsidR="00C82D4C" w:rsidRPr="00C82D4C">
        <w:rPr>
          <w:sz w:val="20"/>
          <w:szCs w:val="20"/>
        </w:rPr>
        <w:t xml:space="preserve">. </w:t>
      </w:r>
      <w:r w:rsidRPr="00C82D4C">
        <w:rPr>
          <w:sz w:val="20"/>
          <w:szCs w:val="20"/>
          <w:lang w:val="en-US"/>
        </w:rPr>
        <w:t xml:space="preserve">Climate‐driven shifts in the diversity of plants in the Neotropical seasonally dry forest: evaluating the effectiveness of protected areas. </w:t>
      </w:r>
      <w:r w:rsidRPr="00C82D4C">
        <w:rPr>
          <w:b/>
          <w:bCs/>
          <w:sz w:val="20"/>
          <w:szCs w:val="20"/>
          <w:lang w:val="en-US"/>
        </w:rPr>
        <w:t>Global Change Biology</w:t>
      </w:r>
      <w:r w:rsidRPr="00C82D4C">
        <w:rPr>
          <w:sz w:val="20"/>
          <w:szCs w:val="20"/>
          <w:lang w:val="en-US"/>
        </w:rPr>
        <w:t>, v. 30, p. 1-18, 2024.</w:t>
      </w:r>
    </w:p>
    <w:p w14:paraId="3CCC9DB9" w14:textId="77777777" w:rsidR="00C67ED7" w:rsidRPr="00C82D4C" w:rsidRDefault="00C67ED7" w:rsidP="00D44C80">
      <w:pPr>
        <w:widowControl/>
        <w:spacing w:after="120"/>
        <w:jc w:val="both"/>
        <w:rPr>
          <w:sz w:val="20"/>
          <w:szCs w:val="20"/>
          <w:lang w:val="en-US"/>
        </w:rPr>
      </w:pPr>
      <w:r w:rsidRPr="00C82D4C">
        <w:rPr>
          <w:sz w:val="20"/>
          <w:szCs w:val="20"/>
          <w:lang w:val="en-US"/>
        </w:rPr>
        <w:t xml:space="preserve">MARENGO, J. A.; TORRES, R. R.; ALVES, L. M. Drought in Northeast Brazil: past, present, and future. </w:t>
      </w:r>
      <w:r w:rsidRPr="00C82D4C">
        <w:rPr>
          <w:b/>
          <w:bCs/>
          <w:sz w:val="20"/>
          <w:szCs w:val="20"/>
          <w:lang w:val="en-US"/>
        </w:rPr>
        <w:t>Theoretical And Applied Climatology</w:t>
      </w:r>
      <w:r w:rsidRPr="00C82D4C">
        <w:rPr>
          <w:sz w:val="20"/>
          <w:szCs w:val="20"/>
          <w:lang w:val="en-US"/>
        </w:rPr>
        <w:t xml:space="preserve">, v. 129, n. 3-4, p. 1189-1200, 2016. </w:t>
      </w:r>
    </w:p>
    <w:p w14:paraId="5D199A53" w14:textId="7018EF94" w:rsidR="00D44C80" w:rsidRPr="00373D5E" w:rsidRDefault="00D44C80" w:rsidP="00D44C80">
      <w:pPr>
        <w:widowControl/>
        <w:spacing w:after="120"/>
        <w:jc w:val="both"/>
        <w:rPr>
          <w:b/>
          <w:bCs/>
          <w:sz w:val="20"/>
          <w:szCs w:val="20"/>
        </w:rPr>
      </w:pPr>
      <w:r w:rsidRPr="00C82D4C">
        <w:rPr>
          <w:sz w:val="20"/>
          <w:szCs w:val="20"/>
          <w:lang w:val="en-US"/>
        </w:rPr>
        <w:t>MCDOWELL, N. G.</w:t>
      </w:r>
      <w:r w:rsidR="00C82D4C">
        <w:rPr>
          <w:sz w:val="20"/>
          <w:szCs w:val="20"/>
          <w:lang w:val="en-US"/>
        </w:rPr>
        <w:t xml:space="preserve"> </w:t>
      </w:r>
      <w:r w:rsidR="00C82D4C" w:rsidRPr="0040793A">
        <w:rPr>
          <w:i/>
          <w:iCs/>
          <w:sz w:val="20"/>
          <w:szCs w:val="20"/>
          <w:lang w:val="en-US"/>
        </w:rPr>
        <w:t>et al</w:t>
      </w:r>
      <w:r w:rsidR="00C82D4C">
        <w:rPr>
          <w:sz w:val="20"/>
          <w:szCs w:val="20"/>
          <w:lang w:val="en-US"/>
        </w:rPr>
        <w:t>.</w:t>
      </w:r>
      <w:r w:rsidRPr="00C82D4C">
        <w:rPr>
          <w:sz w:val="20"/>
          <w:szCs w:val="20"/>
          <w:lang w:val="en-US"/>
        </w:rPr>
        <w:t xml:space="preserve"> Pervasive shifts in forest dynamics in a changing world. </w:t>
      </w:r>
      <w:r w:rsidRPr="00373D5E">
        <w:rPr>
          <w:b/>
          <w:bCs/>
          <w:sz w:val="20"/>
          <w:szCs w:val="20"/>
        </w:rPr>
        <w:t>Science</w:t>
      </w:r>
      <w:r w:rsidRPr="00373D5E">
        <w:rPr>
          <w:sz w:val="20"/>
          <w:szCs w:val="20"/>
        </w:rPr>
        <w:t>, v. 368, n. 6494, p. 1-10, 2020.</w:t>
      </w:r>
      <w:r w:rsidR="00631673" w:rsidRPr="00373D5E">
        <w:rPr>
          <w:sz w:val="20"/>
          <w:szCs w:val="20"/>
        </w:rPr>
        <w:t xml:space="preserve"> </w:t>
      </w:r>
    </w:p>
    <w:p w14:paraId="28D69149" w14:textId="3B981025" w:rsidR="00C67ED7" w:rsidRPr="00C82D4C" w:rsidRDefault="00C67ED7" w:rsidP="00C67ED7">
      <w:pPr>
        <w:widowControl/>
        <w:spacing w:after="120"/>
        <w:jc w:val="both"/>
        <w:rPr>
          <w:sz w:val="20"/>
          <w:szCs w:val="20"/>
          <w:lang w:val="en-US"/>
        </w:rPr>
      </w:pPr>
      <w:r w:rsidRPr="00D17B4C">
        <w:rPr>
          <w:sz w:val="20"/>
          <w:szCs w:val="20"/>
        </w:rPr>
        <w:t>OLIVEIRA, A. C. P.</w:t>
      </w:r>
      <w:r w:rsidR="00D17B4C" w:rsidRPr="00D17B4C">
        <w:rPr>
          <w:sz w:val="20"/>
          <w:szCs w:val="20"/>
        </w:rPr>
        <w:t xml:space="preserve"> </w:t>
      </w:r>
      <w:r w:rsidR="00D17B4C" w:rsidRPr="00D17B4C">
        <w:rPr>
          <w:i/>
          <w:iCs/>
          <w:sz w:val="20"/>
          <w:szCs w:val="20"/>
        </w:rPr>
        <w:t>et al</w:t>
      </w:r>
      <w:r w:rsidR="00D17B4C" w:rsidRPr="00D17B4C">
        <w:rPr>
          <w:sz w:val="20"/>
          <w:szCs w:val="20"/>
        </w:rPr>
        <w:t xml:space="preserve">. </w:t>
      </w:r>
      <w:r w:rsidRPr="00C82D4C">
        <w:rPr>
          <w:sz w:val="20"/>
          <w:szCs w:val="20"/>
          <w:lang w:val="en-US"/>
        </w:rPr>
        <w:t xml:space="preserve">The response of plant functional traits to aridity in a tropical dry forest. </w:t>
      </w:r>
      <w:r w:rsidRPr="00C82D4C">
        <w:rPr>
          <w:b/>
          <w:bCs/>
          <w:sz w:val="20"/>
          <w:szCs w:val="20"/>
          <w:lang w:val="en-US"/>
        </w:rPr>
        <w:t xml:space="preserve">Science </w:t>
      </w:r>
      <w:r w:rsidR="00BE597C" w:rsidRPr="00C82D4C">
        <w:rPr>
          <w:b/>
          <w:bCs/>
          <w:sz w:val="20"/>
          <w:szCs w:val="20"/>
          <w:lang w:val="en-US"/>
        </w:rPr>
        <w:t>o</w:t>
      </w:r>
      <w:r w:rsidRPr="00C82D4C">
        <w:rPr>
          <w:b/>
          <w:bCs/>
          <w:sz w:val="20"/>
          <w:szCs w:val="20"/>
          <w:lang w:val="en-US"/>
        </w:rPr>
        <w:t xml:space="preserve">f </w:t>
      </w:r>
      <w:r w:rsidR="00BE597C" w:rsidRPr="00C82D4C">
        <w:rPr>
          <w:b/>
          <w:bCs/>
          <w:sz w:val="20"/>
          <w:szCs w:val="20"/>
          <w:lang w:val="en-US"/>
        </w:rPr>
        <w:t>t</w:t>
      </w:r>
      <w:r w:rsidRPr="00C82D4C">
        <w:rPr>
          <w:b/>
          <w:bCs/>
          <w:sz w:val="20"/>
          <w:szCs w:val="20"/>
          <w:lang w:val="en-US"/>
        </w:rPr>
        <w:t>he Total Environment</w:t>
      </w:r>
      <w:r w:rsidRPr="00C82D4C">
        <w:rPr>
          <w:sz w:val="20"/>
          <w:szCs w:val="20"/>
          <w:lang w:val="en-US"/>
        </w:rPr>
        <w:t xml:space="preserve">, v. 747, p. </w:t>
      </w:r>
      <w:r w:rsidR="00131515">
        <w:rPr>
          <w:sz w:val="20"/>
          <w:szCs w:val="20"/>
          <w:lang w:val="en-US"/>
        </w:rPr>
        <w:t>1-7</w:t>
      </w:r>
      <w:r w:rsidRPr="00C82D4C">
        <w:rPr>
          <w:sz w:val="20"/>
          <w:szCs w:val="20"/>
          <w:lang w:val="en-US"/>
        </w:rPr>
        <w:t>, 2020.</w:t>
      </w:r>
      <w:r w:rsidR="00631673" w:rsidRPr="00C82D4C">
        <w:rPr>
          <w:sz w:val="20"/>
          <w:szCs w:val="20"/>
          <w:lang w:val="en-US"/>
        </w:rPr>
        <w:t xml:space="preserve"> </w:t>
      </w:r>
    </w:p>
    <w:p w14:paraId="32396FB8" w14:textId="667F4A06" w:rsidR="0023323D" w:rsidRPr="00C82D4C" w:rsidRDefault="008A0972" w:rsidP="00C67ED7">
      <w:pPr>
        <w:widowControl/>
        <w:spacing w:after="120"/>
        <w:jc w:val="both"/>
        <w:rPr>
          <w:sz w:val="20"/>
          <w:szCs w:val="20"/>
        </w:rPr>
      </w:pPr>
      <w:r w:rsidRPr="00C82D4C">
        <w:rPr>
          <w:sz w:val="20"/>
          <w:szCs w:val="20"/>
          <w:lang w:val="en-US"/>
        </w:rPr>
        <w:t xml:space="preserve">R CORE TEAM. </w:t>
      </w:r>
      <w:r w:rsidRPr="00C82D4C">
        <w:rPr>
          <w:b/>
          <w:bCs/>
          <w:sz w:val="20"/>
          <w:szCs w:val="20"/>
          <w:lang w:val="en-US"/>
        </w:rPr>
        <w:t>R</w:t>
      </w:r>
      <w:r w:rsidRPr="00C82D4C">
        <w:rPr>
          <w:sz w:val="20"/>
          <w:szCs w:val="20"/>
          <w:lang w:val="en-US"/>
        </w:rPr>
        <w:t xml:space="preserve">: A language and environment for statistical computing. </w:t>
      </w:r>
      <w:r w:rsidRPr="00C82D4C">
        <w:rPr>
          <w:sz w:val="20"/>
          <w:szCs w:val="20"/>
        </w:rPr>
        <w:t>Disponível em: https://www.R-project.org Acesso em: 30 mai. 2025.</w:t>
      </w:r>
    </w:p>
    <w:p w14:paraId="2E338700" w14:textId="77777777" w:rsidR="00C67ED7" w:rsidRPr="00C82D4C" w:rsidRDefault="00C67ED7" w:rsidP="00C67ED7">
      <w:pPr>
        <w:widowControl/>
        <w:spacing w:after="120"/>
        <w:jc w:val="both"/>
        <w:rPr>
          <w:sz w:val="20"/>
          <w:szCs w:val="20"/>
          <w:lang w:val="en-US"/>
        </w:rPr>
      </w:pPr>
      <w:r w:rsidRPr="00C82D4C">
        <w:rPr>
          <w:sz w:val="20"/>
          <w:szCs w:val="20"/>
          <w:lang w:val="en-US"/>
        </w:rPr>
        <w:t xml:space="preserve">SHEIL, D.; BURSLEM, D.F.R.P.; ALDER, D. The interpretation and misinterpretation of mortality rare measures. </w:t>
      </w:r>
      <w:r w:rsidRPr="00C82D4C">
        <w:rPr>
          <w:b/>
          <w:bCs/>
          <w:sz w:val="20"/>
          <w:szCs w:val="20"/>
          <w:lang w:val="en-US"/>
        </w:rPr>
        <w:t>Journal of Ecology</w:t>
      </w:r>
      <w:r w:rsidRPr="00C82D4C">
        <w:rPr>
          <w:sz w:val="20"/>
          <w:szCs w:val="20"/>
          <w:lang w:val="en-US"/>
        </w:rPr>
        <w:t xml:space="preserve">, v. 83, n. 2, p. 331-333, 1995. </w:t>
      </w:r>
    </w:p>
    <w:p w14:paraId="09CEC8AB" w14:textId="77777777" w:rsidR="00C67ED7" w:rsidRPr="00C82D4C" w:rsidRDefault="00C67ED7" w:rsidP="00C67ED7">
      <w:pPr>
        <w:widowControl/>
        <w:spacing w:after="120"/>
        <w:jc w:val="both"/>
        <w:rPr>
          <w:sz w:val="20"/>
          <w:szCs w:val="20"/>
          <w:lang w:val="en-US"/>
        </w:rPr>
      </w:pPr>
      <w:r w:rsidRPr="00C82D4C">
        <w:rPr>
          <w:sz w:val="20"/>
          <w:szCs w:val="20"/>
          <w:lang w:val="en-US"/>
        </w:rPr>
        <w:t xml:space="preserve">SHEIL, D.; JENNINGS, S.; SAVILL, P. Long-term permanent plot observation of vegetation dynamics in Budongo, a Ugandan rain forest. </w:t>
      </w:r>
      <w:r w:rsidRPr="00C82D4C">
        <w:rPr>
          <w:b/>
          <w:bCs/>
          <w:sz w:val="20"/>
          <w:szCs w:val="20"/>
          <w:lang w:val="en-US"/>
        </w:rPr>
        <w:t>Journal of Tropical Ecology</w:t>
      </w:r>
      <w:r w:rsidRPr="00C82D4C">
        <w:rPr>
          <w:sz w:val="20"/>
          <w:szCs w:val="20"/>
          <w:lang w:val="en-US"/>
        </w:rPr>
        <w:t xml:space="preserve">, v. 16, n. 1, p. 765- 800, 2000. </w:t>
      </w:r>
    </w:p>
    <w:p w14:paraId="28893467" w14:textId="77777777" w:rsidR="00C67ED7" w:rsidRPr="00C82D4C" w:rsidRDefault="00C67ED7" w:rsidP="00C67ED7">
      <w:pPr>
        <w:widowControl/>
        <w:spacing w:after="120"/>
        <w:jc w:val="both"/>
        <w:rPr>
          <w:sz w:val="20"/>
          <w:szCs w:val="20"/>
          <w:lang w:val="en-US"/>
        </w:rPr>
      </w:pPr>
      <w:r w:rsidRPr="00C82D4C">
        <w:rPr>
          <w:sz w:val="20"/>
          <w:szCs w:val="20"/>
          <w:lang w:val="en-US"/>
        </w:rPr>
        <w:t xml:space="preserve">SIYUM, Z. G. Tropical dry forest dynamics in the context of climate change: syntheses of drivers, gaps, and management perspectives. </w:t>
      </w:r>
      <w:r w:rsidRPr="00C82D4C">
        <w:rPr>
          <w:b/>
          <w:bCs/>
          <w:sz w:val="20"/>
          <w:szCs w:val="20"/>
          <w:lang w:val="en-US"/>
        </w:rPr>
        <w:t>Ecological Processes</w:t>
      </w:r>
      <w:r w:rsidRPr="00C82D4C">
        <w:rPr>
          <w:sz w:val="20"/>
          <w:szCs w:val="20"/>
          <w:lang w:val="en-US"/>
        </w:rPr>
        <w:t>, v. 9, p. 1-16, 2020.</w:t>
      </w:r>
    </w:p>
    <w:p w14:paraId="714D06CA" w14:textId="1595387F" w:rsidR="00EF0BF6" w:rsidRDefault="00C67ED7" w:rsidP="00591C25">
      <w:pPr>
        <w:widowControl/>
        <w:spacing w:after="120"/>
        <w:jc w:val="both"/>
        <w:rPr>
          <w:sz w:val="20"/>
          <w:szCs w:val="20"/>
          <w:lang w:val="en-US"/>
        </w:rPr>
      </w:pPr>
      <w:r w:rsidRPr="00C82D4C">
        <w:rPr>
          <w:sz w:val="20"/>
          <w:szCs w:val="20"/>
          <w:lang w:val="en-US"/>
        </w:rPr>
        <w:t xml:space="preserve">WERNECK, M.; FRANCESCHINELLI, E.V. Dynamics of a dry forest fragment after the exclusion of human disturbance in southeastern Brazil. </w:t>
      </w:r>
      <w:r w:rsidRPr="00C82D4C">
        <w:rPr>
          <w:b/>
          <w:bCs/>
          <w:sz w:val="20"/>
          <w:szCs w:val="20"/>
          <w:lang w:val="en-US"/>
        </w:rPr>
        <w:t>Plant Ecology</w:t>
      </w:r>
      <w:r w:rsidRPr="00C82D4C">
        <w:rPr>
          <w:sz w:val="20"/>
          <w:szCs w:val="20"/>
          <w:lang w:val="en-US"/>
        </w:rPr>
        <w:t>, v. 174, n. 2, p. 337- 346, 2004.</w:t>
      </w:r>
    </w:p>
    <w:p w14:paraId="01D7B3A3" w14:textId="77777777" w:rsidR="00114B31" w:rsidRDefault="00114B31" w:rsidP="00591C25">
      <w:pPr>
        <w:widowControl/>
        <w:spacing w:after="120"/>
        <w:jc w:val="both"/>
        <w:rPr>
          <w:sz w:val="20"/>
          <w:szCs w:val="20"/>
          <w:lang w:val="en-US"/>
        </w:rPr>
      </w:pPr>
    </w:p>
    <w:p w14:paraId="3B53670B" w14:textId="77777777" w:rsidR="00114B31" w:rsidRDefault="00114B31" w:rsidP="00591C25">
      <w:pPr>
        <w:widowControl/>
        <w:spacing w:after="120"/>
        <w:jc w:val="both"/>
        <w:rPr>
          <w:sz w:val="20"/>
          <w:szCs w:val="20"/>
          <w:lang w:val="en-US"/>
        </w:rPr>
      </w:pPr>
    </w:p>
    <w:p w14:paraId="655851E8" w14:textId="77777777" w:rsidR="00114B31" w:rsidRPr="00C82D4C" w:rsidRDefault="00114B31" w:rsidP="00591C25">
      <w:pPr>
        <w:widowControl/>
        <w:spacing w:after="120"/>
        <w:jc w:val="both"/>
        <w:rPr>
          <w:sz w:val="20"/>
          <w:szCs w:val="20"/>
          <w:lang w:val="en-US"/>
        </w:rPr>
      </w:pPr>
    </w:p>
    <w:sectPr w:rsidR="00114B31" w:rsidRPr="00C82D4C" w:rsidSect="001D53B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CBACE" w14:textId="77777777" w:rsidR="00CE1FED" w:rsidRDefault="00CE1FED">
      <w:r>
        <w:separator/>
      </w:r>
    </w:p>
  </w:endnote>
  <w:endnote w:type="continuationSeparator" w:id="0">
    <w:p w14:paraId="70003904" w14:textId="77777777" w:rsidR="00CE1FED" w:rsidRDefault="00CE1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E476935-1CBC-4065-8CED-58F1619DAC52}"/>
    <w:embedItalic r:id="rId2" w:fontKey="{8482BB34-5457-4A74-B6F0-B9482D32ED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FECE3F3-55DD-4A1D-BC71-0F0AA95A371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6729C315-A075-4625-9C67-F9EE3DE4459A}"/>
    <w:embedItalic r:id="rId5" w:fontKey="{05D88882-6132-4F32-A60D-4A013DFD2B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F1B97BB-256E-485B-9B34-44D1C9161E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276B6E2-8130-4D4B-BDF4-161E5976BE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97758F" w:rsidRDefault="0097758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97758F" w:rsidRDefault="0097758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97758F" w:rsidRDefault="0097758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CC16E" w14:textId="77777777" w:rsidR="00CE1FED" w:rsidRDefault="00CE1FED">
      <w:r>
        <w:separator/>
      </w:r>
    </w:p>
  </w:footnote>
  <w:footnote w:type="continuationSeparator" w:id="0">
    <w:p w14:paraId="34DFA575" w14:textId="77777777" w:rsidR="00CE1FED" w:rsidRDefault="00CE1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97758F" w:rsidRDefault="0097758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97758F" w:rsidRDefault="0097758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97758F" w:rsidRDefault="0097758F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707C0"/>
    <w:multiLevelType w:val="hybridMultilevel"/>
    <w:tmpl w:val="17DE259C"/>
    <w:lvl w:ilvl="0" w:tplc="DD88236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A6FA2"/>
    <w:multiLevelType w:val="hybridMultilevel"/>
    <w:tmpl w:val="F2F2BA0E"/>
    <w:lvl w:ilvl="0" w:tplc="27F41FC2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128084941">
    <w:abstractNumId w:val="2"/>
  </w:num>
  <w:num w:numId="2" w16cid:durableId="312486751">
    <w:abstractNumId w:val="0"/>
  </w:num>
  <w:num w:numId="3" w16cid:durableId="1043988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51072"/>
    <w:rsid w:val="00061FBF"/>
    <w:rsid w:val="000C68EB"/>
    <w:rsid w:val="000C7C2F"/>
    <w:rsid w:val="000E248C"/>
    <w:rsid w:val="000F07CA"/>
    <w:rsid w:val="000F63B8"/>
    <w:rsid w:val="00107C5E"/>
    <w:rsid w:val="00112398"/>
    <w:rsid w:val="00114B31"/>
    <w:rsid w:val="00131515"/>
    <w:rsid w:val="00151375"/>
    <w:rsid w:val="00157382"/>
    <w:rsid w:val="00160448"/>
    <w:rsid w:val="00184CD8"/>
    <w:rsid w:val="00192002"/>
    <w:rsid w:val="001B38AE"/>
    <w:rsid w:val="001B68AA"/>
    <w:rsid w:val="001D53B6"/>
    <w:rsid w:val="001E3900"/>
    <w:rsid w:val="001F3869"/>
    <w:rsid w:val="001F5E1E"/>
    <w:rsid w:val="0020722B"/>
    <w:rsid w:val="0023117B"/>
    <w:rsid w:val="0023323D"/>
    <w:rsid w:val="00233A39"/>
    <w:rsid w:val="00281D58"/>
    <w:rsid w:val="00286014"/>
    <w:rsid w:val="002914ED"/>
    <w:rsid w:val="002E79BA"/>
    <w:rsid w:val="0032614B"/>
    <w:rsid w:val="0033715D"/>
    <w:rsid w:val="00373D5E"/>
    <w:rsid w:val="003858E1"/>
    <w:rsid w:val="003E2173"/>
    <w:rsid w:val="0040793A"/>
    <w:rsid w:val="00426431"/>
    <w:rsid w:val="00442588"/>
    <w:rsid w:val="00462C42"/>
    <w:rsid w:val="00472056"/>
    <w:rsid w:val="00484DAE"/>
    <w:rsid w:val="004A783A"/>
    <w:rsid w:val="004C24A5"/>
    <w:rsid w:val="004E2440"/>
    <w:rsid w:val="004F39B9"/>
    <w:rsid w:val="00502108"/>
    <w:rsid w:val="00526BC1"/>
    <w:rsid w:val="00527A1E"/>
    <w:rsid w:val="00527C3D"/>
    <w:rsid w:val="00570109"/>
    <w:rsid w:val="00585BF5"/>
    <w:rsid w:val="00591C25"/>
    <w:rsid w:val="005925B4"/>
    <w:rsid w:val="005A6E13"/>
    <w:rsid w:val="005A715D"/>
    <w:rsid w:val="005D5F16"/>
    <w:rsid w:val="00614F5D"/>
    <w:rsid w:val="0062100D"/>
    <w:rsid w:val="006257A1"/>
    <w:rsid w:val="00631673"/>
    <w:rsid w:val="006335B0"/>
    <w:rsid w:val="00644AAB"/>
    <w:rsid w:val="00644CCB"/>
    <w:rsid w:val="00645B8A"/>
    <w:rsid w:val="006514D1"/>
    <w:rsid w:val="006811D1"/>
    <w:rsid w:val="006A0390"/>
    <w:rsid w:val="006B1308"/>
    <w:rsid w:val="006D7372"/>
    <w:rsid w:val="006E66B9"/>
    <w:rsid w:val="006E6F00"/>
    <w:rsid w:val="007063A7"/>
    <w:rsid w:val="00730C2B"/>
    <w:rsid w:val="0075119A"/>
    <w:rsid w:val="0079562D"/>
    <w:rsid w:val="007C28AC"/>
    <w:rsid w:val="007F523B"/>
    <w:rsid w:val="00804FC4"/>
    <w:rsid w:val="00836C7A"/>
    <w:rsid w:val="0086587D"/>
    <w:rsid w:val="008743E2"/>
    <w:rsid w:val="00881CD1"/>
    <w:rsid w:val="008A0972"/>
    <w:rsid w:val="008D3A17"/>
    <w:rsid w:val="008F14DE"/>
    <w:rsid w:val="0091542B"/>
    <w:rsid w:val="00926AF3"/>
    <w:rsid w:val="00953573"/>
    <w:rsid w:val="00953714"/>
    <w:rsid w:val="00954E0A"/>
    <w:rsid w:val="0096048E"/>
    <w:rsid w:val="00965249"/>
    <w:rsid w:val="0097758F"/>
    <w:rsid w:val="00987143"/>
    <w:rsid w:val="009B7F64"/>
    <w:rsid w:val="009E357C"/>
    <w:rsid w:val="009E5245"/>
    <w:rsid w:val="00A26501"/>
    <w:rsid w:val="00A27A48"/>
    <w:rsid w:val="00A43A84"/>
    <w:rsid w:val="00A74625"/>
    <w:rsid w:val="00A91177"/>
    <w:rsid w:val="00A9204B"/>
    <w:rsid w:val="00AB5ADB"/>
    <w:rsid w:val="00AC55B4"/>
    <w:rsid w:val="00AE6F93"/>
    <w:rsid w:val="00AE7247"/>
    <w:rsid w:val="00B04693"/>
    <w:rsid w:val="00B14C60"/>
    <w:rsid w:val="00B24121"/>
    <w:rsid w:val="00B26ADC"/>
    <w:rsid w:val="00B6397B"/>
    <w:rsid w:val="00B80862"/>
    <w:rsid w:val="00B81497"/>
    <w:rsid w:val="00B84A84"/>
    <w:rsid w:val="00BB549B"/>
    <w:rsid w:val="00BB6A43"/>
    <w:rsid w:val="00BB7034"/>
    <w:rsid w:val="00BD1837"/>
    <w:rsid w:val="00BD5558"/>
    <w:rsid w:val="00BE597C"/>
    <w:rsid w:val="00BE5A71"/>
    <w:rsid w:val="00BE61F2"/>
    <w:rsid w:val="00BF3CEC"/>
    <w:rsid w:val="00C67ED7"/>
    <w:rsid w:val="00C707DD"/>
    <w:rsid w:val="00C757D9"/>
    <w:rsid w:val="00C802EF"/>
    <w:rsid w:val="00C82D4C"/>
    <w:rsid w:val="00C93F3F"/>
    <w:rsid w:val="00C97496"/>
    <w:rsid w:val="00CE1FED"/>
    <w:rsid w:val="00D0650E"/>
    <w:rsid w:val="00D17B4C"/>
    <w:rsid w:val="00D329EB"/>
    <w:rsid w:val="00D44C80"/>
    <w:rsid w:val="00D74BD5"/>
    <w:rsid w:val="00D85094"/>
    <w:rsid w:val="00DE3CE6"/>
    <w:rsid w:val="00E5343D"/>
    <w:rsid w:val="00E664E0"/>
    <w:rsid w:val="00E729B5"/>
    <w:rsid w:val="00E80E55"/>
    <w:rsid w:val="00E85ABD"/>
    <w:rsid w:val="00EF0BF6"/>
    <w:rsid w:val="00EF3F3C"/>
    <w:rsid w:val="00F17599"/>
    <w:rsid w:val="00F33B93"/>
    <w:rsid w:val="00F81396"/>
    <w:rsid w:val="00F9324D"/>
    <w:rsid w:val="00FC4447"/>
    <w:rsid w:val="00FC7D4A"/>
    <w:rsid w:val="00FD600C"/>
    <w:rsid w:val="00FD75EC"/>
    <w:rsid w:val="00FE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91C25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BE5A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E5A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E5A71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5A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5A71"/>
    <w:rPr>
      <w:b/>
      <w:bCs/>
      <w:sz w:val="20"/>
      <w:szCs w:val="20"/>
      <w:lang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5A7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1"/>
    <w:rPr>
      <w:rFonts w:ascii="Segoe UI" w:hAnsi="Segoe UI" w:cs="Segoe UI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floradobrasil2020.jbrj.gov.br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2404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alex sousa</cp:lastModifiedBy>
  <cp:revision>11</cp:revision>
  <dcterms:created xsi:type="dcterms:W3CDTF">2025-06-10T15:57:00Z</dcterms:created>
  <dcterms:modified xsi:type="dcterms:W3CDTF">2025-06-10T16:14:00Z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