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515A002" w14:textId="5CF22E6F" w:rsidR="006B4928" w:rsidRPr="009132C5" w:rsidRDefault="004E060E" w:rsidP="006B4928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CLAREAMENTO DENTAL DE CONSULTÓRIO EM PACIENTE COM RECESSÕES GENGIVAIS E TRINCAS DE ESMALTE</w:t>
      </w:r>
      <w:r w:rsidR="006B4928" w:rsidRPr="009132C5">
        <w:rPr>
          <w:rFonts w:ascii="Arial" w:hAnsi="Arial" w:cs="Arial"/>
          <w:b/>
          <w:sz w:val="28"/>
          <w:szCs w:val="28"/>
        </w:rPr>
        <w:t>: RELATO DE CASO</w:t>
      </w:r>
      <w:r w:rsidR="006B4928" w:rsidRPr="009132C5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3E6EABF3" w14:textId="6AFB4BA5" w:rsidR="00FB252A" w:rsidRPr="009132C5" w:rsidRDefault="00FB252A" w:rsidP="00DF516A">
      <w:pPr>
        <w:rPr>
          <w:rFonts w:ascii="Arial" w:hAnsi="Arial" w:cs="Arial"/>
          <w:sz w:val="22"/>
          <w:szCs w:val="22"/>
        </w:rPr>
      </w:pPr>
    </w:p>
    <w:p w14:paraId="1436D7B0" w14:textId="20A34991" w:rsidR="00FB252A" w:rsidRPr="009132C5" w:rsidRDefault="004E060E" w:rsidP="006B4928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*Elen Maria Lima Santos OLIVEIRA</w:t>
      </w:r>
      <w:r w:rsidR="00FB252A" w:rsidRPr="009132C5">
        <w:rPr>
          <w:rStyle w:val="Refdenotaderodap"/>
          <w:rFonts w:ascii="Arial" w:hAnsi="Arial" w:cs="Arial"/>
          <w:sz w:val="22"/>
          <w:szCs w:val="22"/>
        </w:rPr>
        <w:footnoteReference w:id="2"/>
      </w:r>
    </w:p>
    <w:p w14:paraId="16FD4738" w14:textId="1297737B" w:rsidR="00FB252A" w:rsidRDefault="004E060E" w:rsidP="004E060E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Bianca</w:t>
      </w:r>
      <w:r w:rsidR="00AA0DBA">
        <w:rPr>
          <w:rFonts w:ascii="Arial" w:hAnsi="Arial" w:cs="Arial"/>
          <w:b/>
          <w:sz w:val="22"/>
          <w:szCs w:val="22"/>
        </w:rPr>
        <w:t xml:space="preserve"> da Costa FEITOSA</w:t>
      </w:r>
      <w:r w:rsidR="00FB252A" w:rsidRPr="009132C5">
        <w:rPr>
          <w:rStyle w:val="Refdenotaderodap"/>
          <w:rFonts w:ascii="Arial" w:hAnsi="Arial" w:cs="Arial"/>
          <w:sz w:val="22"/>
          <w:szCs w:val="22"/>
        </w:rPr>
        <w:footnoteReference w:id="3"/>
      </w:r>
    </w:p>
    <w:p w14:paraId="5735EA95" w14:textId="5694D9B9" w:rsidR="00020482" w:rsidRDefault="00020482" w:rsidP="004E060E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Evilyn Maria Santos OLIVEIRA</w:t>
      </w:r>
      <w:r w:rsidRPr="009132C5">
        <w:rPr>
          <w:rStyle w:val="Refdenotaderodap"/>
          <w:rFonts w:ascii="Arial" w:hAnsi="Arial" w:cs="Arial"/>
          <w:sz w:val="22"/>
          <w:szCs w:val="22"/>
        </w:rPr>
        <w:footnoteReference w:id="4"/>
      </w:r>
    </w:p>
    <w:p w14:paraId="1A758B25" w14:textId="6C43660F" w:rsidR="00FD2BFA" w:rsidRPr="009132C5" w:rsidRDefault="00FD2BFA" w:rsidP="004E060E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Caroline de Deus Tupinambá Rodrigues GONÇALVES</w:t>
      </w:r>
      <w:r w:rsidRPr="009132C5">
        <w:rPr>
          <w:rStyle w:val="Refdenotaderodap"/>
          <w:rFonts w:ascii="Arial" w:hAnsi="Arial" w:cs="Arial"/>
          <w:sz w:val="22"/>
          <w:szCs w:val="22"/>
        </w:rPr>
        <w:footnoteReference w:id="5"/>
      </w:r>
    </w:p>
    <w:p w14:paraId="17782345" w14:textId="3D0085D1" w:rsidR="009132C5" w:rsidRPr="009132C5" w:rsidRDefault="00AA0DBA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>Aryvelto</w:t>
      </w:r>
      <w:r w:rsidR="00FD2BFA">
        <w:rPr>
          <w:rFonts w:ascii="Arial" w:hAnsi="Arial" w:cs="Arial"/>
          <w:b/>
        </w:rPr>
        <w:t xml:space="preserve"> </w:t>
      </w:r>
      <w:r w:rsidR="00FD2BFA">
        <w:rPr>
          <w:rFonts w:ascii="Arial" w:hAnsi="Arial" w:cs="Arial"/>
          <w:b/>
          <w:sz w:val="22"/>
          <w:szCs w:val="22"/>
        </w:rPr>
        <w:t>Miranda SILVA</w:t>
      </w:r>
      <w:r w:rsidR="00FD2BFA" w:rsidRPr="009132C5">
        <w:rPr>
          <w:rStyle w:val="Refdenotaderodap"/>
          <w:rFonts w:ascii="Arial" w:hAnsi="Arial" w:cs="Arial"/>
          <w:sz w:val="22"/>
          <w:szCs w:val="22"/>
        </w:rPr>
        <w:t xml:space="preserve"> </w:t>
      </w:r>
      <w:r w:rsidR="00DA220F" w:rsidRPr="009132C5">
        <w:rPr>
          <w:rStyle w:val="Refdenotaderodap"/>
          <w:rFonts w:ascii="Arial" w:hAnsi="Arial" w:cs="Arial"/>
          <w:sz w:val="22"/>
          <w:szCs w:val="22"/>
        </w:rPr>
        <w:footnoteReference w:id="6"/>
      </w:r>
    </w:p>
    <w:p w14:paraId="7446EF36" w14:textId="77777777" w:rsidR="00FB252A" w:rsidRPr="007C50C5" w:rsidRDefault="00FB252A" w:rsidP="006E2811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7C50C5" w:rsidRDefault="00FB252A" w:rsidP="007C50C5">
      <w:pPr>
        <w:spacing w:after="120"/>
        <w:ind w:right="665"/>
        <w:jc w:val="both"/>
        <w:rPr>
          <w:rFonts w:ascii="Arial" w:hAnsi="Arial" w:cs="Arial"/>
          <w:b/>
        </w:rPr>
      </w:pPr>
      <w:r w:rsidRPr="007C50C5">
        <w:rPr>
          <w:rFonts w:ascii="Arial" w:hAnsi="Arial" w:cs="Arial"/>
          <w:b/>
        </w:rPr>
        <w:t>RESUMO</w:t>
      </w:r>
    </w:p>
    <w:p w14:paraId="5F72A920" w14:textId="77777777" w:rsidR="00FD2BFA" w:rsidRDefault="00FD2BFA" w:rsidP="00FD2B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C50C5">
        <w:rPr>
          <w:rFonts w:ascii="Arial" w:hAnsi="Arial" w:cs="Arial"/>
          <w:b/>
        </w:rPr>
        <w:t>INTRODUÇÃO</w:t>
      </w:r>
      <w:r w:rsidRPr="007C50C5">
        <w:rPr>
          <w:rFonts w:ascii="Arial" w:hAnsi="Arial" w:cs="Arial"/>
        </w:rPr>
        <w:t xml:space="preserve">: A Odontologia estética é uma das áreas que mais têm evoluído nos últimos anos, o que tem aumentado a procura por procedimentos como o clareamento dental, motivado pela busca por dentes mais brancos. </w:t>
      </w:r>
      <w:r w:rsidRPr="004E060E">
        <w:rPr>
          <w:rFonts w:ascii="Arial" w:hAnsi="Arial" w:cs="Arial"/>
        </w:rPr>
        <w:t xml:space="preserve">Embora eficaz, o clareamento pode causar efeitos adversos, como </w:t>
      </w:r>
      <w:r>
        <w:rPr>
          <w:rFonts w:ascii="Arial" w:hAnsi="Arial" w:cs="Arial"/>
        </w:rPr>
        <w:t>hiper</w:t>
      </w:r>
      <w:r w:rsidRPr="004E060E">
        <w:rPr>
          <w:rFonts w:ascii="Arial" w:hAnsi="Arial" w:cs="Arial"/>
        </w:rPr>
        <w:t>sensibilidade dentinária, inflamação gengival, irritação pulpar, desmineralização, alterações do pH bucal e aumento de trincas no esmalte. Pacientes com recessões gengivais ou trincas pré-existentes apresentam maior predisposição a essas reações.</w:t>
      </w:r>
      <w:r w:rsidRPr="007C50C5">
        <w:rPr>
          <w:rFonts w:ascii="Arial" w:hAnsi="Arial" w:cs="Arial"/>
        </w:rPr>
        <w:t xml:space="preserve"> </w:t>
      </w:r>
      <w:r w:rsidRPr="004E060E">
        <w:rPr>
          <w:rFonts w:ascii="Arial" w:hAnsi="Arial" w:cs="Arial"/>
        </w:rPr>
        <w:t>Dessa forma, é fundamental adotar cuidados específicos no protocolo clínico. A aplicação de adesivo nas áreas de recessão gengival, antes do clareamento, é uma medida eficaz para proteger o cemento exposto e reduzir a hipersensibilidade durante o procedimento.</w:t>
      </w:r>
      <w:r>
        <w:rPr>
          <w:rFonts w:ascii="Arial" w:hAnsi="Arial" w:cs="Arial"/>
        </w:rPr>
        <w:t xml:space="preserve"> O objetivo deste estudo é r</w:t>
      </w:r>
      <w:r w:rsidRPr="007C50C5">
        <w:rPr>
          <w:rFonts w:ascii="Arial" w:hAnsi="Arial" w:cs="Arial"/>
        </w:rPr>
        <w:t xml:space="preserve">elatar um caso clínico de paciente com recessões gengival submetido a clareamento dental de consultório. </w:t>
      </w:r>
      <w:r w:rsidRPr="007C50C5">
        <w:rPr>
          <w:rFonts w:ascii="Arial" w:hAnsi="Arial" w:cs="Arial"/>
          <w:b/>
        </w:rPr>
        <w:t xml:space="preserve">RELATO DE CASO: </w:t>
      </w:r>
      <w:r w:rsidRPr="007C50C5">
        <w:rPr>
          <w:rFonts w:ascii="Arial" w:hAnsi="Arial" w:cs="Arial"/>
        </w:rPr>
        <w:t>Paciente do sexo masculino, normossistêmico</w:t>
      </w:r>
      <w:r>
        <w:rPr>
          <w:rFonts w:ascii="Arial" w:hAnsi="Arial" w:cs="Arial"/>
        </w:rPr>
        <w:t>, com 27</w:t>
      </w:r>
      <w:r w:rsidRPr="007C50C5">
        <w:rPr>
          <w:rFonts w:ascii="Arial" w:hAnsi="Arial" w:cs="Arial"/>
        </w:rPr>
        <w:t xml:space="preserve"> anos de idade, compareceu à clínica-escola de uma universidade pública relatando: “meus dentes são amarelados”. Referiu também sensibilidade ao consumo de alimentos gelados. </w:t>
      </w:r>
      <w:r w:rsidRPr="00167196">
        <w:rPr>
          <w:rFonts w:ascii="Arial" w:hAnsi="Arial" w:cs="Arial"/>
        </w:rPr>
        <w:t>Ao exame clínico, foram observadas recessões gengivais em praticamente todos os dentes, além de trincas no esmalte</w:t>
      </w:r>
      <w:r>
        <w:rPr>
          <w:rFonts w:ascii="Arial" w:hAnsi="Arial" w:cs="Arial"/>
        </w:rPr>
        <w:t xml:space="preserve"> nos dentes 11 e 21</w:t>
      </w:r>
      <w:r w:rsidRPr="00167196">
        <w:rPr>
          <w:rFonts w:ascii="Arial" w:hAnsi="Arial" w:cs="Arial"/>
        </w:rPr>
        <w:t xml:space="preserve">. Diante do quadro, optou-se pela realização de clareamento dental de consultório com </w:t>
      </w:r>
      <w:r>
        <w:rPr>
          <w:rFonts w:ascii="Arial" w:hAnsi="Arial" w:cs="Arial"/>
        </w:rPr>
        <w:t>P</w:t>
      </w:r>
      <w:r w:rsidRPr="00167196">
        <w:rPr>
          <w:rFonts w:ascii="Arial" w:hAnsi="Arial" w:cs="Arial"/>
        </w:rPr>
        <w:t xml:space="preserve">eróxido de </w:t>
      </w:r>
      <w:r>
        <w:rPr>
          <w:rFonts w:ascii="Arial" w:hAnsi="Arial" w:cs="Arial"/>
        </w:rPr>
        <w:t>H</w:t>
      </w:r>
      <w:r w:rsidRPr="00167196">
        <w:rPr>
          <w:rFonts w:ascii="Arial" w:hAnsi="Arial" w:cs="Arial"/>
        </w:rPr>
        <w:t>idrogênio a 38%</w:t>
      </w:r>
      <w:r>
        <w:rPr>
          <w:rFonts w:ascii="Arial" w:hAnsi="Arial" w:cs="Arial"/>
        </w:rPr>
        <w:t xml:space="preserve"> (Potenza Bianco PRO SS, PHS)</w:t>
      </w:r>
      <w:r w:rsidRPr="00167196">
        <w:rPr>
          <w:rFonts w:ascii="Arial" w:hAnsi="Arial" w:cs="Arial"/>
        </w:rPr>
        <w:t>. Previamente ao procedimento, realizou-se a aplicação d</w:t>
      </w:r>
      <w:r>
        <w:rPr>
          <w:rFonts w:ascii="Arial" w:hAnsi="Arial" w:cs="Arial"/>
        </w:rPr>
        <w:t xml:space="preserve">e </w:t>
      </w:r>
      <w:r w:rsidRPr="00167196">
        <w:rPr>
          <w:rFonts w:ascii="Arial" w:hAnsi="Arial" w:cs="Arial"/>
        </w:rPr>
        <w:t>adesivo</w:t>
      </w:r>
      <w:r>
        <w:rPr>
          <w:rFonts w:ascii="Arial" w:hAnsi="Arial" w:cs="Arial"/>
        </w:rPr>
        <w:t xml:space="preserve"> convencional (Ambar, FGM)</w:t>
      </w:r>
      <w:r w:rsidRPr="00167196">
        <w:rPr>
          <w:rFonts w:ascii="Arial" w:hAnsi="Arial" w:cs="Arial"/>
        </w:rPr>
        <w:t xml:space="preserve"> nas áreas de cemento exposto, seguid</w:t>
      </w:r>
      <w:r>
        <w:rPr>
          <w:rFonts w:ascii="Arial" w:hAnsi="Arial" w:cs="Arial"/>
        </w:rPr>
        <w:t>o</w:t>
      </w:r>
      <w:r w:rsidRPr="0016719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 </w:t>
      </w:r>
      <w:r w:rsidRPr="00167196">
        <w:rPr>
          <w:rFonts w:ascii="Arial" w:hAnsi="Arial" w:cs="Arial"/>
        </w:rPr>
        <w:t xml:space="preserve"> fotoativação. Na sequência, foi adotado um protocolo dessensibilizante</w:t>
      </w:r>
      <w:r>
        <w:rPr>
          <w:rFonts w:ascii="Arial" w:hAnsi="Arial" w:cs="Arial"/>
        </w:rPr>
        <w:t>,</w:t>
      </w:r>
      <w:r w:rsidRPr="00167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aplicação de dessensibilizante </w:t>
      </w:r>
      <w:r w:rsidRPr="00167196">
        <w:rPr>
          <w:rFonts w:ascii="Arial" w:hAnsi="Arial" w:cs="Arial"/>
        </w:rPr>
        <w:t>à base de nitrato de potássio</w:t>
      </w:r>
      <w:r>
        <w:rPr>
          <w:rFonts w:ascii="Arial" w:hAnsi="Arial" w:cs="Arial"/>
        </w:rPr>
        <w:t xml:space="preserve"> 6%</w:t>
      </w:r>
      <w:r w:rsidRPr="00167196">
        <w:rPr>
          <w:rFonts w:ascii="Arial" w:hAnsi="Arial" w:cs="Arial"/>
        </w:rPr>
        <w:t xml:space="preserve"> e fluoreto de sódio</w:t>
      </w:r>
      <w:r>
        <w:rPr>
          <w:rFonts w:ascii="Arial" w:hAnsi="Arial" w:cs="Arial"/>
        </w:rPr>
        <w:t xml:space="preserve"> 2%</w:t>
      </w:r>
      <w:r w:rsidRPr="00167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(Potenza Esente 2%, PHS), </w:t>
      </w:r>
      <w:r w:rsidRPr="00167196">
        <w:rPr>
          <w:rFonts w:ascii="Arial" w:hAnsi="Arial" w:cs="Arial"/>
        </w:rPr>
        <w:t>com ação neural e obliteradora</w:t>
      </w:r>
      <w:r>
        <w:rPr>
          <w:rFonts w:ascii="Arial" w:hAnsi="Arial" w:cs="Arial"/>
        </w:rPr>
        <w:t>, por 10 minutos</w:t>
      </w:r>
      <w:r w:rsidRPr="00167196">
        <w:rPr>
          <w:rFonts w:ascii="Arial" w:hAnsi="Arial" w:cs="Arial"/>
        </w:rPr>
        <w:t>.</w:t>
      </w:r>
      <w:r w:rsidRPr="007C5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Foram realizadas 3 sessões de clareamento com uma única aplicação de </w:t>
      </w:r>
      <w:r>
        <w:rPr>
          <w:rFonts w:ascii="Arial" w:hAnsi="Arial" w:cs="Arial"/>
        </w:rPr>
        <w:lastRenderedPageBreak/>
        <w:t xml:space="preserve">25 minutos, para registro de cor foi utilizada a escala VITA onde a cor inicial foi A3 e final B2. Não houve relato do paciente de sensibilidade durante ou após o clareamento. </w:t>
      </w:r>
      <w:r w:rsidRPr="007C50C5">
        <w:rPr>
          <w:rFonts w:ascii="Arial" w:hAnsi="Arial" w:cs="Arial"/>
          <w:b/>
        </w:rPr>
        <w:t>CONSIDERAÇÕES FINAIS</w:t>
      </w:r>
      <w:r w:rsidRPr="007C50C5">
        <w:rPr>
          <w:rFonts w:ascii="Arial" w:hAnsi="Arial" w:cs="Arial"/>
        </w:rPr>
        <w:t>: O caso reforça a importância do planejamento individualizado em clareamentos dentais, especialmente em pacientes com recessões gengivais e trincas no esmalte. A aplicação prévia de adesivo, associada ao protocolo dessensibilizante, foi essencial para prevenir a sensibilidade e garantir conforto e</w:t>
      </w:r>
      <w:r>
        <w:rPr>
          <w:rFonts w:ascii="Arial" w:hAnsi="Arial" w:cs="Arial"/>
        </w:rPr>
        <w:t xml:space="preserve"> segurança durante o tratamento.</w:t>
      </w:r>
    </w:p>
    <w:p w14:paraId="53D40EF2" w14:textId="4CCF1E05" w:rsidR="00A93FE6" w:rsidRPr="009132C5" w:rsidRDefault="00FD2BFA" w:rsidP="00FD2BFA">
      <w:pPr>
        <w:jc w:val="both"/>
        <w:rPr>
          <w:rFonts w:ascii="Arial" w:hAnsi="Arial" w:cs="Arial"/>
          <w:color w:val="000000" w:themeColor="text1"/>
        </w:rPr>
      </w:pPr>
      <w:r w:rsidRPr="007C50C5">
        <w:rPr>
          <w:rFonts w:ascii="Arial" w:hAnsi="Arial" w:cs="Arial"/>
          <w:b/>
        </w:rPr>
        <w:t>Descritores</w:t>
      </w:r>
      <w:r w:rsidRPr="007C50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Protocolos</w:t>
      </w:r>
      <w:r w:rsidRPr="007C50C5">
        <w:rPr>
          <w:rFonts w:ascii="Arial" w:hAnsi="Arial" w:cs="Arial"/>
        </w:rPr>
        <w:t xml:space="preserve"> clínicos. </w:t>
      </w:r>
      <w:r>
        <w:rPr>
          <w:rFonts w:ascii="Arial" w:hAnsi="Arial" w:cs="Arial"/>
        </w:rPr>
        <w:t>C</w:t>
      </w:r>
      <w:r w:rsidRPr="007C50C5">
        <w:rPr>
          <w:rFonts w:ascii="Arial" w:hAnsi="Arial" w:cs="Arial"/>
        </w:rPr>
        <w:t xml:space="preserve">emento </w:t>
      </w:r>
      <w:r>
        <w:rPr>
          <w:rFonts w:ascii="Arial" w:hAnsi="Arial" w:cs="Arial"/>
          <w:bCs/>
          <w:color w:val="212529"/>
          <w:shd w:val="clear" w:color="auto" w:fill="FFFFFF"/>
        </w:rPr>
        <w:t>d</w:t>
      </w:r>
      <w:r w:rsidRPr="007C50C5">
        <w:rPr>
          <w:rFonts w:ascii="Arial" w:hAnsi="Arial" w:cs="Arial"/>
          <w:bCs/>
          <w:color w:val="212529"/>
          <w:shd w:val="clear" w:color="auto" w:fill="FFFFFF"/>
        </w:rPr>
        <w:t xml:space="preserve">entário. </w:t>
      </w:r>
      <w:r>
        <w:rPr>
          <w:rFonts w:ascii="Arial" w:hAnsi="Arial" w:cs="Arial"/>
          <w:bCs/>
          <w:color w:val="212529"/>
          <w:shd w:val="clear" w:color="auto" w:fill="FFFFFF"/>
        </w:rPr>
        <w:t>Sensibilidade da d</w:t>
      </w:r>
      <w:r w:rsidRPr="007C50C5">
        <w:rPr>
          <w:rFonts w:ascii="Arial" w:hAnsi="Arial" w:cs="Arial"/>
          <w:bCs/>
          <w:color w:val="212529"/>
          <w:shd w:val="clear" w:color="auto" w:fill="FFFFFF"/>
        </w:rPr>
        <w:t xml:space="preserve">entina. </w:t>
      </w:r>
      <w:r>
        <w:rPr>
          <w:rFonts w:ascii="Arial" w:hAnsi="Arial" w:cs="Arial"/>
          <w:bCs/>
          <w:color w:val="212529"/>
          <w:shd w:val="clear" w:color="auto" w:fill="FFFFFF"/>
        </w:rPr>
        <w:t>Clareamento d</w:t>
      </w:r>
      <w:r w:rsidRPr="007C50C5">
        <w:rPr>
          <w:rFonts w:ascii="Arial" w:hAnsi="Arial" w:cs="Arial"/>
          <w:bCs/>
          <w:color w:val="212529"/>
          <w:shd w:val="clear" w:color="auto" w:fill="FFFFFF"/>
        </w:rPr>
        <w:t>ent</w:t>
      </w:r>
      <w:r>
        <w:rPr>
          <w:rFonts w:ascii="Arial" w:hAnsi="Arial" w:cs="Arial"/>
          <w:bCs/>
          <w:color w:val="212529"/>
          <w:shd w:val="clear" w:color="auto" w:fill="FFFFFF"/>
        </w:rPr>
        <w:t>a</w:t>
      </w:r>
      <w:r w:rsidRPr="007C50C5">
        <w:rPr>
          <w:rFonts w:ascii="Arial" w:hAnsi="Arial" w:cs="Arial"/>
          <w:bCs/>
          <w:color w:val="212529"/>
          <w:shd w:val="clear" w:color="auto" w:fill="FFFFFF"/>
        </w:rPr>
        <w:t>l</w:t>
      </w:r>
      <w:r>
        <w:rPr>
          <w:rFonts w:ascii="Arial" w:hAnsi="Arial" w:cs="Arial"/>
          <w:bCs/>
          <w:color w:val="212529"/>
          <w:shd w:val="clear" w:color="auto" w:fill="FFFFFF"/>
        </w:rPr>
        <w:t>.</w:t>
      </w:r>
    </w:p>
    <w:p w14:paraId="381AC72F" w14:textId="33F271AE" w:rsidR="00167906" w:rsidRPr="009132C5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D0A3" w14:textId="77777777" w:rsidR="00752310" w:rsidRDefault="00752310" w:rsidP="00D479CD">
      <w:r>
        <w:separator/>
      </w:r>
    </w:p>
  </w:endnote>
  <w:endnote w:type="continuationSeparator" w:id="0">
    <w:p w14:paraId="51802F41" w14:textId="77777777" w:rsidR="00752310" w:rsidRDefault="0075231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6AC0602D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020482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A25D" w14:textId="77777777" w:rsidR="00752310" w:rsidRDefault="00752310" w:rsidP="00D479CD">
      <w:r>
        <w:separator/>
      </w:r>
    </w:p>
  </w:footnote>
  <w:footnote w:type="continuationSeparator" w:id="0">
    <w:p w14:paraId="5047981E" w14:textId="77777777" w:rsidR="00752310" w:rsidRDefault="00752310" w:rsidP="00D479CD">
      <w:r>
        <w:continuationSeparator/>
      </w:r>
    </w:p>
  </w:footnote>
  <w:footnote w:id="1">
    <w:p w14:paraId="39A857BA" w14:textId="77777777" w:rsidR="006B4928" w:rsidRPr="00C707F3" w:rsidRDefault="006B4928" w:rsidP="006B4928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490993A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>. Estudante do curso</w:t>
      </w:r>
      <w:r w:rsidR="00AA0DBA">
        <w:t xml:space="preserve"> de graduação em Odontologia na Universidade Federal do Piauí (UFPI)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7717AEE" w14:textId="44D5CF08" w:rsidR="00020482" w:rsidRPr="00C707F3" w:rsidRDefault="00020482" w:rsidP="00020482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</w:t>
      </w:r>
      <w:r>
        <w:t>).</w:t>
      </w:r>
      <w:bookmarkStart w:id="0" w:name="_GoBack"/>
      <w:bookmarkEnd w:id="0"/>
    </w:p>
  </w:footnote>
  <w:footnote w:id="5">
    <w:p w14:paraId="70AF3586" w14:textId="78EC1142" w:rsidR="00FD2BFA" w:rsidRPr="00C707F3" w:rsidRDefault="00FD2BFA" w:rsidP="00FD2BFA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</w:t>
      </w:r>
      <w:r w:rsidRPr="00FD2BFA">
        <w:t>Doutora e Mestre em Dentística pela Universidade Estadual Paulista - Faculdade de Odontologia de Araraquara. Professora Associada da Universidade Federal do Piauí.</w:t>
      </w:r>
    </w:p>
  </w:footnote>
  <w:footnote w:id="6">
    <w:p w14:paraId="29964275" w14:textId="3583AE5D" w:rsidR="00DA220F" w:rsidRPr="00C707F3" w:rsidRDefault="00DA220F" w:rsidP="00DA220F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AA0DBA">
        <w:t xml:space="preserve"> </w:t>
      </w:r>
      <w:r w:rsidR="00FD2BFA" w:rsidRPr="0023382C">
        <w:t>Graduado (2015) e Mestre (2018) em Odontologia pela Universidade Federal do Piauí. Doutor em Dentística pela Universidade Estadual Paulista – Faculdade de Odontologia de Araraquara (2021). Professor Adjunto da Universidade Federal do Piauí (UFPI). Orientador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482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196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17EA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060E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4928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2310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0C5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2C5"/>
    <w:rsid w:val="00913FA6"/>
    <w:rsid w:val="00916DDD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0DBA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1FCC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174D0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2214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A220F"/>
    <w:rsid w:val="00DC0277"/>
    <w:rsid w:val="00DC7668"/>
    <w:rsid w:val="00DD6DC7"/>
    <w:rsid w:val="00DE5594"/>
    <w:rsid w:val="00DE713A"/>
    <w:rsid w:val="00DE7274"/>
    <w:rsid w:val="00DF516A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0D2D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EF6924"/>
    <w:rsid w:val="00F00487"/>
    <w:rsid w:val="00F12230"/>
    <w:rsid w:val="00F13534"/>
    <w:rsid w:val="00F352FF"/>
    <w:rsid w:val="00F513C3"/>
    <w:rsid w:val="00F54972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2BFA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7C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149D-3E6A-4A55-A2EB-832C5791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Arthur</cp:lastModifiedBy>
  <cp:revision>2</cp:revision>
  <cp:lastPrinted>2019-06-27T19:23:00Z</cp:lastPrinted>
  <dcterms:created xsi:type="dcterms:W3CDTF">2025-05-21T16:29:00Z</dcterms:created>
  <dcterms:modified xsi:type="dcterms:W3CDTF">2025-05-21T16:29:00Z</dcterms:modified>
</cp:coreProperties>
</file>