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6D" w:rsidRDefault="002F256D" w:rsidP="002F256D">
      <w:pPr>
        <w:spacing w:after="120" w:line="360" w:lineRule="auto"/>
        <w:jc w:val="center"/>
        <w:rPr>
          <w:rFonts w:ascii="Times New Roman" w:eastAsia="Times New Roman" w:hAnsi="Times New Roman" w:cs="Times New Roman"/>
          <w:b/>
          <w:bCs/>
          <w:color w:val="333333"/>
          <w:sz w:val="24"/>
          <w:szCs w:val="24"/>
          <w:lang w:eastAsia="pt-BR"/>
        </w:rPr>
      </w:pPr>
      <w:r w:rsidRPr="002F256D">
        <w:rPr>
          <w:rFonts w:ascii="Times New Roman" w:eastAsia="Times New Roman" w:hAnsi="Times New Roman" w:cs="Times New Roman"/>
          <w:b/>
          <w:bCs/>
          <w:color w:val="333333"/>
          <w:sz w:val="24"/>
          <w:szCs w:val="24"/>
          <w:lang w:eastAsia="pt-BR"/>
        </w:rPr>
        <w:t>PERFIL DOS AGRICULTORES</w:t>
      </w:r>
      <w:r w:rsidR="00EF18CE">
        <w:rPr>
          <w:rFonts w:ascii="Times New Roman" w:eastAsia="Times New Roman" w:hAnsi="Times New Roman" w:cs="Times New Roman"/>
          <w:b/>
          <w:bCs/>
          <w:color w:val="333333"/>
          <w:sz w:val="24"/>
          <w:szCs w:val="24"/>
          <w:lang w:eastAsia="pt-BR"/>
        </w:rPr>
        <w:t xml:space="preserve"> DO MUNICÍPIO DE GARANHUNS-PE, QUANTO</w:t>
      </w:r>
      <w:r w:rsidRPr="002F256D">
        <w:rPr>
          <w:rFonts w:ascii="Times New Roman" w:eastAsia="Times New Roman" w:hAnsi="Times New Roman" w:cs="Times New Roman"/>
          <w:b/>
          <w:bCs/>
          <w:color w:val="333333"/>
          <w:sz w:val="24"/>
          <w:szCs w:val="24"/>
          <w:lang w:eastAsia="pt-BR"/>
        </w:rPr>
        <w:t xml:space="preserve"> AO USO DE AGROTÓX</w:t>
      </w:r>
      <w:r w:rsidR="00EF18CE">
        <w:rPr>
          <w:rFonts w:ascii="Times New Roman" w:eastAsia="Times New Roman" w:hAnsi="Times New Roman" w:cs="Times New Roman"/>
          <w:b/>
          <w:bCs/>
          <w:color w:val="333333"/>
          <w:sz w:val="24"/>
          <w:szCs w:val="24"/>
          <w:lang w:eastAsia="pt-BR"/>
        </w:rPr>
        <w:t>ICOS:</w:t>
      </w:r>
      <w:r w:rsidRPr="002F256D">
        <w:rPr>
          <w:rFonts w:ascii="Times New Roman" w:eastAsia="Times New Roman" w:hAnsi="Times New Roman" w:cs="Times New Roman"/>
          <w:b/>
          <w:bCs/>
          <w:color w:val="333333"/>
          <w:sz w:val="24"/>
          <w:szCs w:val="24"/>
          <w:lang w:eastAsia="pt-BR"/>
        </w:rPr>
        <w:t xml:space="preserve"> </w:t>
      </w:r>
      <w:r w:rsidR="005D03DA">
        <w:rPr>
          <w:rFonts w:ascii="Times New Roman" w:eastAsia="Times New Roman" w:hAnsi="Times New Roman" w:cs="Times New Roman"/>
          <w:b/>
          <w:bCs/>
          <w:color w:val="333333"/>
          <w:sz w:val="24"/>
          <w:szCs w:val="24"/>
          <w:lang w:eastAsia="pt-BR"/>
        </w:rPr>
        <w:t xml:space="preserve">UMA </w:t>
      </w:r>
      <w:r w:rsidR="00EF18CE">
        <w:rPr>
          <w:rFonts w:ascii="Times New Roman" w:eastAsia="Times New Roman" w:hAnsi="Times New Roman" w:cs="Times New Roman"/>
          <w:b/>
          <w:bCs/>
          <w:color w:val="333333"/>
          <w:sz w:val="24"/>
          <w:szCs w:val="24"/>
          <w:lang w:eastAsia="pt-BR"/>
        </w:rPr>
        <w:t>ANÁLISE D</w:t>
      </w:r>
      <w:r w:rsidR="005D03DA">
        <w:rPr>
          <w:rFonts w:ascii="Times New Roman" w:eastAsia="Times New Roman" w:hAnsi="Times New Roman" w:cs="Times New Roman"/>
          <w:b/>
          <w:bCs/>
          <w:color w:val="333333"/>
          <w:sz w:val="24"/>
          <w:szCs w:val="24"/>
          <w:lang w:eastAsia="pt-BR"/>
        </w:rPr>
        <w:t>OS</w:t>
      </w:r>
      <w:r w:rsidR="00EF18CE">
        <w:rPr>
          <w:rFonts w:ascii="Times New Roman" w:eastAsia="Times New Roman" w:hAnsi="Times New Roman" w:cs="Times New Roman"/>
          <w:b/>
          <w:bCs/>
          <w:color w:val="333333"/>
          <w:sz w:val="24"/>
          <w:szCs w:val="24"/>
          <w:lang w:eastAsia="pt-BR"/>
        </w:rPr>
        <w:t xml:space="preserve"> FATORES QUE </w:t>
      </w:r>
      <w:r w:rsidR="005D03DA">
        <w:rPr>
          <w:rFonts w:ascii="Times New Roman" w:eastAsia="Times New Roman" w:hAnsi="Times New Roman" w:cs="Times New Roman"/>
          <w:b/>
          <w:bCs/>
          <w:color w:val="333333"/>
          <w:sz w:val="24"/>
          <w:szCs w:val="24"/>
          <w:lang w:eastAsia="pt-BR"/>
        </w:rPr>
        <w:t>ELEVAM</w:t>
      </w:r>
      <w:r w:rsidR="00EF18CE">
        <w:rPr>
          <w:rFonts w:ascii="Times New Roman" w:eastAsia="Times New Roman" w:hAnsi="Times New Roman" w:cs="Times New Roman"/>
          <w:b/>
          <w:bCs/>
          <w:color w:val="333333"/>
          <w:sz w:val="24"/>
          <w:szCs w:val="24"/>
          <w:lang w:eastAsia="pt-BR"/>
        </w:rPr>
        <w:t xml:space="preserve"> O RISCO À</w:t>
      </w:r>
      <w:r w:rsidRPr="002F256D">
        <w:rPr>
          <w:rFonts w:ascii="Times New Roman" w:eastAsia="Times New Roman" w:hAnsi="Times New Roman" w:cs="Times New Roman"/>
          <w:b/>
          <w:bCs/>
          <w:color w:val="333333"/>
          <w:sz w:val="24"/>
          <w:szCs w:val="24"/>
          <w:lang w:eastAsia="pt-BR"/>
        </w:rPr>
        <w:t xml:space="preserve"> SAÚDE</w:t>
      </w:r>
      <w:r w:rsidR="00EF18CE">
        <w:rPr>
          <w:rFonts w:ascii="Times New Roman" w:eastAsia="Times New Roman" w:hAnsi="Times New Roman" w:cs="Times New Roman"/>
          <w:b/>
          <w:bCs/>
          <w:color w:val="333333"/>
          <w:sz w:val="24"/>
          <w:szCs w:val="24"/>
          <w:lang w:eastAsia="pt-BR"/>
        </w:rPr>
        <w:t xml:space="preserve"> DO TRABALHADOR E AO MEIO AMBIENTE </w:t>
      </w:r>
    </w:p>
    <w:p w:rsidR="00923020" w:rsidRPr="00923020" w:rsidRDefault="00923020" w:rsidP="00923020">
      <w:pPr>
        <w:spacing w:after="0" w:line="240" w:lineRule="auto"/>
        <w:jc w:val="right"/>
        <w:rPr>
          <w:rFonts w:ascii="Times New Roman" w:eastAsia="Times New Roman" w:hAnsi="Times New Roman" w:cs="Times New Roman"/>
          <w:bCs/>
          <w:color w:val="333333"/>
          <w:sz w:val="24"/>
          <w:szCs w:val="24"/>
          <w:lang w:eastAsia="pt-BR"/>
        </w:rPr>
      </w:pPr>
      <w:r w:rsidRPr="00923020">
        <w:rPr>
          <w:rFonts w:ascii="Times New Roman" w:eastAsia="Times New Roman" w:hAnsi="Times New Roman" w:cs="Times New Roman"/>
          <w:bCs/>
          <w:color w:val="333333"/>
          <w:sz w:val="24"/>
          <w:szCs w:val="24"/>
          <w:lang w:eastAsia="pt-BR"/>
        </w:rPr>
        <w:t xml:space="preserve">Lorena Almeida </w:t>
      </w:r>
      <w:r w:rsidR="00F1331A">
        <w:rPr>
          <w:rFonts w:ascii="Times New Roman" w:eastAsia="Times New Roman" w:hAnsi="Times New Roman" w:cs="Times New Roman"/>
          <w:bCs/>
          <w:color w:val="333333"/>
          <w:sz w:val="24"/>
          <w:szCs w:val="24"/>
          <w:lang w:eastAsia="pt-BR"/>
        </w:rPr>
        <w:t>Lucas Lima (IFPE) lorenal</w:t>
      </w:r>
      <w:r w:rsidRPr="00923020">
        <w:rPr>
          <w:rFonts w:ascii="Times New Roman" w:eastAsia="Times New Roman" w:hAnsi="Times New Roman" w:cs="Times New Roman"/>
          <w:bCs/>
          <w:color w:val="333333"/>
          <w:sz w:val="24"/>
          <w:szCs w:val="24"/>
          <w:lang w:eastAsia="pt-BR"/>
        </w:rPr>
        <w:t>l</w:t>
      </w:r>
      <w:r w:rsidR="00F1331A">
        <w:rPr>
          <w:rFonts w:ascii="Times New Roman" w:eastAsia="Times New Roman" w:hAnsi="Times New Roman" w:cs="Times New Roman"/>
          <w:bCs/>
          <w:color w:val="333333"/>
          <w:sz w:val="24"/>
          <w:szCs w:val="24"/>
          <w:lang w:eastAsia="pt-BR"/>
        </w:rPr>
        <w:t>ima.1999</w:t>
      </w:r>
      <w:bookmarkStart w:id="0" w:name="_GoBack"/>
      <w:bookmarkEnd w:id="0"/>
      <w:r w:rsidRPr="00923020">
        <w:rPr>
          <w:rFonts w:ascii="Times New Roman" w:eastAsia="Times New Roman" w:hAnsi="Times New Roman" w:cs="Times New Roman"/>
          <w:bCs/>
          <w:color w:val="333333"/>
          <w:sz w:val="24"/>
          <w:szCs w:val="24"/>
          <w:lang w:eastAsia="pt-BR"/>
        </w:rPr>
        <w:t>@gmail.com</w:t>
      </w:r>
    </w:p>
    <w:p w:rsidR="00923020" w:rsidRPr="00923020" w:rsidRDefault="00923020" w:rsidP="00923020">
      <w:pPr>
        <w:spacing w:after="0" w:line="240" w:lineRule="auto"/>
        <w:jc w:val="right"/>
        <w:rPr>
          <w:rFonts w:ascii="Times New Roman" w:eastAsia="Times New Roman" w:hAnsi="Times New Roman" w:cs="Times New Roman"/>
          <w:bCs/>
          <w:color w:val="333333"/>
          <w:sz w:val="24"/>
          <w:szCs w:val="24"/>
          <w:lang w:eastAsia="pt-BR"/>
        </w:rPr>
      </w:pPr>
      <w:r w:rsidRPr="00923020">
        <w:rPr>
          <w:rFonts w:ascii="Times New Roman" w:eastAsia="Times New Roman" w:hAnsi="Times New Roman" w:cs="Times New Roman"/>
          <w:bCs/>
          <w:color w:val="333333"/>
          <w:sz w:val="24"/>
          <w:szCs w:val="24"/>
          <w:lang w:eastAsia="pt-BR"/>
        </w:rPr>
        <w:t>Renner Ricardo Virgulino (</w:t>
      </w:r>
      <w:r w:rsidR="002F256D">
        <w:rPr>
          <w:rFonts w:ascii="Times New Roman" w:eastAsia="Times New Roman" w:hAnsi="Times New Roman" w:cs="Times New Roman"/>
          <w:bCs/>
          <w:color w:val="333333"/>
          <w:sz w:val="24"/>
          <w:szCs w:val="24"/>
          <w:lang w:eastAsia="pt-BR"/>
        </w:rPr>
        <w:t>IFPE</w:t>
      </w:r>
      <w:r w:rsidRPr="00923020">
        <w:rPr>
          <w:rFonts w:ascii="Times New Roman" w:eastAsia="Times New Roman" w:hAnsi="Times New Roman" w:cs="Times New Roman"/>
          <w:bCs/>
          <w:color w:val="333333"/>
          <w:sz w:val="24"/>
          <w:szCs w:val="24"/>
          <w:lang w:eastAsia="pt-BR"/>
        </w:rPr>
        <w:t xml:space="preserve">) </w:t>
      </w:r>
      <w:r w:rsidR="002F256D" w:rsidRPr="002F256D">
        <w:rPr>
          <w:rFonts w:ascii="Times New Roman" w:eastAsia="Times New Roman" w:hAnsi="Times New Roman" w:cs="Times New Roman"/>
          <w:bCs/>
          <w:color w:val="333333"/>
          <w:sz w:val="24"/>
          <w:szCs w:val="24"/>
          <w:lang w:eastAsia="pt-BR"/>
        </w:rPr>
        <w:t>rennervirgulino@outlook.com</w:t>
      </w:r>
    </w:p>
    <w:p w:rsidR="00923020" w:rsidRPr="00923020" w:rsidRDefault="00923020" w:rsidP="00923020">
      <w:pPr>
        <w:spacing w:after="0" w:line="240" w:lineRule="auto"/>
        <w:jc w:val="right"/>
        <w:rPr>
          <w:rFonts w:ascii="Times New Roman" w:eastAsia="Times New Roman" w:hAnsi="Times New Roman" w:cs="Times New Roman"/>
          <w:bCs/>
          <w:color w:val="333333"/>
          <w:sz w:val="24"/>
          <w:szCs w:val="24"/>
          <w:lang w:eastAsia="pt-BR"/>
        </w:rPr>
      </w:pPr>
      <w:r w:rsidRPr="00923020">
        <w:rPr>
          <w:rFonts w:ascii="Times New Roman" w:eastAsia="Times New Roman" w:hAnsi="Times New Roman" w:cs="Times New Roman"/>
          <w:bCs/>
          <w:color w:val="333333"/>
          <w:sz w:val="24"/>
          <w:szCs w:val="24"/>
          <w:lang w:eastAsia="pt-BR"/>
        </w:rPr>
        <w:t>Alisson Ian Almeida da Silva (UFAL) alissonian.00@gmail.com</w:t>
      </w:r>
    </w:p>
    <w:p w:rsidR="00923020" w:rsidRPr="00923020" w:rsidRDefault="00923020" w:rsidP="00923020">
      <w:pPr>
        <w:spacing w:after="0" w:line="240" w:lineRule="auto"/>
        <w:jc w:val="right"/>
        <w:rPr>
          <w:rFonts w:ascii="Times New Roman" w:eastAsia="Times New Roman" w:hAnsi="Times New Roman" w:cs="Times New Roman"/>
          <w:bCs/>
          <w:color w:val="333333"/>
          <w:sz w:val="24"/>
          <w:szCs w:val="24"/>
          <w:lang w:eastAsia="pt-BR"/>
        </w:rPr>
      </w:pPr>
      <w:r w:rsidRPr="00923020">
        <w:rPr>
          <w:rFonts w:ascii="Times New Roman" w:eastAsia="Times New Roman" w:hAnsi="Times New Roman" w:cs="Times New Roman"/>
          <w:bCs/>
          <w:color w:val="333333"/>
          <w:sz w:val="24"/>
          <w:szCs w:val="24"/>
          <w:lang w:eastAsia="pt-BR"/>
        </w:rPr>
        <w:t>Maria Isabella Castro Nunes (AESGA) isabella_castroo@hotmail.com</w:t>
      </w:r>
    </w:p>
    <w:p w:rsidR="00923020" w:rsidRPr="00923020" w:rsidRDefault="00923020" w:rsidP="00923020">
      <w:pPr>
        <w:spacing w:after="0" w:line="240" w:lineRule="auto"/>
        <w:jc w:val="right"/>
        <w:rPr>
          <w:rFonts w:ascii="Times New Roman" w:eastAsia="Times New Roman" w:hAnsi="Times New Roman" w:cs="Times New Roman"/>
          <w:bCs/>
          <w:color w:val="333333"/>
          <w:sz w:val="24"/>
          <w:szCs w:val="24"/>
          <w:lang w:eastAsia="pt-BR"/>
        </w:rPr>
      </w:pPr>
      <w:r w:rsidRPr="00923020">
        <w:rPr>
          <w:rFonts w:ascii="Times New Roman" w:eastAsia="Times New Roman" w:hAnsi="Times New Roman" w:cs="Times New Roman"/>
          <w:bCs/>
          <w:color w:val="333333"/>
          <w:sz w:val="24"/>
          <w:szCs w:val="24"/>
          <w:lang w:eastAsia="pt-BR"/>
        </w:rPr>
        <w:t>Anderson Nunes da Silva (IFPE) anderson.silva@garanhuns.ifpe.edu.br</w:t>
      </w:r>
    </w:p>
    <w:p w:rsidR="0058542B" w:rsidRDefault="0058542B" w:rsidP="00923020">
      <w:pPr>
        <w:spacing w:before="100" w:beforeAutospacing="1" w:after="120" w:line="360" w:lineRule="auto"/>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Resumo</w:t>
      </w:r>
    </w:p>
    <w:p w:rsidR="0058542B" w:rsidRPr="0058542B" w:rsidRDefault="0058542B" w:rsidP="00D3083D">
      <w:pPr>
        <w:spacing w:after="120" w:line="360" w:lineRule="auto"/>
        <w:jc w:val="both"/>
        <w:rPr>
          <w:rFonts w:ascii="Times New Roman" w:hAnsi="Times New Roman" w:cs="Times New Roman"/>
          <w:i/>
          <w:sz w:val="24"/>
          <w:szCs w:val="24"/>
        </w:rPr>
      </w:pPr>
      <w:r w:rsidRPr="0058542B">
        <w:rPr>
          <w:rFonts w:ascii="Times New Roman" w:hAnsi="Times New Roman" w:cs="Times New Roman"/>
          <w:i/>
          <w:sz w:val="24"/>
          <w:szCs w:val="24"/>
        </w:rPr>
        <w:t>Diante do histórico da necessidade da inserção dos defensivos agrícolas na sociedade mundial e brasileira e dos impactos negativos que os mesmos podem causar ao meio ambiente e à saúde humana, sobretudo à saúde do trabalhador rural, o presente trabalho trata de questões acerca do comportamento dos agricultores do município de Garanhuns-PE, quanto ao uso e manuseio correto de agrotóxicos, bem como ao descarte de suas embalagens e os riscos que essas atividades trazem ao homem e ao meio ambiente. Diante dos resultados apresentados, percebeu-se que 72% dos agricultores utilizam algum tipo de agrotóxico e que, destes, 50% não usam nenhum equipamento de proteção na hora do uso e 77,8% descartam as embalagens de forma incorreta, queimando ou jogando-as no lixo comum. Pode-se inferir que há um desconhecimento e uma relativa negligência sobre as práticas corretas da manipulação dos agrotóxicos, do uso de equipamentos de proteção individual e do descarte correto das embalagens de defensivos agrícolas, evidenciando os riscos à saúde do trabalhador. Sugere-se, então, um enfoque maior na saúde do trabalhador rural pela promoção de políticas públicas e ações de conscientização para a redução de intoxicações e problemas relacionados ao contato com defensivos agrícolas.</w:t>
      </w:r>
    </w:p>
    <w:p w:rsidR="0058542B" w:rsidRDefault="0058542B" w:rsidP="00D3083D">
      <w:pPr>
        <w:spacing w:after="120" w:line="240" w:lineRule="auto"/>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 xml:space="preserve">Palavras-Chaves: </w:t>
      </w:r>
      <w:r w:rsidRPr="0058542B">
        <w:rPr>
          <w:rFonts w:ascii="Times New Roman" w:eastAsia="Times New Roman" w:hAnsi="Times New Roman" w:cs="Times New Roman"/>
          <w:bCs/>
          <w:color w:val="333333"/>
          <w:sz w:val="24"/>
          <w:szCs w:val="24"/>
          <w:lang w:eastAsia="pt-BR"/>
        </w:rPr>
        <w:t>Agrotóxicos,</w:t>
      </w:r>
      <w:r w:rsidR="00881BF0">
        <w:rPr>
          <w:rFonts w:ascii="Times New Roman" w:eastAsia="Times New Roman" w:hAnsi="Times New Roman" w:cs="Times New Roman"/>
          <w:bCs/>
          <w:color w:val="333333"/>
          <w:sz w:val="24"/>
          <w:szCs w:val="24"/>
          <w:lang w:eastAsia="pt-BR"/>
        </w:rPr>
        <w:t xml:space="preserve"> </w:t>
      </w:r>
      <w:r w:rsidR="00D3083D">
        <w:rPr>
          <w:rFonts w:ascii="Times New Roman" w:eastAsia="Times New Roman" w:hAnsi="Times New Roman" w:cs="Times New Roman"/>
          <w:bCs/>
          <w:color w:val="333333"/>
          <w:sz w:val="24"/>
          <w:szCs w:val="24"/>
          <w:lang w:eastAsia="pt-BR"/>
        </w:rPr>
        <w:t>Risco de Intoxicações, Saúde do Trabalhador, Meio Ambiente, Descarte de Embalagens.</w:t>
      </w:r>
    </w:p>
    <w:p w:rsidR="0058542B" w:rsidRDefault="0058542B" w:rsidP="00D3083D">
      <w:pPr>
        <w:spacing w:after="120" w:line="240" w:lineRule="auto"/>
        <w:outlineLvl w:val="1"/>
        <w:rPr>
          <w:rFonts w:ascii="Times New Roman" w:eastAsia="Times New Roman" w:hAnsi="Times New Roman" w:cs="Times New Roman"/>
          <w:b/>
          <w:bCs/>
          <w:color w:val="333333"/>
          <w:sz w:val="24"/>
          <w:szCs w:val="24"/>
          <w:lang w:eastAsia="pt-BR"/>
        </w:rPr>
      </w:pPr>
    </w:p>
    <w:p w:rsidR="00691C69" w:rsidRPr="00691C69" w:rsidRDefault="00691C69" w:rsidP="00691C69">
      <w:pPr>
        <w:spacing w:before="100" w:beforeAutospacing="1" w:after="100" w:afterAutospacing="1" w:line="240" w:lineRule="auto"/>
        <w:outlineLvl w:val="1"/>
        <w:rPr>
          <w:rFonts w:ascii="Times New Roman" w:eastAsia="Times New Roman" w:hAnsi="Times New Roman" w:cs="Times New Roman"/>
          <w:b/>
          <w:bCs/>
          <w:color w:val="333333"/>
          <w:sz w:val="24"/>
          <w:szCs w:val="24"/>
          <w:lang w:eastAsia="pt-BR"/>
        </w:rPr>
      </w:pPr>
      <w:r w:rsidRPr="00691C69">
        <w:rPr>
          <w:rFonts w:ascii="Times New Roman" w:eastAsia="Times New Roman" w:hAnsi="Times New Roman" w:cs="Times New Roman"/>
          <w:b/>
          <w:bCs/>
          <w:color w:val="333333"/>
          <w:sz w:val="24"/>
          <w:szCs w:val="24"/>
          <w:lang w:eastAsia="pt-BR"/>
        </w:rPr>
        <w:t>1. Introdução</w:t>
      </w:r>
    </w:p>
    <w:p w:rsidR="00DC6549" w:rsidRPr="00A40B9B" w:rsidRDefault="00DC6549" w:rsidP="00CB6F85">
      <w:pPr>
        <w:pStyle w:val="SemEspaamento"/>
        <w:spacing w:after="120" w:line="360" w:lineRule="auto"/>
        <w:jc w:val="both"/>
        <w:rPr>
          <w:rFonts w:ascii="Times New Roman" w:hAnsi="Times New Roman" w:cs="Times New Roman"/>
          <w:sz w:val="24"/>
          <w:szCs w:val="24"/>
        </w:rPr>
      </w:pPr>
      <w:r w:rsidRPr="00A40B9B">
        <w:rPr>
          <w:rFonts w:ascii="Times New Roman" w:hAnsi="Times New Roman" w:cs="Times New Roman"/>
          <w:sz w:val="24"/>
          <w:szCs w:val="24"/>
        </w:rPr>
        <w:t xml:space="preserve">Os agrotóxicos começaram a ser utilizado após a </w:t>
      </w:r>
      <w:r>
        <w:rPr>
          <w:rFonts w:ascii="Times New Roman" w:hAnsi="Times New Roman" w:cs="Times New Roman"/>
          <w:sz w:val="24"/>
          <w:szCs w:val="24"/>
        </w:rPr>
        <w:t>S</w:t>
      </w:r>
      <w:r w:rsidRPr="00A40B9B">
        <w:rPr>
          <w:rFonts w:ascii="Times New Roman" w:hAnsi="Times New Roman" w:cs="Times New Roman"/>
          <w:sz w:val="24"/>
          <w:szCs w:val="24"/>
        </w:rPr>
        <w:t>e</w:t>
      </w:r>
      <w:r>
        <w:rPr>
          <w:rFonts w:ascii="Times New Roman" w:hAnsi="Times New Roman" w:cs="Times New Roman"/>
          <w:sz w:val="24"/>
          <w:szCs w:val="24"/>
        </w:rPr>
        <w:t>gunda Guerra M</w:t>
      </w:r>
      <w:r w:rsidRPr="00A40B9B">
        <w:rPr>
          <w:rFonts w:ascii="Times New Roman" w:hAnsi="Times New Roman" w:cs="Times New Roman"/>
          <w:sz w:val="24"/>
          <w:szCs w:val="24"/>
        </w:rPr>
        <w:t>undial, durante a revolução verde na década de 1950, junto a outras tecnologias que mudaram o cenário da agricultura mundial, buscando aumentar a produtividade, combater doenças, pra</w:t>
      </w:r>
      <w:r>
        <w:rPr>
          <w:rFonts w:ascii="Times New Roman" w:hAnsi="Times New Roman" w:cs="Times New Roman"/>
          <w:sz w:val="24"/>
          <w:szCs w:val="24"/>
        </w:rPr>
        <w:t>gas e reduzir as perdas (RIBAS &amp; MATSUMURA</w:t>
      </w:r>
      <w:r w:rsidRPr="00A40B9B">
        <w:rPr>
          <w:rFonts w:ascii="Times New Roman" w:hAnsi="Times New Roman" w:cs="Times New Roman"/>
          <w:sz w:val="24"/>
          <w:szCs w:val="24"/>
        </w:rPr>
        <w:t>,</w:t>
      </w:r>
      <w:r>
        <w:rPr>
          <w:rFonts w:ascii="Times New Roman" w:hAnsi="Times New Roman" w:cs="Times New Roman"/>
          <w:sz w:val="24"/>
          <w:szCs w:val="24"/>
        </w:rPr>
        <w:t xml:space="preserve"> </w:t>
      </w:r>
      <w:r w:rsidRPr="00A40B9B">
        <w:rPr>
          <w:rFonts w:ascii="Times New Roman" w:hAnsi="Times New Roman" w:cs="Times New Roman"/>
          <w:sz w:val="24"/>
          <w:szCs w:val="24"/>
        </w:rPr>
        <w:t>2009)</w:t>
      </w:r>
      <w:r>
        <w:rPr>
          <w:rFonts w:ascii="Times New Roman" w:hAnsi="Times New Roman" w:cs="Times New Roman"/>
          <w:sz w:val="24"/>
          <w:szCs w:val="24"/>
        </w:rPr>
        <w:t>.</w:t>
      </w:r>
    </w:p>
    <w:p w:rsidR="00DC6549" w:rsidRDefault="00DC6549" w:rsidP="00CB6F85">
      <w:pPr>
        <w:pStyle w:val="SemEspaamento"/>
        <w:spacing w:after="120" w:line="360" w:lineRule="auto"/>
        <w:jc w:val="both"/>
        <w:rPr>
          <w:rFonts w:ascii="Times New Roman" w:hAnsi="Times New Roman" w:cs="Times New Roman"/>
          <w:sz w:val="24"/>
          <w:szCs w:val="24"/>
        </w:rPr>
      </w:pPr>
      <w:r w:rsidRPr="00A40B9B">
        <w:rPr>
          <w:rFonts w:ascii="Times New Roman" w:hAnsi="Times New Roman" w:cs="Times New Roman"/>
          <w:sz w:val="24"/>
          <w:szCs w:val="24"/>
        </w:rPr>
        <w:lastRenderedPageBreak/>
        <w:t>Atualmente</w:t>
      </w:r>
      <w:r>
        <w:rPr>
          <w:rFonts w:ascii="Times New Roman" w:hAnsi="Times New Roman" w:cs="Times New Roman"/>
          <w:sz w:val="24"/>
          <w:szCs w:val="24"/>
        </w:rPr>
        <w:t>,</w:t>
      </w:r>
      <w:r>
        <w:rPr>
          <w:rStyle w:val="Refdecomentrio"/>
        </w:rPr>
        <w:t xml:space="preserve"> </w:t>
      </w:r>
      <w:r>
        <w:rPr>
          <w:rStyle w:val="Refdecomentrio"/>
          <w:rFonts w:ascii="Times New Roman" w:hAnsi="Times New Roman" w:cs="Times New Roman"/>
          <w:sz w:val="24"/>
          <w:szCs w:val="24"/>
        </w:rPr>
        <w:t>a</w:t>
      </w:r>
      <w:r w:rsidRPr="00A40B9B">
        <w:rPr>
          <w:rFonts w:ascii="Times New Roman" w:hAnsi="Times New Roman" w:cs="Times New Roman"/>
          <w:sz w:val="24"/>
          <w:szCs w:val="24"/>
        </w:rPr>
        <w:t xml:space="preserve"> procura crescente por hortaliças e frutas, principalmente de boa aparência, </w:t>
      </w:r>
      <w:r>
        <w:rPr>
          <w:rFonts w:ascii="Times New Roman" w:hAnsi="Times New Roman" w:cs="Times New Roman"/>
          <w:sz w:val="24"/>
          <w:szCs w:val="24"/>
        </w:rPr>
        <w:t>incentiva os agricultores</w:t>
      </w:r>
      <w:r w:rsidRPr="00A40B9B">
        <w:rPr>
          <w:rFonts w:ascii="Times New Roman" w:hAnsi="Times New Roman" w:cs="Times New Roman"/>
          <w:sz w:val="24"/>
          <w:szCs w:val="24"/>
        </w:rPr>
        <w:t xml:space="preserve"> usarem</w:t>
      </w:r>
      <w:r>
        <w:rPr>
          <w:rFonts w:ascii="Times New Roman" w:hAnsi="Times New Roman" w:cs="Times New Roman"/>
          <w:sz w:val="24"/>
          <w:szCs w:val="24"/>
        </w:rPr>
        <w:t xml:space="preserve"> agrotóxicos</w:t>
      </w:r>
      <w:r w:rsidRPr="00A40B9B">
        <w:rPr>
          <w:rFonts w:ascii="Times New Roman" w:hAnsi="Times New Roman" w:cs="Times New Roman"/>
          <w:sz w:val="24"/>
          <w:szCs w:val="24"/>
        </w:rPr>
        <w:t xml:space="preserve"> de forma excess</w:t>
      </w:r>
      <w:r>
        <w:rPr>
          <w:rFonts w:ascii="Times New Roman" w:hAnsi="Times New Roman" w:cs="Times New Roman"/>
          <w:sz w:val="24"/>
          <w:szCs w:val="24"/>
        </w:rPr>
        <w:t>iva e sem controle</w:t>
      </w:r>
      <w:r w:rsidRPr="00A40B9B">
        <w:rPr>
          <w:rFonts w:ascii="Times New Roman" w:hAnsi="Times New Roman" w:cs="Times New Roman"/>
          <w:sz w:val="24"/>
          <w:szCs w:val="24"/>
        </w:rPr>
        <w:t>.</w:t>
      </w:r>
      <w:r>
        <w:rPr>
          <w:rFonts w:ascii="Times New Roman" w:hAnsi="Times New Roman" w:cs="Times New Roman"/>
          <w:sz w:val="24"/>
          <w:szCs w:val="24"/>
        </w:rPr>
        <w:t xml:space="preserve"> </w:t>
      </w:r>
      <w:r w:rsidRPr="00967E7D">
        <w:rPr>
          <w:rFonts w:ascii="Times New Roman" w:hAnsi="Times New Roman" w:cs="Times New Roman"/>
          <w:sz w:val="24"/>
          <w:szCs w:val="24"/>
        </w:rPr>
        <w:t>Brasil se transformou, a partir de 2008, no maior consumidor</w:t>
      </w:r>
      <w:r>
        <w:rPr>
          <w:rFonts w:ascii="Times New Roman" w:hAnsi="Times New Roman" w:cs="Times New Roman"/>
          <w:sz w:val="24"/>
          <w:szCs w:val="24"/>
        </w:rPr>
        <w:t xml:space="preserve"> </w:t>
      </w:r>
      <w:r w:rsidRPr="00967E7D">
        <w:rPr>
          <w:rFonts w:ascii="Times New Roman" w:hAnsi="Times New Roman" w:cs="Times New Roman"/>
          <w:sz w:val="24"/>
          <w:szCs w:val="24"/>
        </w:rPr>
        <w:t>de agrotóxicos, embora não seja o principal produtor agrícola</w:t>
      </w:r>
      <w:r>
        <w:rPr>
          <w:rFonts w:ascii="Times New Roman" w:hAnsi="Times New Roman" w:cs="Times New Roman"/>
          <w:sz w:val="24"/>
          <w:szCs w:val="24"/>
        </w:rPr>
        <w:t xml:space="preserve"> </w:t>
      </w:r>
      <w:r w:rsidRPr="00967E7D">
        <w:rPr>
          <w:rFonts w:ascii="Times New Roman" w:hAnsi="Times New Roman" w:cs="Times New Roman"/>
          <w:sz w:val="24"/>
          <w:szCs w:val="24"/>
        </w:rPr>
        <w:t>mundial. O uso abusivo desses produtos acarreta diversos</w:t>
      </w:r>
      <w:r>
        <w:rPr>
          <w:rFonts w:ascii="Times New Roman" w:hAnsi="Times New Roman" w:cs="Times New Roman"/>
          <w:sz w:val="24"/>
          <w:szCs w:val="24"/>
        </w:rPr>
        <w:t xml:space="preserve"> </w:t>
      </w:r>
      <w:r w:rsidRPr="00967E7D">
        <w:rPr>
          <w:rFonts w:ascii="Times New Roman" w:hAnsi="Times New Roman" w:cs="Times New Roman"/>
          <w:sz w:val="24"/>
          <w:szCs w:val="24"/>
        </w:rPr>
        <w:t>problemas, desde aqueles que afetam a saúde dos agricultores,</w:t>
      </w:r>
      <w:r>
        <w:rPr>
          <w:rFonts w:ascii="Times New Roman" w:hAnsi="Times New Roman" w:cs="Times New Roman"/>
          <w:sz w:val="24"/>
          <w:szCs w:val="24"/>
        </w:rPr>
        <w:t xml:space="preserve"> </w:t>
      </w:r>
      <w:r w:rsidRPr="00967E7D">
        <w:rPr>
          <w:rFonts w:ascii="Times New Roman" w:hAnsi="Times New Roman" w:cs="Times New Roman"/>
          <w:sz w:val="24"/>
          <w:szCs w:val="24"/>
        </w:rPr>
        <w:t>até aqueles que afetam o meio ambiente, destruindo a fauna e</w:t>
      </w:r>
      <w:r>
        <w:rPr>
          <w:rFonts w:ascii="Times New Roman" w:hAnsi="Times New Roman" w:cs="Times New Roman"/>
          <w:sz w:val="24"/>
          <w:szCs w:val="24"/>
        </w:rPr>
        <w:t xml:space="preserve"> </w:t>
      </w:r>
      <w:r w:rsidRPr="00967E7D">
        <w:rPr>
          <w:rFonts w:ascii="Times New Roman" w:hAnsi="Times New Roman" w:cs="Times New Roman"/>
          <w:sz w:val="24"/>
          <w:szCs w:val="24"/>
        </w:rPr>
        <w:t>a flora ou, em síntese, o conjunto de nossa biodiversidade</w:t>
      </w:r>
      <w:r>
        <w:rPr>
          <w:rFonts w:ascii="Times New Roman" w:hAnsi="Times New Roman" w:cs="Times New Roman"/>
          <w:sz w:val="24"/>
          <w:szCs w:val="24"/>
        </w:rPr>
        <w:t xml:space="preserve"> (</w:t>
      </w:r>
      <w:r w:rsidR="003F79A0">
        <w:rPr>
          <w:rFonts w:ascii="Times New Roman" w:hAnsi="Times New Roman" w:cs="Times New Roman"/>
          <w:sz w:val="24"/>
          <w:szCs w:val="24"/>
        </w:rPr>
        <w:t xml:space="preserve">BOMBARDI, 2011 </w:t>
      </w:r>
      <w:r w:rsidRPr="002F54C4">
        <w:rPr>
          <w:rFonts w:ascii="Times New Roman" w:hAnsi="Times New Roman" w:cs="Times New Roman"/>
          <w:i/>
          <w:sz w:val="24"/>
          <w:szCs w:val="24"/>
        </w:rPr>
        <w:t>apud</w:t>
      </w:r>
      <w:r w:rsidR="002F54C4">
        <w:rPr>
          <w:rFonts w:ascii="Times New Roman" w:hAnsi="Times New Roman" w:cs="Times New Roman"/>
          <w:sz w:val="24"/>
          <w:szCs w:val="24"/>
        </w:rPr>
        <w:t xml:space="preserve"> VIERO, </w:t>
      </w:r>
      <w:r w:rsidR="002F54C4" w:rsidRPr="002F54C4">
        <w:rPr>
          <w:rFonts w:ascii="Times New Roman" w:hAnsi="Times New Roman" w:cs="Times New Roman"/>
          <w:i/>
          <w:sz w:val="24"/>
          <w:szCs w:val="24"/>
        </w:rPr>
        <w:t>et</w:t>
      </w:r>
      <w:r w:rsidRPr="002F54C4">
        <w:rPr>
          <w:rFonts w:ascii="Times New Roman" w:hAnsi="Times New Roman" w:cs="Times New Roman"/>
          <w:i/>
          <w:sz w:val="24"/>
          <w:szCs w:val="24"/>
        </w:rPr>
        <w:t xml:space="preserve"> al.</w:t>
      </w:r>
      <w:r>
        <w:rPr>
          <w:rFonts w:ascii="Times New Roman" w:hAnsi="Times New Roman" w:cs="Times New Roman"/>
          <w:sz w:val="24"/>
          <w:szCs w:val="24"/>
        </w:rPr>
        <w:t xml:space="preserve">, 2016). </w:t>
      </w:r>
    </w:p>
    <w:p w:rsidR="00DC6549" w:rsidRPr="00A40B9B" w:rsidRDefault="00DC6549" w:rsidP="00CB6F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 uso dos agrotóxicos</w:t>
      </w:r>
      <w:r w:rsidRPr="00A40B9B">
        <w:rPr>
          <w:rFonts w:ascii="Times New Roman" w:hAnsi="Times New Roman" w:cs="Times New Roman"/>
          <w:sz w:val="24"/>
          <w:szCs w:val="24"/>
        </w:rPr>
        <w:t xml:space="preserve"> tem acarretado diversos problemas relacionados à saúde do consumidor e do trabalhador, o produto pode ser absorvido pelo corpo </w:t>
      </w:r>
      <w:r>
        <w:rPr>
          <w:rFonts w:ascii="Times New Roman" w:hAnsi="Times New Roman" w:cs="Times New Roman"/>
          <w:sz w:val="24"/>
          <w:szCs w:val="24"/>
        </w:rPr>
        <w:t xml:space="preserve">humano pela via cutânea, oral e/ou </w:t>
      </w:r>
      <w:r w:rsidRPr="00A40B9B">
        <w:rPr>
          <w:rFonts w:ascii="Times New Roman" w:hAnsi="Times New Roman" w:cs="Times New Roman"/>
          <w:sz w:val="24"/>
          <w:szCs w:val="24"/>
        </w:rPr>
        <w:t>respiratória e os danos à saúde que os pesticidas podem causar podem ser divididos em intoxicações crônicas e intoxicações agudas</w:t>
      </w:r>
      <w:r>
        <w:rPr>
          <w:rFonts w:ascii="Times New Roman" w:hAnsi="Times New Roman" w:cs="Times New Roman"/>
          <w:sz w:val="24"/>
          <w:szCs w:val="24"/>
        </w:rPr>
        <w:t>, as quais</w:t>
      </w:r>
      <w:r w:rsidRPr="00A40B9B">
        <w:rPr>
          <w:rFonts w:ascii="Times New Roman" w:hAnsi="Times New Roman" w:cs="Times New Roman"/>
          <w:sz w:val="24"/>
          <w:szCs w:val="24"/>
        </w:rPr>
        <w:t xml:space="preserve"> levam ou podem levar as mais diversas doenças e sintomas tais como: náuseas, convulsões, sequelas neurológicas, câncer entre outras. Dos sintomas mais simples aos mais complexos, podem ser irreversíveis e depen</w:t>
      </w:r>
      <w:r w:rsidR="005D03DA">
        <w:rPr>
          <w:rFonts w:ascii="Times New Roman" w:hAnsi="Times New Roman" w:cs="Times New Roman"/>
          <w:sz w:val="24"/>
          <w:szCs w:val="24"/>
        </w:rPr>
        <w:t>dem principalmente do tempo e do</w:t>
      </w:r>
      <w:r w:rsidRPr="00A40B9B">
        <w:rPr>
          <w:rFonts w:ascii="Times New Roman" w:hAnsi="Times New Roman" w:cs="Times New Roman"/>
          <w:sz w:val="24"/>
          <w:szCs w:val="24"/>
        </w:rPr>
        <w:t xml:space="preserve"> grau de e</w:t>
      </w:r>
      <w:r>
        <w:rPr>
          <w:rFonts w:ascii="Times New Roman" w:hAnsi="Times New Roman" w:cs="Times New Roman"/>
          <w:sz w:val="24"/>
          <w:szCs w:val="24"/>
        </w:rPr>
        <w:t>xposição do trabalhador (BONFIM, 2017; SOARES</w:t>
      </w:r>
      <w:r w:rsidRPr="00A40B9B">
        <w:rPr>
          <w:rFonts w:ascii="Times New Roman" w:hAnsi="Times New Roman" w:cs="Times New Roman"/>
          <w:sz w:val="24"/>
          <w:szCs w:val="24"/>
        </w:rPr>
        <w:t>, 2006).</w:t>
      </w:r>
    </w:p>
    <w:p w:rsidR="00691C69" w:rsidRDefault="00DC6549" w:rsidP="00CB6F85">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Diante de</w:t>
      </w:r>
      <w:r w:rsidRPr="00A40B9B">
        <w:rPr>
          <w:rFonts w:ascii="Times New Roman" w:hAnsi="Times New Roman" w:cs="Times New Roman"/>
          <w:sz w:val="24"/>
          <w:szCs w:val="24"/>
        </w:rPr>
        <w:t>ss</w:t>
      </w:r>
      <w:r>
        <w:rPr>
          <w:rFonts w:ascii="Times New Roman" w:hAnsi="Times New Roman" w:cs="Times New Roman"/>
          <w:sz w:val="24"/>
          <w:szCs w:val="24"/>
        </w:rPr>
        <w:t>e contexto,</w:t>
      </w:r>
      <w:r w:rsidRPr="00A40B9B">
        <w:rPr>
          <w:rFonts w:ascii="Times New Roman" w:hAnsi="Times New Roman" w:cs="Times New Roman"/>
          <w:sz w:val="24"/>
          <w:szCs w:val="24"/>
        </w:rPr>
        <w:t xml:space="preserve"> é imprescindível que os agricultores conheçam os efeitos colaterais do uso dos defensivos agrícolas para que se possam alcançar avanços significativos na relação do agricultor com o agrotóxico e no modo de uso deste. (G</w:t>
      </w:r>
      <w:r>
        <w:rPr>
          <w:rFonts w:ascii="Times New Roman" w:hAnsi="Times New Roman" w:cs="Times New Roman"/>
          <w:sz w:val="24"/>
          <w:szCs w:val="24"/>
        </w:rPr>
        <w:t>ARCIA,1996; TRAPÉ</w:t>
      </w:r>
      <w:r w:rsidRPr="00A40B9B">
        <w:rPr>
          <w:rFonts w:ascii="Times New Roman" w:hAnsi="Times New Roman" w:cs="Times New Roman"/>
          <w:sz w:val="24"/>
          <w:szCs w:val="24"/>
        </w:rPr>
        <w:t>,2012).</w:t>
      </w:r>
      <w:r>
        <w:rPr>
          <w:rFonts w:ascii="Times New Roman" w:hAnsi="Times New Roman" w:cs="Times New Roman"/>
          <w:sz w:val="24"/>
          <w:szCs w:val="24"/>
        </w:rPr>
        <w:t xml:space="preserve"> Também, </w:t>
      </w:r>
      <w:r w:rsidRPr="00A40B9B">
        <w:rPr>
          <w:rFonts w:ascii="Times New Roman" w:hAnsi="Times New Roman" w:cs="Times New Roman"/>
          <w:sz w:val="24"/>
          <w:szCs w:val="24"/>
        </w:rPr>
        <w:t>é primordial a conscientização, orientação, incentivo e fornecimento do equipamento de proteção individual (EPI)</w:t>
      </w:r>
      <w:r>
        <w:rPr>
          <w:rFonts w:ascii="Times New Roman" w:hAnsi="Times New Roman" w:cs="Times New Roman"/>
          <w:sz w:val="24"/>
          <w:szCs w:val="24"/>
        </w:rPr>
        <w:t xml:space="preserve"> </w:t>
      </w:r>
      <w:r w:rsidRPr="00A40B9B">
        <w:rPr>
          <w:rFonts w:ascii="Times New Roman" w:hAnsi="Times New Roman" w:cs="Times New Roman"/>
          <w:sz w:val="24"/>
          <w:szCs w:val="24"/>
        </w:rPr>
        <w:t xml:space="preserve">para os trabalhadores </w:t>
      </w:r>
      <w:r>
        <w:rPr>
          <w:rFonts w:ascii="Times New Roman" w:hAnsi="Times New Roman" w:cs="Times New Roman"/>
          <w:sz w:val="24"/>
          <w:szCs w:val="24"/>
        </w:rPr>
        <w:t xml:space="preserve">visando </w:t>
      </w:r>
      <w:r w:rsidRPr="00A40B9B">
        <w:rPr>
          <w:rFonts w:ascii="Times New Roman" w:hAnsi="Times New Roman" w:cs="Times New Roman"/>
          <w:sz w:val="24"/>
          <w:szCs w:val="24"/>
        </w:rPr>
        <w:t>a diminuição da exposição aos agrotóxicos, dos acidentes de trabalho e da possibilidade d</w:t>
      </w:r>
      <w:r>
        <w:rPr>
          <w:rFonts w:ascii="Times New Roman" w:hAnsi="Times New Roman" w:cs="Times New Roman"/>
          <w:sz w:val="24"/>
          <w:szCs w:val="24"/>
        </w:rPr>
        <w:t>e adquirir doenças ocupacionais, c</w:t>
      </w:r>
      <w:r w:rsidRPr="00A40B9B">
        <w:rPr>
          <w:rFonts w:ascii="Times New Roman" w:hAnsi="Times New Roman" w:cs="Times New Roman"/>
          <w:sz w:val="24"/>
          <w:szCs w:val="24"/>
        </w:rPr>
        <w:t>onforme estabelecido na NR</w:t>
      </w:r>
      <w:r w:rsidR="00141B60">
        <w:rPr>
          <w:rFonts w:ascii="Times New Roman" w:hAnsi="Times New Roman" w:cs="Times New Roman"/>
          <w:sz w:val="24"/>
          <w:szCs w:val="24"/>
        </w:rPr>
        <w:t>-</w:t>
      </w:r>
      <w:r w:rsidRPr="00A40B9B">
        <w:rPr>
          <w:rFonts w:ascii="Times New Roman" w:hAnsi="Times New Roman" w:cs="Times New Roman"/>
          <w:sz w:val="24"/>
          <w:szCs w:val="24"/>
        </w:rPr>
        <w:t>31 (B</w:t>
      </w:r>
      <w:r>
        <w:rPr>
          <w:rFonts w:ascii="Times New Roman" w:hAnsi="Times New Roman" w:cs="Times New Roman"/>
          <w:sz w:val="24"/>
          <w:szCs w:val="24"/>
        </w:rPr>
        <w:t>ONFIM,</w:t>
      </w:r>
      <w:r w:rsidRPr="00A40B9B">
        <w:rPr>
          <w:rFonts w:ascii="Times New Roman" w:hAnsi="Times New Roman" w:cs="Times New Roman"/>
          <w:sz w:val="24"/>
          <w:szCs w:val="24"/>
        </w:rPr>
        <w:t xml:space="preserve"> 2017).</w:t>
      </w:r>
    </w:p>
    <w:p w:rsidR="00CB6F85" w:rsidRDefault="00CB6F85" w:rsidP="00CB6F85">
      <w:pPr>
        <w:pStyle w:val="SemEspaamento"/>
        <w:spacing w:after="120" w:line="360" w:lineRule="auto"/>
        <w:jc w:val="both"/>
        <w:rPr>
          <w:rFonts w:ascii="Times New Roman" w:hAnsi="Times New Roman" w:cs="Times New Roman"/>
          <w:sz w:val="24"/>
          <w:szCs w:val="24"/>
        </w:rPr>
      </w:pPr>
      <w:r>
        <w:rPr>
          <w:rFonts w:ascii="Times New Roman" w:hAnsi="Times New Roman" w:cs="Times New Roman"/>
          <w:sz w:val="24"/>
          <w:szCs w:val="24"/>
        </w:rPr>
        <w:t>Diante da</w:t>
      </w:r>
      <w:r w:rsidR="00D3297B">
        <w:rPr>
          <w:rFonts w:ascii="Times New Roman" w:hAnsi="Times New Roman" w:cs="Times New Roman"/>
          <w:sz w:val="24"/>
          <w:szCs w:val="24"/>
        </w:rPr>
        <w:t xml:space="preserve"> atual</w:t>
      </w:r>
      <w:r>
        <w:rPr>
          <w:rFonts w:ascii="Times New Roman" w:hAnsi="Times New Roman" w:cs="Times New Roman"/>
          <w:sz w:val="24"/>
          <w:szCs w:val="24"/>
        </w:rPr>
        <w:t xml:space="preserve"> problemática sobre o uso de agrotóxicos,</w:t>
      </w:r>
      <w:r w:rsidR="00D3297B">
        <w:rPr>
          <w:rFonts w:ascii="Times New Roman" w:hAnsi="Times New Roman" w:cs="Times New Roman"/>
          <w:sz w:val="24"/>
          <w:szCs w:val="24"/>
        </w:rPr>
        <w:t xml:space="preserve"> </w:t>
      </w:r>
      <w:r>
        <w:rPr>
          <w:rFonts w:ascii="Times New Roman" w:hAnsi="Times New Roman" w:cs="Times New Roman"/>
          <w:sz w:val="24"/>
          <w:szCs w:val="24"/>
        </w:rPr>
        <w:t xml:space="preserve">este trabalho tem </w:t>
      </w:r>
      <w:r w:rsidR="00D3297B">
        <w:rPr>
          <w:rFonts w:ascii="Times New Roman" w:hAnsi="Times New Roman" w:cs="Times New Roman"/>
          <w:sz w:val="24"/>
          <w:szCs w:val="24"/>
        </w:rPr>
        <w:t>como</w:t>
      </w:r>
      <w:r>
        <w:rPr>
          <w:rFonts w:ascii="Times New Roman" w:hAnsi="Times New Roman" w:cs="Times New Roman"/>
          <w:sz w:val="24"/>
          <w:szCs w:val="24"/>
        </w:rPr>
        <w:t xml:space="preserve"> objetivo </w:t>
      </w:r>
      <w:r w:rsidR="00D3297B">
        <w:rPr>
          <w:rFonts w:ascii="Times New Roman" w:hAnsi="Times New Roman" w:cs="Times New Roman"/>
          <w:sz w:val="24"/>
          <w:szCs w:val="24"/>
        </w:rPr>
        <w:t>analisar</w:t>
      </w:r>
      <w:r>
        <w:rPr>
          <w:rFonts w:ascii="Times New Roman" w:hAnsi="Times New Roman" w:cs="Times New Roman"/>
          <w:sz w:val="24"/>
          <w:szCs w:val="24"/>
        </w:rPr>
        <w:t xml:space="preserve"> o perfil dos agricultores</w:t>
      </w:r>
      <w:r w:rsidR="00A773D1">
        <w:rPr>
          <w:rFonts w:ascii="Times New Roman" w:hAnsi="Times New Roman" w:cs="Times New Roman"/>
          <w:sz w:val="24"/>
          <w:szCs w:val="24"/>
        </w:rPr>
        <w:t xml:space="preserve"> do município de Garanhuns – PE,</w:t>
      </w:r>
      <w:r>
        <w:rPr>
          <w:rFonts w:ascii="Times New Roman" w:hAnsi="Times New Roman" w:cs="Times New Roman"/>
          <w:sz w:val="24"/>
          <w:szCs w:val="24"/>
        </w:rPr>
        <w:t xml:space="preserve"> </w:t>
      </w:r>
      <w:r w:rsidR="00A773D1">
        <w:rPr>
          <w:rFonts w:ascii="Times New Roman" w:hAnsi="Times New Roman" w:cs="Times New Roman"/>
          <w:sz w:val="24"/>
          <w:szCs w:val="24"/>
        </w:rPr>
        <w:t xml:space="preserve">em relação ao uso </w:t>
      </w:r>
      <w:r w:rsidR="00D3297B">
        <w:rPr>
          <w:rFonts w:ascii="Times New Roman" w:hAnsi="Times New Roman" w:cs="Times New Roman"/>
          <w:sz w:val="24"/>
          <w:szCs w:val="24"/>
        </w:rPr>
        <w:t>e manuseio seguro dos</w:t>
      </w:r>
      <w:r w:rsidR="00A773D1">
        <w:rPr>
          <w:rFonts w:ascii="Times New Roman" w:hAnsi="Times New Roman" w:cs="Times New Roman"/>
          <w:sz w:val="24"/>
          <w:szCs w:val="24"/>
        </w:rPr>
        <w:t xml:space="preserve"> agrotóxicos</w:t>
      </w:r>
      <w:r w:rsidR="00D3297B">
        <w:rPr>
          <w:rFonts w:ascii="Times New Roman" w:hAnsi="Times New Roman" w:cs="Times New Roman"/>
          <w:sz w:val="24"/>
          <w:szCs w:val="24"/>
        </w:rPr>
        <w:t>, o descarte das suas embalagens</w:t>
      </w:r>
      <w:r w:rsidR="00A773D1">
        <w:rPr>
          <w:rFonts w:ascii="Times New Roman" w:hAnsi="Times New Roman" w:cs="Times New Roman"/>
          <w:sz w:val="24"/>
          <w:szCs w:val="24"/>
        </w:rPr>
        <w:t xml:space="preserve"> e os </w:t>
      </w:r>
      <w:r>
        <w:rPr>
          <w:rFonts w:ascii="Times New Roman" w:hAnsi="Times New Roman" w:cs="Times New Roman"/>
          <w:sz w:val="24"/>
          <w:szCs w:val="24"/>
        </w:rPr>
        <w:t>riscos associados</w:t>
      </w:r>
      <w:r w:rsidR="00A773D1">
        <w:rPr>
          <w:rFonts w:ascii="Times New Roman" w:hAnsi="Times New Roman" w:cs="Times New Roman"/>
          <w:sz w:val="24"/>
          <w:szCs w:val="24"/>
        </w:rPr>
        <w:t xml:space="preserve"> à saúde d</w:t>
      </w:r>
      <w:r w:rsidR="00D3297B">
        <w:rPr>
          <w:rFonts w:ascii="Times New Roman" w:hAnsi="Times New Roman" w:cs="Times New Roman"/>
          <w:sz w:val="24"/>
          <w:szCs w:val="24"/>
        </w:rPr>
        <w:t>esses trabalhadores.</w:t>
      </w:r>
    </w:p>
    <w:p w:rsidR="00D36415" w:rsidRDefault="00D36415" w:rsidP="00CB6F85">
      <w:pPr>
        <w:pStyle w:val="SemEspaamento"/>
        <w:spacing w:after="120" w:line="360" w:lineRule="auto"/>
        <w:jc w:val="both"/>
        <w:rPr>
          <w:rFonts w:ascii="Times New Roman" w:hAnsi="Times New Roman" w:cs="Times New Roman"/>
          <w:sz w:val="24"/>
          <w:szCs w:val="24"/>
        </w:rPr>
      </w:pPr>
    </w:p>
    <w:p w:rsidR="00691C69" w:rsidRDefault="00DC6549" w:rsidP="00DC6549">
      <w:pPr>
        <w:spacing w:before="120" w:after="120" w:line="360" w:lineRule="auto"/>
        <w:jc w:val="both"/>
        <w:outlineLvl w:val="1"/>
        <w:rPr>
          <w:rFonts w:ascii="Times New Roman" w:eastAsia="Times New Roman" w:hAnsi="Times New Roman" w:cs="Times New Roman"/>
          <w:b/>
          <w:bCs/>
          <w:color w:val="333333"/>
          <w:sz w:val="24"/>
          <w:szCs w:val="24"/>
          <w:lang w:eastAsia="pt-BR"/>
        </w:rPr>
      </w:pPr>
      <w:r>
        <w:rPr>
          <w:rFonts w:ascii="Times New Roman" w:eastAsia="Times New Roman" w:hAnsi="Times New Roman" w:cs="Times New Roman"/>
          <w:b/>
          <w:bCs/>
          <w:color w:val="333333"/>
          <w:sz w:val="24"/>
          <w:szCs w:val="24"/>
          <w:lang w:eastAsia="pt-BR"/>
        </w:rPr>
        <w:t>2. Desenvolvimento</w:t>
      </w:r>
    </w:p>
    <w:p w:rsidR="00DC6549" w:rsidRDefault="00DC6549" w:rsidP="00CB6F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Elaborado para atuar de forma biocida, os agrotóxicos são potencialmente prejudiciais a todos os seres vivos, portanto a </w:t>
      </w:r>
      <w:r w:rsidRPr="00A40B9B">
        <w:rPr>
          <w:rFonts w:ascii="Times New Roman" w:hAnsi="Times New Roman" w:cs="Times New Roman"/>
          <w:sz w:val="24"/>
          <w:szCs w:val="24"/>
        </w:rPr>
        <w:t>introdução, o uso excessivo ou incorreto causa ao meio ambiente</w:t>
      </w:r>
      <w:r w:rsidR="002F54C4">
        <w:rPr>
          <w:rFonts w:ascii="Times New Roman" w:hAnsi="Times New Roman" w:cs="Times New Roman"/>
          <w:sz w:val="24"/>
          <w:szCs w:val="24"/>
        </w:rPr>
        <w:t xml:space="preserve"> uma </w:t>
      </w:r>
      <w:r>
        <w:rPr>
          <w:rFonts w:ascii="Times New Roman" w:hAnsi="Times New Roman" w:cs="Times New Roman"/>
          <w:sz w:val="24"/>
          <w:szCs w:val="24"/>
        </w:rPr>
        <w:t>série de danos graves</w:t>
      </w:r>
      <w:r w:rsidRPr="00A40B9B">
        <w:rPr>
          <w:rFonts w:ascii="Times New Roman" w:hAnsi="Times New Roman" w:cs="Times New Roman"/>
          <w:sz w:val="24"/>
          <w:szCs w:val="24"/>
        </w:rPr>
        <w:t>, relacionados ao desequilíbrio ecoló</w:t>
      </w:r>
      <w:r>
        <w:rPr>
          <w:rFonts w:ascii="Times New Roman" w:hAnsi="Times New Roman" w:cs="Times New Roman"/>
          <w:sz w:val="24"/>
          <w:szCs w:val="24"/>
        </w:rPr>
        <w:t>gico, a degradação do solo</w:t>
      </w:r>
      <w:r w:rsidRPr="00A40B9B">
        <w:rPr>
          <w:rFonts w:ascii="Times New Roman" w:hAnsi="Times New Roman" w:cs="Times New Roman"/>
          <w:sz w:val="24"/>
          <w:szCs w:val="24"/>
        </w:rPr>
        <w:t>, flora</w:t>
      </w:r>
      <w:r>
        <w:rPr>
          <w:rFonts w:ascii="Times New Roman" w:hAnsi="Times New Roman" w:cs="Times New Roman"/>
          <w:sz w:val="24"/>
          <w:szCs w:val="24"/>
        </w:rPr>
        <w:t xml:space="preserve"> e </w:t>
      </w:r>
      <w:r>
        <w:rPr>
          <w:rFonts w:ascii="Times New Roman" w:hAnsi="Times New Roman" w:cs="Times New Roman"/>
          <w:sz w:val="24"/>
          <w:szCs w:val="24"/>
        </w:rPr>
        <w:lastRenderedPageBreak/>
        <w:t>fauna e extinção de insetos, e espécies benéficas,</w:t>
      </w:r>
      <w:r w:rsidRPr="00A40B9B">
        <w:rPr>
          <w:rFonts w:ascii="Times New Roman" w:hAnsi="Times New Roman" w:cs="Times New Roman"/>
          <w:sz w:val="24"/>
          <w:szCs w:val="24"/>
        </w:rPr>
        <w:t xml:space="preserve"> fundamentais para o equilíbrio da região.</w:t>
      </w:r>
      <w:r>
        <w:rPr>
          <w:rFonts w:ascii="Times New Roman" w:hAnsi="Times New Roman" w:cs="Times New Roman"/>
          <w:sz w:val="24"/>
          <w:szCs w:val="24"/>
        </w:rPr>
        <w:t xml:space="preserve"> Além di</w:t>
      </w:r>
      <w:r w:rsidRPr="00A40B9B">
        <w:rPr>
          <w:rFonts w:ascii="Times New Roman" w:hAnsi="Times New Roman" w:cs="Times New Roman"/>
          <w:sz w:val="24"/>
          <w:szCs w:val="24"/>
        </w:rPr>
        <w:t>ss</w:t>
      </w:r>
      <w:r>
        <w:rPr>
          <w:rFonts w:ascii="Times New Roman" w:hAnsi="Times New Roman" w:cs="Times New Roman"/>
          <w:sz w:val="24"/>
          <w:szCs w:val="24"/>
        </w:rPr>
        <w:t>o, há contaminação da água por meio de resíduos que contaminam os lençóis freáticos e aquíferos, podem contaminar os alimentos levando riscos à saúde humana.</w:t>
      </w:r>
      <w:r w:rsidRPr="00A40B9B">
        <w:rPr>
          <w:rFonts w:ascii="Times New Roman" w:hAnsi="Times New Roman" w:cs="Times New Roman"/>
          <w:sz w:val="24"/>
          <w:szCs w:val="24"/>
        </w:rPr>
        <w:t xml:space="preserve"> Os impactos</w:t>
      </w:r>
      <w:r>
        <w:rPr>
          <w:rFonts w:ascii="Times New Roman" w:hAnsi="Times New Roman" w:cs="Times New Roman"/>
          <w:sz w:val="24"/>
          <w:szCs w:val="24"/>
        </w:rPr>
        <w:t xml:space="preserve"> ambientais</w:t>
      </w:r>
      <w:r w:rsidRPr="00A40B9B">
        <w:rPr>
          <w:rFonts w:ascii="Times New Roman" w:hAnsi="Times New Roman" w:cs="Times New Roman"/>
          <w:sz w:val="24"/>
          <w:szCs w:val="24"/>
        </w:rPr>
        <w:t xml:space="preserve"> causados pelos pesticidas </w:t>
      </w:r>
      <w:r>
        <w:rPr>
          <w:rFonts w:ascii="Times New Roman" w:hAnsi="Times New Roman" w:cs="Times New Roman"/>
          <w:sz w:val="24"/>
          <w:szCs w:val="24"/>
        </w:rPr>
        <w:t xml:space="preserve">podem ser divididos entre efeitos crônicos que prejudicam o funcionamento normal dos seres vivos, como o crescimento, a reprodução e a expectativa de vida. E efeitos ecológicos que atingem os habitats, comunidades, a disponibilidade de alimento, a biodiversidade, uma vez que os impactos nunca são isolados já </w:t>
      </w:r>
      <w:r w:rsidRPr="00A40B9B">
        <w:rPr>
          <w:rFonts w:ascii="Times New Roman" w:hAnsi="Times New Roman" w:cs="Times New Roman"/>
          <w:sz w:val="24"/>
          <w:szCs w:val="24"/>
        </w:rPr>
        <w:t xml:space="preserve">que existe uma relação de </w:t>
      </w:r>
      <w:r>
        <w:rPr>
          <w:rFonts w:ascii="Times New Roman" w:hAnsi="Times New Roman" w:cs="Times New Roman"/>
          <w:sz w:val="24"/>
          <w:szCs w:val="24"/>
        </w:rPr>
        <w:t xml:space="preserve">dependência ou </w:t>
      </w:r>
      <w:r w:rsidRPr="00A40B9B">
        <w:rPr>
          <w:rFonts w:ascii="Times New Roman" w:hAnsi="Times New Roman" w:cs="Times New Roman"/>
          <w:sz w:val="24"/>
          <w:szCs w:val="24"/>
        </w:rPr>
        <w:t>cooperação entre as comunidades, por consequência a alteração em uma comunidade especifica pod</w:t>
      </w:r>
      <w:r>
        <w:rPr>
          <w:rFonts w:ascii="Times New Roman" w:hAnsi="Times New Roman" w:cs="Times New Roman"/>
          <w:sz w:val="24"/>
          <w:szCs w:val="24"/>
        </w:rPr>
        <w:t xml:space="preserve">e modificar todo um ecossistema.  </w:t>
      </w:r>
      <w:r w:rsidRPr="00A40B9B">
        <w:rPr>
          <w:rFonts w:ascii="Times New Roman" w:hAnsi="Times New Roman" w:cs="Times New Roman"/>
          <w:sz w:val="24"/>
          <w:szCs w:val="24"/>
        </w:rPr>
        <w:t>(</w:t>
      </w:r>
      <w:r w:rsidR="00762197" w:rsidRPr="00762197">
        <w:rPr>
          <w:rFonts w:ascii="Times New Roman" w:hAnsi="Times New Roman" w:cs="Times New Roman"/>
          <w:sz w:val="24"/>
          <w:szCs w:val="24"/>
        </w:rPr>
        <w:t>SPADOTTO</w:t>
      </w:r>
      <w:r>
        <w:rPr>
          <w:rFonts w:ascii="Times New Roman" w:hAnsi="Times New Roman" w:cs="Times New Roman"/>
          <w:sz w:val="24"/>
          <w:szCs w:val="24"/>
        </w:rPr>
        <w:t>,</w:t>
      </w:r>
      <w:r w:rsidRPr="00A40B9B">
        <w:rPr>
          <w:rFonts w:ascii="Times New Roman" w:hAnsi="Times New Roman" w:cs="Times New Roman"/>
          <w:sz w:val="24"/>
          <w:szCs w:val="24"/>
        </w:rPr>
        <w:t xml:space="preserve"> 2004).</w:t>
      </w:r>
    </w:p>
    <w:p w:rsidR="00DC6549" w:rsidRDefault="00DC6549" w:rsidP="00CB6F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realização da monocultura contribui para a proliferação, fixação e disseminação de doenças, pragas e plantas invasoras. Por se tratar de um sistema ecológico simples e frágil. Desse modo as monoculturas</w:t>
      </w:r>
      <w:r w:rsidR="00AF52BB">
        <w:rPr>
          <w:rFonts w:ascii="Times New Roman" w:hAnsi="Times New Roman" w:cs="Times New Roman"/>
          <w:sz w:val="24"/>
          <w:szCs w:val="24"/>
        </w:rPr>
        <w:t xml:space="preserve"> necessitam de um uso contí</w:t>
      </w:r>
      <w:r>
        <w:rPr>
          <w:rFonts w:ascii="Times New Roman" w:hAnsi="Times New Roman" w:cs="Times New Roman"/>
          <w:sz w:val="24"/>
          <w:szCs w:val="24"/>
        </w:rPr>
        <w:t>nuo de agrotóxicos o que favorece</w:t>
      </w:r>
      <w:r w:rsidRPr="0001232C">
        <w:rPr>
          <w:rFonts w:ascii="Times New Roman" w:hAnsi="Times New Roman" w:cs="Times New Roman"/>
          <w:sz w:val="24"/>
          <w:szCs w:val="24"/>
        </w:rPr>
        <w:t xml:space="preserve"> a resistência adquirida pelas pragas que é um processo de seleção natural, visto que os genes de resistência são transmitidos às novas gerações.  Além disso, os agrotóxicos são muito mais perigosos aos inimigos naturais das pragas do que a própria praga. O índice de mortalidade dos predadores das pragas se torna maior porque estes existem em menor número, tem uma menor variabilidade genética e não desenvolvem a resistência aos agrotóxicos como uma defesa</w:t>
      </w:r>
      <w:r>
        <w:rPr>
          <w:rFonts w:ascii="Times New Roman" w:hAnsi="Times New Roman" w:cs="Times New Roman"/>
          <w:sz w:val="24"/>
          <w:szCs w:val="24"/>
        </w:rPr>
        <w:t>, causando assim um desequilíbrio na cadeia de presas e predadores (</w:t>
      </w:r>
      <w:r w:rsidR="00762197">
        <w:rPr>
          <w:rFonts w:ascii="Times New Roman" w:hAnsi="Times New Roman" w:cs="Times New Roman"/>
          <w:sz w:val="24"/>
          <w:szCs w:val="24"/>
        </w:rPr>
        <w:t xml:space="preserve">BORGES </w:t>
      </w:r>
      <w:r>
        <w:rPr>
          <w:rFonts w:ascii="Times New Roman" w:hAnsi="Times New Roman" w:cs="Times New Roman"/>
          <w:sz w:val="24"/>
          <w:szCs w:val="24"/>
        </w:rPr>
        <w:t>FILHO, 2005).</w:t>
      </w:r>
    </w:p>
    <w:p w:rsidR="00DC6549" w:rsidRDefault="00DC6549" w:rsidP="00CB6F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P</w:t>
      </w:r>
      <w:r w:rsidRPr="00FC3149">
        <w:rPr>
          <w:rFonts w:ascii="Times New Roman" w:hAnsi="Times New Roman" w:cs="Times New Roman"/>
          <w:sz w:val="24"/>
          <w:szCs w:val="24"/>
        </w:rPr>
        <w:t>ara compreender a interação dos pesticidas com o ambiente é necessário o conhecimento das propriedades físicas e químicas dos agrotóxicos tais como, os métodos de utilização, a dose, a periodicidade do uso</w:t>
      </w:r>
      <w:r>
        <w:rPr>
          <w:rFonts w:ascii="Times New Roman" w:hAnsi="Times New Roman" w:cs="Times New Roman"/>
          <w:sz w:val="24"/>
          <w:szCs w:val="24"/>
        </w:rPr>
        <w:t>,</w:t>
      </w:r>
      <w:r w:rsidRPr="00FC3149">
        <w:rPr>
          <w:rFonts w:ascii="Times New Roman" w:hAnsi="Times New Roman" w:cs="Times New Roman"/>
          <w:sz w:val="24"/>
          <w:szCs w:val="24"/>
        </w:rPr>
        <w:t xml:space="preserve"> as característica</w:t>
      </w:r>
      <w:r>
        <w:rPr>
          <w:rFonts w:ascii="Times New Roman" w:hAnsi="Times New Roman" w:cs="Times New Roman"/>
          <w:sz w:val="24"/>
          <w:szCs w:val="24"/>
        </w:rPr>
        <w:t>s bióticas e abióticas do local, como</w:t>
      </w:r>
      <w:r w:rsidRPr="00FC3149">
        <w:rPr>
          <w:rFonts w:ascii="Times New Roman" w:hAnsi="Times New Roman" w:cs="Times New Roman"/>
          <w:sz w:val="24"/>
          <w:szCs w:val="24"/>
        </w:rPr>
        <w:t>, por exemplo, os microrganismos presentes no solo, condições meteorológicas, a composição química do solo e a p</w:t>
      </w:r>
      <w:r>
        <w:rPr>
          <w:rFonts w:ascii="Times New Roman" w:hAnsi="Times New Roman" w:cs="Times New Roman"/>
          <w:sz w:val="24"/>
          <w:szCs w:val="24"/>
        </w:rPr>
        <w:t>resença ou ausência de plantas.</w:t>
      </w:r>
      <w:r w:rsidRPr="00FC3149">
        <w:rPr>
          <w:rFonts w:ascii="Times New Roman" w:hAnsi="Times New Roman" w:cs="Times New Roman"/>
          <w:sz w:val="24"/>
          <w:szCs w:val="24"/>
        </w:rPr>
        <w:t xml:space="preserve"> </w:t>
      </w:r>
    </w:p>
    <w:p w:rsidR="00DC6549" w:rsidRPr="00A40B9B" w:rsidRDefault="00DC6549" w:rsidP="00CB6F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Os agrotóxicos abrangem uma sér</w:t>
      </w:r>
      <w:r w:rsidRPr="00A40B9B">
        <w:rPr>
          <w:rFonts w:ascii="Times New Roman" w:hAnsi="Times New Roman" w:cs="Times New Roman"/>
          <w:sz w:val="24"/>
          <w:szCs w:val="24"/>
        </w:rPr>
        <w:t>ie de substâncias químicas e biológicas que podem ser classificadas de acordo com o tipo de praga que combatem, com a quí</w:t>
      </w:r>
      <w:r>
        <w:rPr>
          <w:rFonts w:ascii="Times New Roman" w:hAnsi="Times New Roman" w:cs="Times New Roman"/>
          <w:sz w:val="24"/>
          <w:szCs w:val="24"/>
        </w:rPr>
        <w:t xml:space="preserve">mica das substâncias, </w:t>
      </w:r>
      <w:r w:rsidRPr="00A40B9B">
        <w:rPr>
          <w:rFonts w:ascii="Times New Roman" w:hAnsi="Times New Roman" w:cs="Times New Roman"/>
          <w:sz w:val="24"/>
          <w:szCs w:val="24"/>
        </w:rPr>
        <w:t>com os efeitos à saúde humana e a periculosidade ambiental. A classificação quanto à ação e grupo químico é dividida em grupos: os agrotóxicos que são destinados a combater insetos</w:t>
      </w:r>
      <w:r w:rsidR="00C72485">
        <w:rPr>
          <w:rFonts w:ascii="Times New Roman" w:hAnsi="Times New Roman" w:cs="Times New Roman"/>
          <w:sz w:val="24"/>
          <w:szCs w:val="24"/>
        </w:rPr>
        <w:t>, os inseticidas,</w:t>
      </w:r>
      <w:r w:rsidRPr="00A40B9B">
        <w:rPr>
          <w:rFonts w:ascii="Times New Roman" w:hAnsi="Times New Roman" w:cs="Times New Roman"/>
          <w:sz w:val="24"/>
          <w:szCs w:val="24"/>
        </w:rPr>
        <w:t xml:space="preserve"> podem ser compostos de organofosforados, carbamat</w:t>
      </w:r>
      <w:r>
        <w:rPr>
          <w:rFonts w:ascii="Times New Roman" w:hAnsi="Times New Roman" w:cs="Times New Roman"/>
          <w:sz w:val="24"/>
          <w:szCs w:val="24"/>
        </w:rPr>
        <w:t>os, organoclorados entre outros</w:t>
      </w:r>
      <w:r w:rsidRPr="00A40B9B">
        <w:rPr>
          <w:rFonts w:ascii="Times New Roman" w:hAnsi="Times New Roman" w:cs="Times New Roman"/>
          <w:sz w:val="24"/>
          <w:szCs w:val="24"/>
        </w:rPr>
        <w:t>. Os fungicidas</w:t>
      </w:r>
      <w:r w:rsidR="00C72485">
        <w:rPr>
          <w:rFonts w:ascii="Times New Roman" w:hAnsi="Times New Roman" w:cs="Times New Roman"/>
          <w:sz w:val="24"/>
          <w:szCs w:val="24"/>
        </w:rPr>
        <w:t xml:space="preserve"> combatem os fungos e</w:t>
      </w:r>
      <w:r w:rsidRPr="00A40B9B">
        <w:rPr>
          <w:rFonts w:ascii="Times New Roman" w:hAnsi="Times New Roman" w:cs="Times New Roman"/>
          <w:sz w:val="24"/>
          <w:szCs w:val="24"/>
        </w:rPr>
        <w:t xml:space="preserve"> </w:t>
      </w:r>
      <w:r w:rsidR="00CB6F85">
        <w:rPr>
          <w:rFonts w:ascii="Times New Roman" w:hAnsi="Times New Roman" w:cs="Times New Roman"/>
          <w:sz w:val="24"/>
          <w:szCs w:val="24"/>
        </w:rPr>
        <w:t xml:space="preserve">tem como </w:t>
      </w:r>
      <w:r w:rsidRPr="00A40B9B">
        <w:rPr>
          <w:rFonts w:ascii="Times New Roman" w:hAnsi="Times New Roman" w:cs="Times New Roman"/>
          <w:sz w:val="24"/>
          <w:szCs w:val="24"/>
        </w:rPr>
        <w:t>principais grupos</w:t>
      </w:r>
      <w:r w:rsidR="00C72485">
        <w:rPr>
          <w:rFonts w:ascii="Times New Roman" w:hAnsi="Times New Roman" w:cs="Times New Roman"/>
          <w:sz w:val="24"/>
          <w:szCs w:val="24"/>
        </w:rPr>
        <w:t xml:space="preserve"> químicos</w:t>
      </w:r>
      <w:r w:rsidRPr="00A40B9B">
        <w:rPr>
          <w:rFonts w:ascii="Times New Roman" w:hAnsi="Times New Roman" w:cs="Times New Roman"/>
          <w:sz w:val="24"/>
          <w:szCs w:val="24"/>
        </w:rPr>
        <w:t xml:space="preserve"> </w:t>
      </w:r>
      <w:r w:rsidR="00CB6F85">
        <w:rPr>
          <w:rFonts w:ascii="Times New Roman" w:hAnsi="Times New Roman" w:cs="Times New Roman"/>
          <w:sz w:val="24"/>
          <w:szCs w:val="24"/>
        </w:rPr>
        <w:t>o</w:t>
      </w:r>
      <w:r w:rsidRPr="00A40B9B">
        <w:rPr>
          <w:rFonts w:ascii="Times New Roman" w:hAnsi="Times New Roman" w:cs="Times New Roman"/>
          <w:sz w:val="24"/>
          <w:szCs w:val="24"/>
        </w:rPr>
        <w:t xml:space="preserve"> trifenil</w:t>
      </w:r>
      <w:r w:rsidR="00C72485">
        <w:rPr>
          <w:rFonts w:ascii="Times New Roman" w:hAnsi="Times New Roman" w:cs="Times New Roman"/>
          <w:sz w:val="24"/>
          <w:szCs w:val="24"/>
        </w:rPr>
        <w:t>-</w:t>
      </w:r>
      <w:r w:rsidRPr="00A40B9B">
        <w:rPr>
          <w:rFonts w:ascii="Times New Roman" w:hAnsi="Times New Roman" w:cs="Times New Roman"/>
          <w:sz w:val="24"/>
          <w:szCs w:val="24"/>
        </w:rPr>
        <w:t>e</w:t>
      </w:r>
      <w:r w:rsidR="00C72485">
        <w:rPr>
          <w:rFonts w:ascii="Times New Roman" w:hAnsi="Times New Roman" w:cs="Times New Roman"/>
          <w:sz w:val="24"/>
          <w:szCs w:val="24"/>
        </w:rPr>
        <w:t>stânico, hexaclorobenzeno e</w:t>
      </w:r>
      <w:r w:rsidRPr="00A40B9B">
        <w:rPr>
          <w:rFonts w:ascii="Times New Roman" w:hAnsi="Times New Roman" w:cs="Times New Roman"/>
          <w:sz w:val="24"/>
          <w:szCs w:val="24"/>
        </w:rPr>
        <w:t xml:space="preserve"> compostos mercuriais. </w:t>
      </w:r>
      <w:r w:rsidR="00CB6F85">
        <w:rPr>
          <w:rFonts w:ascii="Times New Roman" w:hAnsi="Times New Roman" w:cs="Times New Roman"/>
          <w:sz w:val="24"/>
          <w:szCs w:val="24"/>
        </w:rPr>
        <w:t>O</w:t>
      </w:r>
      <w:r w:rsidRPr="00A40B9B">
        <w:rPr>
          <w:rFonts w:ascii="Times New Roman" w:hAnsi="Times New Roman" w:cs="Times New Roman"/>
          <w:sz w:val="24"/>
          <w:szCs w:val="24"/>
        </w:rPr>
        <w:t>s herbicidas</w:t>
      </w:r>
      <w:r w:rsidR="00C72485">
        <w:rPr>
          <w:rFonts w:ascii="Times New Roman" w:hAnsi="Times New Roman" w:cs="Times New Roman"/>
          <w:sz w:val="24"/>
          <w:szCs w:val="24"/>
        </w:rPr>
        <w:t>,</w:t>
      </w:r>
      <w:r w:rsidRPr="00A40B9B">
        <w:rPr>
          <w:rFonts w:ascii="Times New Roman" w:hAnsi="Times New Roman" w:cs="Times New Roman"/>
          <w:sz w:val="24"/>
          <w:szCs w:val="24"/>
        </w:rPr>
        <w:t xml:space="preserve"> </w:t>
      </w:r>
      <w:r w:rsidR="00C72485">
        <w:rPr>
          <w:rFonts w:ascii="Times New Roman" w:hAnsi="Times New Roman" w:cs="Times New Roman"/>
          <w:sz w:val="24"/>
          <w:szCs w:val="24"/>
        </w:rPr>
        <w:t>que com</w:t>
      </w:r>
      <w:r w:rsidRPr="00A40B9B">
        <w:rPr>
          <w:rFonts w:ascii="Times New Roman" w:hAnsi="Times New Roman" w:cs="Times New Roman"/>
          <w:sz w:val="24"/>
          <w:szCs w:val="24"/>
        </w:rPr>
        <w:t>bate</w:t>
      </w:r>
      <w:r w:rsidR="00C72485">
        <w:rPr>
          <w:rFonts w:ascii="Times New Roman" w:hAnsi="Times New Roman" w:cs="Times New Roman"/>
          <w:sz w:val="24"/>
          <w:szCs w:val="24"/>
        </w:rPr>
        <w:t>m</w:t>
      </w:r>
      <w:r w:rsidRPr="00A40B9B">
        <w:rPr>
          <w:rFonts w:ascii="Times New Roman" w:hAnsi="Times New Roman" w:cs="Times New Roman"/>
          <w:sz w:val="24"/>
          <w:szCs w:val="24"/>
        </w:rPr>
        <w:t xml:space="preserve"> </w:t>
      </w:r>
      <w:r w:rsidR="00CB6F85">
        <w:rPr>
          <w:rFonts w:ascii="Times New Roman" w:hAnsi="Times New Roman" w:cs="Times New Roman"/>
          <w:sz w:val="24"/>
          <w:szCs w:val="24"/>
        </w:rPr>
        <w:t>às</w:t>
      </w:r>
      <w:r w:rsidRPr="00A40B9B">
        <w:rPr>
          <w:rFonts w:ascii="Times New Roman" w:hAnsi="Times New Roman" w:cs="Times New Roman"/>
          <w:sz w:val="24"/>
          <w:szCs w:val="24"/>
        </w:rPr>
        <w:t xml:space="preserve"> ervas daninhas nas plantações</w:t>
      </w:r>
      <w:r w:rsidR="00C72485">
        <w:rPr>
          <w:rFonts w:ascii="Times New Roman" w:hAnsi="Times New Roman" w:cs="Times New Roman"/>
          <w:sz w:val="24"/>
          <w:szCs w:val="24"/>
        </w:rPr>
        <w:t>,</w:t>
      </w:r>
      <w:r w:rsidRPr="00A40B9B">
        <w:rPr>
          <w:rFonts w:ascii="Times New Roman" w:hAnsi="Times New Roman" w:cs="Times New Roman"/>
          <w:sz w:val="24"/>
          <w:szCs w:val="24"/>
        </w:rPr>
        <w:t xml:space="preserve"> são representado pelo paraguat, glifosato, p</w:t>
      </w:r>
      <w:r w:rsidR="00C72485">
        <w:rPr>
          <w:rFonts w:ascii="Times New Roman" w:hAnsi="Times New Roman" w:cs="Times New Roman"/>
          <w:sz w:val="24"/>
          <w:szCs w:val="24"/>
        </w:rPr>
        <w:t>entacloofenol, dinitrofenóis e outros.</w:t>
      </w:r>
      <w:r>
        <w:rPr>
          <w:rFonts w:ascii="Times New Roman" w:hAnsi="Times New Roman" w:cs="Times New Roman"/>
          <w:sz w:val="24"/>
          <w:szCs w:val="24"/>
        </w:rPr>
        <w:t xml:space="preserve">  (</w:t>
      </w:r>
      <w:r w:rsidRPr="00FC3149">
        <w:rPr>
          <w:rFonts w:ascii="Times New Roman" w:hAnsi="Times New Roman" w:cs="Times New Roman"/>
          <w:sz w:val="24"/>
          <w:szCs w:val="24"/>
        </w:rPr>
        <w:t>R</w:t>
      </w:r>
      <w:r>
        <w:rPr>
          <w:rFonts w:ascii="Times New Roman" w:hAnsi="Times New Roman" w:cs="Times New Roman"/>
          <w:sz w:val="24"/>
          <w:szCs w:val="24"/>
        </w:rPr>
        <w:t xml:space="preserve">IBAS </w:t>
      </w:r>
      <w:r w:rsidRPr="00FC3149">
        <w:rPr>
          <w:rFonts w:ascii="Times New Roman" w:hAnsi="Times New Roman" w:cs="Times New Roman"/>
          <w:sz w:val="24"/>
          <w:szCs w:val="24"/>
        </w:rPr>
        <w:t>&amp;</w:t>
      </w:r>
      <w:r>
        <w:rPr>
          <w:rFonts w:ascii="Times New Roman" w:hAnsi="Times New Roman" w:cs="Times New Roman"/>
          <w:sz w:val="24"/>
          <w:szCs w:val="24"/>
        </w:rPr>
        <w:t xml:space="preserve"> </w:t>
      </w:r>
      <w:r w:rsidRPr="00FC3149">
        <w:rPr>
          <w:rFonts w:ascii="Times New Roman" w:hAnsi="Times New Roman" w:cs="Times New Roman"/>
          <w:sz w:val="24"/>
          <w:szCs w:val="24"/>
        </w:rPr>
        <w:t>M</w:t>
      </w:r>
      <w:r>
        <w:rPr>
          <w:rFonts w:ascii="Times New Roman" w:hAnsi="Times New Roman" w:cs="Times New Roman"/>
          <w:sz w:val="24"/>
          <w:szCs w:val="24"/>
        </w:rPr>
        <w:t xml:space="preserve">ATSUMURA, </w:t>
      </w:r>
      <w:r w:rsidRPr="00FC3149">
        <w:rPr>
          <w:rFonts w:ascii="Times New Roman" w:hAnsi="Times New Roman" w:cs="Times New Roman"/>
          <w:sz w:val="24"/>
          <w:szCs w:val="24"/>
        </w:rPr>
        <w:t>2009</w:t>
      </w:r>
      <w:r>
        <w:rPr>
          <w:rFonts w:ascii="Times New Roman" w:hAnsi="Times New Roman" w:cs="Times New Roman"/>
          <w:sz w:val="24"/>
          <w:szCs w:val="24"/>
        </w:rPr>
        <w:t>).</w:t>
      </w:r>
    </w:p>
    <w:p w:rsidR="00DC6549" w:rsidRDefault="00DC6549" w:rsidP="00CB6F85">
      <w:pPr>
        <w:pStyle w:val="SemEspaamento"/>
        <w:spacing w:before="120" w:after="120" w:line="360" w:lineRule="auto"/>
        <w:jc w:val="both"/>
        <w:rPr>
          <w:rFonts w:ascii="Times New Roman" w:hAnsi="Times New Roman" w:cs="Times New Roman"/>
          <w:sz w:val="24"/>
          <w:szCs w:val="24"/>
        </w:rPr>
      </w:pPr>
      <w:r w:rsidRPr="004A0EB0">
        <w:rPr>
          <w:rFonts w:ascii="Times New Roman" w:hAnsi="Times New Roman" w:cs="Times New Roman"/>
          <w:sz w:val="24"/>
          <w:szCs w:val="24"/>
        </w:rPr>
        <w:lastRenderedPageBreak/>
        <w:t>Já a classificação dos agrotóxicos em função da saúde humana é estabelecida através d</w:t>
      </w:r>
      <w:r w:rsidR="00C72485">
        <w:rPr>
          <w:rFonts w:ascii="Times New Roman" w:hAnsi="Times New Roman" w:cs="Times New Roman"/>
          <w:sz w:val="24"/>
          <w:szCs w:val="24"/>
        </w:rPr>
        <w:t>e</w:t>
      </w:r>
      <w:r w:rsidRPr="004A0EB0">
        <w:rPr>
          <w:rFonts w:ascii="Times New Roman" w:hAnsi="Times New Roman" w:cs="Times New Roman"/>
          <w:sz w:val="24"/>
          <w:szCs w:val="24"/>
        </w:rPr>
        <w:t xml:space="preserve"> </w:t>
      </w:r>
      <w:r w:rsidR="00C72485">
        <w:rPr>
          <w:rFonts w:ascii="Times New Roman" w:hAnsi="Times New Roman" w:cs="Times New Roman"/>
          <w:sz w:val="24"/>
          <w:szCs w:val="24"/>
        </w:rPr>
        <w:t xml:space="preserve">sua </w:t>
      </w:r>
      <w:r w:rsidRPr="004A0EB0">
        <w:rPr>
          <w:rFonts w:ascii="Times New Roman" w:hAnsi="Times New Roman" w:cs="Times New Roman"/>
          <w:sz w:val="24"/>
          <w:szCs w:val="24"/>
        </w:rPr>
        <w:t>dosagem letal e seu potencial toxicológico. De acordo com esses critérios</w:t>
      </w:r>
      <w:r w:rsidR="00C72485">
        <w:rPr>
          <w:rFonts w:ascii="Times New Roman" w:hAnsi="Times New Roman" w:cs="Times New Roman"/>
          <w:sz w:val="24"/>
          <w:szCs w:val="24"/>
        </w:rPr>
        <w:t>, Peres</w:t>
      </w:r>
      <w:r>
        <w:rPr>
          <w:rFonts w:ascii="Times New Roman" w:hAnsi="Times New Roman" w:cs="Times New Roman"/>
          <w:sz w:val="24"/>
          <w:szCs w:val="24"/>
        </w:rPr>
        <w:t xml:space="preserve"> et. al. (2003),</w:t>
      </w:r>
      <w:r w:rsidRPr="004A0EB0">
        <w:rPr>
          <w:rFonts w:ascii="Times New Roman" w:hAnsi="Times New Roman" w:cs="Times New Roman"/>
          <w:sz w:val="24"/>
          <w:szCs w:val="24"/>
        </w:rPr>
        <w:t xml:space="preserve"> </w:t>
      </w:r>
      <w:r>
        <w:rPr>
          <w:rFonts w:ascii="Times New Roman" w:hAnsi="Times New Roman" w:cs="Times New Roman"/>
          <w:sz w:val="24"/>
          <w:szCs w:val="24"/>
        </w:rPr>
        <w:t>classificam os p</w:t>
      </w:r>
      <w:r w:rsidRPr="004A0EB0">
        <w:rPr>
          <w:rFonts w:ascii="Times New Roman" w:hAnsi="Times New Roman" w:cs="Times New Roman"/>
          <w:sz w:val="24"/>
          <w:szCs w:val="24"/>
        </w:rPr>
        <w:t xml:space="preserve">esticidas quanto </w:t>
      </w:r>
      <w:r>
        <w:rPr>
          <w:rFonts w:ascii="Times New Roman" w:hAnsi="Times New Roman" w:cs="Times New Roman"/>
          <w:sz w:val="24"/>
          <w:szCs w:val="24"/>
        </w:rPr>
        <w:t>à</w:t>
      </w:r>
      <w:r w:rsidRPr="004A0EB0">
        <w:rPr>
          <w:rFonts w:ascii="Times New Roman" w:hAnsi="Times New Roman" w:cs="Times New Roman"/>
          <w:sz w:val="24"/>
          <w:szCs w:val="24"/>
        </w:rPr>
        <w:t xml:space="preserve"> toxicidade e a periculosidade ambiental em classes que vão de I a IV</w:t>
      </w:r>
      <w:r w:rsidR="00141B60">
        <w:rPr>
          <w:rFonts w:ascii="Times New Roman" w:hAnsi="Times New Roman" w:cs="Times New Roman"/>
          <w:sz w:val="24"/>
          <w:szCs w:val="24"/>
        </w:rPr>
        <w:t>,</w:t>
      </w:r>
      <w:r>
        <w:rPr>
          <w:rFonts w:ascii="Times New Roman" w:hAnsi="Times New Roman" w:cs="Times New Roman"/>
          <w:sz w:val="24"/>
          <w:szCs w:val="24"/>
        </w:rPr>
        <w:t xml:space="preserve"> conforme o </w:t>
      </w:r>
      <w:r w:rsidR="00141B60">
        <w:rPr>
          <w:rFonts w:ascii="Times New Roman" w:hAnsi="Times New Roman" w:cs="Times New Roman"/>
          <w:sz w:val="24"/>
          <w:szCs w:val="24"/>
        </w:rPr>
        <w:t>Q</w:t>
      </w:r>
      <w:r>
        <w:rPr>
          <w:rFonts w:ascii="Times New Roman" w:hAnsi="Times New Roman" w:cs="Times New Roman"/>
          <w:sz w:val="24"/>
          <w:szCs w:val="24"/>
        </w:rPr>
        <w:t xml:space="preserve">uadro </w:t>
      </w:r>
      <w:r w:rsidR="00141B60">
        <w:rPr>
          <w:rFonts w:ascii="Times New Roman" w:hAnsi="Times New Roman" w:cs="Times New Roman"/>
          <w:sz w:val="24"/>
          <w:szCs w:val="24"/>
        </w:rPr>
        <w:t>1,</w:t>
      </w:r>
      <w:r>
        <w:rPr>
          <w:rFonts w:ascii="Times New Roman" w:hAnsi="Times New Roman" w:cs="Times New Roman"/>
          <w:sz w:val="24"/>
          <w:szCs w:val="24"/>
        </w:rPr>
        <w:t xml:space="preserve"> </w:t>
      </w:r>
      <w:r w:rsidRPr="004A0EB0">
        <w:rPr>
          <w:rFonts w:ascii="Times New Roman" w:hAnsi="Times New Roman" w:cs="Times New Roman"/>
          <w:sz w:val="24"/>
          <w:szCs w:val="24"/>
        </w:rPr>
        <w:t>e tem obrigação de expor em seus rótulos faixas com cores indicando seu</w:t>
      </w:r>
      <w:r>
        <w:rPr>
          <w:rFonts w:ascii="Times New Roman" w:hAnsi="Times New Roman" w:cs="Times New Roman"/>
          <w:sz w:val="24"/>
          <w:szCs w:val="24"/>
        </w:rPr>
        <w:t xml:space="preserve"> poder tóxico (OPAS, 1996</w:t>
      </w:r>
      <w:r w:rsidRPr="004A0EB0">
        <w:rPr>
          <w:rFonts w:ascii="Times New Roman" w:hAnsi="Times New Roman" w:cs="Times New Roman"/>
          <w:sz w:val="24"/>
          <w:szCs w:val="24"/>
        </w:rPr>
        <w:t>)</w:t>
      </w:r>
      <w:r>
        <w:rPr>
          <w:rFonts w:ascii="Times New Roman" w:hAnsi="Times New Roman" w:cs="Times New Roman"/>
          <w:sz w:val="24"/>
          <w:szCs w:val="24"/>
        </w:rPr>
        <w:t>.</w:t>
      </w:r>
    </w:p>
    <w:p w:rsidR="00DC6549" w:rsidRPr="00817E9A" w:rsidRDefault="00141B60" w:rsidP="00DC6549">
      <w:pPr>
        <w:pStyle w:val="SemEspaamento"/>
        <w:spacing w:before="120" w:after="120"/>
        <w:jc w:val="center"/>
        <w:rPr>
          <w:rFonts w:ascii="Times New Roman" w:hAnsi="Times New Roman" w:cs="Times New Roman"/>
          <w:sz w:val="20"/>
          <w:szCs w:val="20"/>
        </w:rPr>
      </w:pPr>
      <w:r>
        <w:rPr>
          <w:rFonts w:ascii="Times New Roman" w:hAnsi="Times New Roman" w:cs="Times New Roman"/>
          <w:sz w:val="20"/>
          <w:szCs w:val="20"/>
        </w:rPr>
        <w:t>Quadro 1</w:t>
      </w:r>
      <w:r w:rsidR="00DC6549">
        <w:rPr>
          <w:rFonts w:ascii="Times New Roman" w:hAnsi="Times New Roman" w:cs="Times New Roman"/>
          <w:sz w:val="20"/>
          <w:szCs w:val="20"/>
        </w:rPr>
        <w:t xml:space="preserve">- </w:t>
      </w:r>
      <w:r w:rsidR="00DC6549" w:rsidRPr="008D7DC3">
        <w:rPr>
          <w:rFonts w:ascii="Times New Roman" w:hAnsi="Times New Roman" w:cs="Times New Roman"/>
          <w:sz w:val="20"/>
          <w:szCs w:val="20"/>
        </w:rPr>
        <w:t>classificação dos pesticidas</w:t>
      </w:r>
    </w:p>
    <w:p w:rsidR="00DC6549" w:rsidRDefault="00DC6549" w:rsidP="008D75E6">
      <w:pPr>
        <w:pStyle w:val="SemEspaamento"/>
        <w:spacing w:before="120" w:after="120"/>
        <w:jc w:val="center"/>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14:anchorId="49840BD7" wp14:editId="69C703C1">
            <wp:extent cx="5524500" cy="1854445"/>
            <wp:effectExtent l="0" t="0" r="0" b="0"/>
            <wp:docPr id="10" name="Imagem 10" descr="C:\Users\Renner\Desktop\quadr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ner\Desktop\quadro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7136" cy="1868757"/>
                    </a:xfrm>
                    <a:prstGeom prst="rect">
                      <a:avLst/>
                    </a:prstGeom>
                    <a:noFill/>
                    <a:ln>
                      <a:noFill/>
                    </a:ln>
                  </pic:spPr>
                </pic:pic>
              </a:graphicData>
            </a:graphic>
          </wp:inline>
        </w:drawing>
      </w:r>
    </w:p>
    <w:p w:rsidR="00DC6549" w:rsidRDefault="00CB6F85" w:rsidP="00DC6549">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6549">
        <w:rPr>
          <w:rFonts w:ascii="Times New Roman" w:hAnsi="Times New Roman" w:cs="Times New Roman"/>
          <w:sz w:val="24"/>
          <w:szCs w:val="24"/>
        </w:rPr>
        <w:t>Os efeitos dos agrotóxicos não atingem somente o meio ambiente, também a saúde humana e, principalmente, a do trabalhador rural. A intoxicação por consequência do uso de pesticidas é um problema de extensão mundial. No Brasil, o número de intoxicações devido ao uso de pesticidas em 2016 é de 1264 e o de mortes registradas é 57, segundo o sistema de informações tóxico-farmacológicas (FIOCRUZ SINITOX</w:t>
      </w:r>
      <w:r w:rsidR="00320598">
        <w:rPr>
          <w:rFonts w:ascii="Times New Roman" w:hAnsi="Times New Roman" w:cs="Times New Roman"/>
          <w:sz w:val="24"/>
          <w:szCs w:val="24"/>
        </w:rPr>
        <w:t>, 2016</w:t>
      </w:r>
      <w:r w:rsidR="00DC6549">
        <w:rPr>
          <w:rFonts w:ascii="Times New Roman" w:hAnsi="Times New Roman" w:cs="Times New Roman"/>
          <w:sz w:val="24"/>
          <w:szCs w:val="24"/>
        </w:rPr>
        <w:t xml:space="preserve">). </w:t>
      </w:r>
    </w:p>
    <w:p w:rsidR="00DC6549" w:rsidRDefault="00DC6549" w:rsidP="00CB6F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Os principais sintomas da exposição combinada referem-se principalmente ao comprometimento neurológico, como distúrbios cognitivos e motores. Além desses, outros impactos já conhecidos e mais decorrentes de uma série de sustâncias químicas que compõe a formulação dos pesticidas já são responsáveis por muitos efeitos colaterais além da intoxicação (SILVA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2005, </w:t>
      </w:r>
      <w:r w:rsidRPr="00C210A4">
        <w:rPr>
          <w:rFonts w:ascii="Times New Roman" w:hAnsi="Times New Roman" w:cs="Times New Roman"/>
          <w:sz w:val="24"/>
          <w:szCs w:val="24"/>
        </w:rPr>
        <w:t>M</w:t>
      </w:r>
      <w:r>
        <w:rPr>
          <w:rFonts w:ascii="Times New Roman" w:hAnsi="Times New Roman" w:cs="Times New Roman"/>
          <w:sz w:val="24"/>
          <w:szCs w:val="24"/>
        </w:rPr>
        <w:t>ARKOWITZ. 2006).</w:t>
      </w:r>
    </w:p>
    <w:p w:rsidR="00DC6549" w:rsidRDefault="00DC6549" w:rsidP="00CB6F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Conhecidos popularmente como “chumbinho” os compostos organofosforados e carbamatos são grupos com diversos efeitos adversos a saúde humana. O grupo dos organofosforados têm uma rápida infiltração no corpo humano através das via cutânea, da via aérea ou da via oral. O tempo de aparecimento dos sintomas iniciais da intoxicação aguda depende principalmente da via de absorção e da quantidade absorvida. Os principais sintomas são: dores no peito, cefaleia, vômitos, irritação da pele e pode levar a morte tornando-se atualmente uma das maneiras de cometer suicídio, uma vez que grande parte da ingestão oral desses compostos é feita de forma intencional. Além disso, embora não se tenha tantos dados conclusivos sobre as consequências da intoxicação crônica e seu efeito no psicológico humano sabe-se que tanto a intoxicação </w:t>
      </w:r>
      <w:r>
        <w:rPr>
          <w:rFonts w:ascii="Times New Roman" w:hAnsi="Times New Roman" w:cs="Times New Roman"/>
          <w:sz w:val="24"/>
          <w:szCs w:val="24"/>
        </w:rPr>
        <w:lastRenderedPageBreak/>
        <w:t xml:space="preserve">aguda quanto uma intoxicação crônica por um grupo de organofosforados podem causar sequelas neurocomportamentais como a perda de memoria, concentração e irritabilidade. </w:t>
      </w:r>
      <w:r w:rsidR="00D36415">
        <w:rPr>
          <w:rFonts w:ascii="Times New Roman" w:hAnsi="Times New Roman" w:cs="Times New Roman"/>
          <w:sz w:val="24"/>
          <w:szCs w:val="24"/>
        </w:rPr>
        <w:t>Além disso,</w:t>
      </w:r>
      <w:r>
        <w:rPr>
          <w:rFonts w:ascii="Times New Roman" w:hAnsi="Times New Roman" w:cs="Times New Roman"/>
          <w:sz w:val="24"/>
          <w:szCs w:val="24"/>
        </w:rPr>
        <w:t xml:space="preserve"> pode causar câncer, malformação congênita, infertilidade e uma série de sintomas e outras doenças. </w:t>
      </w:r>
      <w:r w:rsidR="00D36415">
        <w:rPr>
          <w:rFonts w:ascii="Times New Roman" w:hAnsi="Times New Roman" w:cs="Times New Roman"/>
          <w:sz w:val="24"/>
          <w:szCs w:val="24"/>
        </w:rPr>
        <w:t xml:space="preserve">A intoxicação devido ao </w:t>
      </w:r>
      <w:r>
        <w:rPr>
          <w:rFonts w:ascii="Times New Roman" w:hAnsi="Times New Roman" w:cs="Times New Roman"/>
          <w:sz w:val="24"/>
          <w:szCs w:val="24"/>
        </w:rPr>
        <w:t>uso de carbamatos, por sua vez</w:t>
      </w:r>
      <w:r w:rsidR="00D36415">
        <w:rPr>
          <w:rFonts w:ascii="Times New Roman" w:hAnsi="Times New Roman" w:cs="Times New Roman"/>
          <w:sz w:val="24"/>
          <w:szCs w:val="24"/>
        </w:rPr>
        <w:t>,</w:t>
      </w:r>
      <w:r>
        <w:rPr>
          <w:rFonts w:ascii="Times New Roman" w:hAnsi="Times New Roman" w:cs="Times New Roman"/>
          <w:sz w:val="24"/>
          <w:szCs w:val="24"/>
        </w:rPr>
        <w:t xml:space="preserve"> também ocorrem por meio das via</w:t>
      </w:r>
      <w:r w:rsidR="00D36415">
        <w:rPr>
          <w:rFonts w:ascii="Times New Roman" w:hAnsi="Times New Roman" w:cs="Times New Roman"/>
          <w:sz w:val="24"/>
          <w:szCs w:val="24"/>
        </w:rPr>
        <w:t>s</w:t>
      </w:r>
      <w:r>
        <w:rPr>
          <w:rFonts w:ascii="Times New Roman" w:hAnsi="Times New Roman" w:cs="Times New Roman"/>
          <w:sz w:val="24"/>
          <w:szCs w:val="24"/>
        </w:rPr>
        <w:t xml:space="preserve"> aérea e cutânea e podem causar náusea, pneumonia por aspiração, lesões cardíacas, hemorragias cerebrais, convulsão e morte</w:t>
      </w:r>
      <w:r w:rsidR="00D36415">
        <w:rPr>
          <w:rFonts w:ascii="Times New Roman" w:hAnsi="Times New Roman" w:cs="Times New Roman"/>
          <w:sz w:val="24"/>
          <w:szCs w:val="24"/>
        </w:rPr>
        <w:t>,</w:t>
      </w:r>
      <w:r>
        <w:rPr>
          <w:rFonts w:ascii="Times New Roman" w:hAnsi="Times New Roman" w:cs="Times New Roman"/>
          <w:sz w:val="24"/>
          <w:szCs w:val="24"/>
        </w:rPr>
        <w:t xml:space="preserve"> na forma aguda</w:t>
      </w:r>
      <w:r w:rsidR="00D36415">
        <w:rPr>
          <w:rFonts w:ascii="Times New Roman" w:hAnsi="Times New Roman" w:cs="Times New Roman"/>
          <w:sz w:val="24"/>
          <w:szCs w:val="24"/>
        </w:rPr>
        <w:t>, além</w:t>
      </w:r>
      <w:r>
        <w:rPr>
          <w:rFonts w:ascii="Times New Roman" w:hAnsi="Times New Roman" w:cs="Times New Roman"/>
          <w:sz w:val="24"/>
          <w:szCs w:val="24"/>
        </w:rPr>
        <w:t xml:space="preserve"> </w:t>
      </w:r>
      <w:r w:rsidR="00D36415">
        <w:rPr>
          <w:rFonts w:ascii="Times New Roman" w:hAnsi="Times New Roman" w:cs="Times New Roman"/>
          <w:sz w:val="24"/>
          <w:szCs w:val="24"/>
        </w:rPr>
        <w:t>d</w:t>
      </w:r>
      <w:r>
        <w:rPr>
          <w:rFonts w:ascii="Times New Roman" w:hAnsi="Times New Roman" w:cs="Times New Roman"/>
          <w:sz w:val="24"/>
          <w:szCs w:val="24"/>
        </w:rPr>
        <w:t>o desenvolvimento de uma síndrome chamada síndrome progressiva de debilitação</w:t>
      </w:r>
      <w:r w:rsidR="00D36415">
        <w:rPr>
          <w:rFonts w:ascii="Times New Roman" w:hAnsi="Times New Roman" w:cs="Times New Roman"/>
          <w:sz w:val="24"/>
          <w:szCs w:val="24"/>
        </w:rPr>
        <w:t>,</w:t>
      </w:r>
      <w:r>
        <w:rPr>
          <w:rFonts w:ascii="Times New Roman" w:hAnsi="Times New Roman" w:cs="Times New Roman"/>
          <w:sz w:val="24"/>
          <w:szCs w:val="24"/>
        </w:rPr>
        <w:t xml:space="preserve"> q</w:t>
      </w:r>
      <w:r w:rsidR="00D36415">
        <w:rPr>
          <w:rFonts w:ascii="Times New Roman" w:hAnsi="Times New Roman" w:cs="Times New Roman"/>
          <w:sz w:val="24"/>
          <w:szCs w:val="24"/>
        </w:rPr>
        <w:t>uando ocorrer na forma crônica, e</w:t>
      </w:r>
      <w:r>
        <w:rPr>
          <w:rFonts w:ascii="Times New Roman" w:hAnsi="Times New Roman" w:cs="Times New Roman"/>
          <w:sz w:val="24"/>
          <w:szCs w:val="24"/>
        </w:rPr>
        <w:t xml:space="preserve"> tem como sintomas a cefaleia, fraqueza, câimbra e perda de memória. Os carbamatos são eliminados do corpo humano após 48h, porem os organofosforados ligam-se a uma enzima chamada de colinesterase de forma irreversível (JUNIOR </w:t>
      </w:r>
      <w:r w:rsidR="00141B60" w:rsidRPr="00141B60">
        <w:rPr>
          <w:rFonts w:ascii="Times New Roman" w:hAnsi="Times New Roman" w:cs="Times New Roman"/>
          <w:i/>
          <w:sz w:val="24"/>
          <w:szCs w:val="24"/>
        </w:rPr>
        <w:t>et al.</w:t>
      </w:r>
      <w:r>
        <w:rPr>
          <w:rFonts w:ascii="Times New Roman" w:hAnsi="Times New Roman" w:cs="Times New Roman"/>
          <w:sz w:val="24"/>
          <w:szCs w:val="24"/>
        </w:rPr>
        <w:t>, 1999; O’MALLEY, 2018)</w:t>
      </w:r>
    </w:p>
    <w:p w:rsidR="00750CA9" w:rsidRDefault="00DC6549" w:rsidP="00D36415">
      <w:pPr>
        <w:pStyle w:val="SemEspaamento"/>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Grande parte dos trabalhadores rurais não utilizam as medidas de proteção e as justificativas mais citadas para o não uso do equipamento de proteção são principalmente o preço elevado de alguns EPI´s, o não fornecimento pelo empregador, o calor e as dificuldades de trabalhar com eles. </w:t>
      </w:r>
      <w:r w:rsidR="008D75E6">
        <w:rPr>
          <w:rFonts w:ascii="Times New Roman" w:hAnsi="Times New Roman" w:cs="Times New Roman"/>
          <w:sz w:val="24"/>
          <w:szCs w:val="24"/>
        </w:rPr>
        <w:t>Para o</w:t>
      </w:r>
      <w:r>
        <w:rPr>
          <w:rFonts w:ascii="Times New Roman" w:hAnsi="Times New Roman" w:cs="Times New Roman"/>
          <w:sz w:val="24"/>
          <w:szCs w:val="24"/>
        </w:rPr>
        <w:t xml:space="preserve"> </w:t>
      </w:r>
      <w:r w:rsidR="008D75E6">
        <w:rPr>
          <w:rFonts w:ascii="Times New Roman" w:hAnsi="Times New Roman" w:cs="Times New Roman"/>
          <w:sz w:val="24"/>
          <w:szCs w:val="24"/>
        </w:rPr>
        <w:t>órgão fiscalizador do trabalho</w:t>
      </w:r>
      <w:r>
        <w:rPr>
          <w:rFonts w:ascii="Times New Roman" w:hAnsi="Times New Roman" w:cs="Times New Roman"/>
          <w:sz w:val="24"/>
          <w:szCs w:val="24"/>
        </w:rPr>
        <w:t xml:space="preserve"> é obrigatório o uso desses equipamentos e a disponibilidade dos mesmos pelo empregador. (VEIGA, </w:t>
      </w:r>
      <w:r w:rsidR="00141B60" w:rsidRPr="00141B60">
        <w:rPr>
          <w:rFonts w:ascii="Times New Roman" w:hAnsi="Times New Roman" w:cs="Times New Roman"/>
          <w:i/>
          <w:sz w:val="24"/>
          <w:szCs w:val="24"/>
        </w:rPr>
        <w:t>et al.</w:t>
      </w:r>
      <w:r>
        <w:rPr>
          <w:rFonts w:ascii="Times New Roman" w:hAnsi="Times New Roman" w:cs="Times New Roman"/>
          <w:sz w:val="24"/>
          <w:szCs w:val="24"/>
        </w:rPr>
        <w:t>, 2007; MAZZONETTO 2016)</w:t>
      </w:r>
      <w:bookmarkStart w:id="1" w:name="_Toc527710723"/>
      <w:bookmarkStart w:id="2" w:name="_Toc531613906"/>
      <w:bookmarkStart w:id="3" w:name="_Toc531614437"/>
      <w:bookmarkStart w:id="4" w:name="_Toc531614698"/>
      <w:bookmarkStart w:id="5" w:name="_Toc531615238"/>
      <w:bookmarkStart w:id="6" w:name="_Toc531703603"/>
      <w:r>
        <w:rPr>
          <w:rFonts w:ascii="Times New Roman" w:hAnsi="Times New Roman" w:cs="Times New Roman"/>
          <w:sz w:val="24"/>
          <w:szCs w:val="24"/>
        </w:rPr>
        <w:t>.</w:t>
      </w:r>
    </w:p>
    <w:p w:rsidR="00141B60" w:rsidRPr="00DC6549" w:rsidRDefault="00141B60" w:rsidP="00D36415">
      <w:pPr>
        <w:pStyle w:val="SemEspaamento"/>
        <w:spacing w:after="120" w:line="360" w:lineRule="auto"/>
        <w:jc w:val="both"/>
        <w:rPr>
          <w:rFonts w:ascii="Times New Roman" w:hAnsi="Times New Roman" w:cs="Times New Roman"/>
          <w:sz w:val="24"/>
          <w:szCs w:val="24"/>
        </w:rPr>
      </w:pPr>
    </w:p>
    <w:p w:rsidR="00750CA9" w:rsidRPr="00DC6549" w:rsidRDefault="00141B60" w:rsidP="00D36415">
      <w:pPr>
        <w:pStyle w:val="Ttulo1"/>
        <w:spacing w:before="0" w:after="120" w:line="360" w:lineRule="auto"/>
        <w:rPr>
          <w:rFonts w:ascii="Times New Roman" w:hAnsi="Times New Roman"/>
          <w:sz w:val="24"/>
          <w:szCs w:val="24"/>
        </w:rPr>
      </w:pPr>
      <w:r>
        <w:rPr>
          <w:rFonts w:ascii="Times New Roman" w:hAnsi="Times New Roman"/>
          <w:sz w:val="24"/>
          <w:szCs w:val="24"/>
        </w:rPr>
        <w:t>3</w:t>
      </w:r>
      <w:r w:rsidR="00750CA9" w:rsidRPr="00E6671D">
        <w:rPr>
          <w:rFonts w:ascii="Times New Roman" w:hAnsi="Times New Roman"/>
          <w:sz w:val="24"/>
          <w:szCs w:val="24"/>
        </w:rPr>
        <w:t xml:space="preserve">. </w:t>
      </w:r>
      <w:r w:rsidR="00DC6549" w:rsidRPr="00E6671D">
        <w:rPr>
          <w:rFonts w:ascii="Times New Roman" w:hAnsi="Times New Roman"/>
          <w:sz w:val="24"/>
          <w:szCs w:val="24"/>
        </w:rPr>
        <w:t>M</w:t>
      </w:r>
      <w:bookmarkEnd w:id="1"/>
      <w:r w:rsidR="00DC6549" w:rsidRPr="00E6671D">
        <w:rPr>
          <w:rFonts w:ascii="Times New Roman" w:hAnsi="Times New Roman"/>
          <w:sz w:val="24"/>
          <w:szCs w:val="24"/>
        </w:rPr>
        <w:t>etodologia</w:t>
      </w:r>
      <w:bookmarkEnd w:id="2"/>
      <w:bookmarkEnd w:id="3"/>
      <w:bookmarkEnd w:id="4"/>
      <w:bookmarkEnd w:id="5"/>
      <w:bookmarkEnd w:id="6"/>
    </w:p>
    <w:p w:rsidR="00750CA9" w:rsidRPr="00A40B9B" w:rsidRDefault="001858A6" w:rsidP="00C724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Para obtenção dos dados </w:t>
      </w:r>
      <w:r w:rsidR="00892472">
        <w:rPr>
          <w:rFonts w:ascii="Times New Roman" w:hAnsi="Times New Roman" w:cs="Times New Roman"/>
          <w:sz w:val="24"/>
          <w:szCs w:val="24"/>
        </w:rPr>
        <w:t>f</w:t>
      </w:r>
      <w:r w:rsidR="00750CA9" w:rsidRPr="00E6671D">
        <w:rPr>
          <w:rFonts w:ascii="Times New Roman" w:hAnsi="Times New Roman" w:cs="Times New Roman"/>
          <w:sz w:val="24"/>
          <w:szCs w:val="24"/>
        </w:rPr>
        <w:t>oram realizadas duas pesquisas</w:t>
      </w:r>
      <w:r>
        <w:rPr>
          <w:rFonts w:ascii="Times New Roman" w:hAnsi="Times New Roman" w:cs="Times New Roman"/>
          <w:sz w:val="24"/>
          <w:szCs w:val="24"/>
        </w:rPr>
        <w:t xml:space="preserve"> de abordagem quali-quantitativa,</w:t>
      </w:r>
      <w:r w:rsidR="00750CA9" w:rsidRPr="00E6671D">
        <w:rPr>
          <w:rFonts w:ascii="Times New Roman" w:hAnsi="Times New Roman" w:cs="Times New Roman"/>
          <w:sz w:val="24"/>
          <w:szCs w:val="24"/>
        </w:rPr>
        <w:t xml:space="preserve"> no mu</w:t>
      </w:r>
      <w:r w:rsidR="00750CA9">
        <w:rPr>
          <w:rFonts w:ascii="Times New Roman" w:hAnsi="Times New Roman" w:cs="Times New Roman"/>
          <w:sz w:val="24"/>
          <w:szCs w:val="24"/>
        </w:rPr>
        <w:t xml:space="preserve">nicípio </w:t>
      </w:r>
      <w:r w:rsidR="0070405F">
        <w:rPr>
          <w:rFonts w:ascii="Times New Roman" w:hAnsi="Times New Roman" w:cs="Times New Roman"/>
          <w:sz w:val="24"/>
          <w:szCs w:val="24"/>
        </w:rPr>
        <w:t>de Garanhuns,</w:t>
      </w:r>
      <w:r w:rsidR="00750CA9">
        <w:rPr>
          <w:rFonts w:ascii="Times New Roman" w:hAnsi="Times New Roman" w:cs="Times New Roman"/>
          <w:sz w:val="24"/>
          <w:szCs w:val="24"/>
        </w:rPr>
        <w:t xml:space="preserve"> </w:t>
      </w:r>
      <w:r>
        <w:rPr>
          <w:rFonts w:ascii="Times New Roman" w:hAnsi="Times New Roman" w:cs="Times New Roman"/>
          <w:sz w:val="24"/>
          <w:szCs w:val="24"/>
        </w:rPr>
        <w:t xml:space="preserve">PE. </w:t>
      </w:r>
      <w:r w:rsidR="007B5D29">
        <w:rPr>
          <w:rFonts w:ascii="Times New Roman" w:hAnsi="Times New Roman" w:cs="Times New Roman"/>
          <w:sz w:val="24"/>
          <w:szCs w:val="24"/>
        </w:rPr>
        <w:t xml:space="preserve">O </w:t>
      </w:r>
      <w:r w:rsidR="0070405F">
        <w:rPr>
          <w:rFonts w:ascii="Times New Roman" w:hAnsi="Times New Roman" w:cs="Times New Roman"/>
          <w:sz w:val="24"/>
          <w:szCs w:val="24"/>
        </w:rPr>
        <w:t xml:space="preserve">clima e </w:t>
      </w:r>
      <w:r w:rsidR="007B5D29">
        <w:rPr>
          <w:rFonts w:ascii="Times New Roman" w:hAnsi="Times New Roman" w:cs="Times New Roman"/>
          <w:sz w:val="24"/>
          <w:szCs w:val="24"/>
        </w:rPr>
        <w:t>o</w:t>
      </w:r>
      <w:r w:rsidR="0070405F">
        <w:rPr>
          <w:rFonts w:ascii="Times New Roman" w:hAnsi="Times New Roman" w:cs="Times New Roman"/>
          <w:sz w:val="24"/>
          <w:szCs w:val="24"/>
        </w:rPr>
        <w:t xml:space="preserve"> solo </w:t>
      </w:r>
      <w:r w:rsidR="007B5D29">
        <w:rPr>
          <w:rFonts w:ascii="Times New Roman" w:hAnsi="Times New Roman" w:cs="Times New Roman"/>
          <w:sz w:val="24"/>
          <w:szCs w:val="24"/>
        </w:rPr>
        <w:t xml:space="preserve">da cidade são </w:t>
      </w:r>
      <w:r w:rsidR="0070405F">
        <w:rPr>
          <w:rFonts w:ascii="Times New Roman" w:hAnsi="Times New Roman" w:cs="Times New Roman"/>
          <w:sz w:val="24"/>
          <w:szCs w:val="24"/>
        </w:rPr>
        <w:t>propício</w:t>
      </w:r>
      <w:r w:rsidR="007B5D29">
        <w:rPr>
          <w:rFonts w:ascii="Times New Roman" w:hAnsi="Times New Roman" w:cs="Times New Roman"/>
          <w:sz w:val="24"/>
          <w:szCs w:val="24"/>
        </w:rPr>
        <w:t>s</w:t>
      </w:r>
      <w:r w:rsidR="00750CA9">
        <w:rPr>
          <w:rFonts w:ascii="Times New Roman" w:hAnsi="Times New Roman" w:cs="Times New Roman"/>
          <w:sz w:val="24"/>
          <w:szCs w:val="24"/>
        </w:rPr>
        <w:t xml:space="preserve"> par</w:t>
      </w:r>
      <w:r w:rsidR="007B5D29">
        <w:rPr>
          <w:rFonts w:ascii="Times New Roman" w:hAnsi="Times New Roman" w:cs="Times New Roman"/>
          <w:sz w:val="24"/>
          <w:szCs w:val="24"/>
        </w:rPr>
        <w:t>a o desenvolvimento de diversas</w:t>
      </w:r>
      <w:r w:rsidR="00750CA9">
        <w:rPr>
          <w:rFonts w:ascii="Times New Roman" w:hAnsi="Times New Roman" w:cs="Times New Roman"/>
          <w:sz w:val="24"/>
          <w:szCs w:val="24"/>
        </w:rPr>
        <w:t xml:space="preserve"> culturas</w:t>
      </w:r>
      <w:r w:rsidR="007B5D29">
        <w:rPr>
          <w:rFonts w:ascii="Times New Roman" w:hAnsi="Times New Roman" w:cs="Times New Roman"/>
          <w:sz w:val="24"/>
          <w:szCs w:val="24"/>
        </w:rPr>
        <w:t xml:space="preserve"> agrícolas</w:t>
      </w:r>
      <w:r w:rsidR="00750CA9">
        <w:rPr>
          <w:rFonts w:ascii="Times New Roman" w:hAnsi="Times New Roman" w:cs="Times New Roman"/>
          <w:sz w:val="24"/>
          <w:szCs w:val="24"/>
        </w:rPr>
        <w:t xml:space="preserve"> e </w:t>
      </w:r>
      <w:r w:rsidR="007B5D29">
        <w:rPr>
          <w:rFonts w:ascii="Times New Roman" w:hAnsi="Times New Roman" w:cs="Times New Roman"/>
          <w:sz w:val="24"/>
          <w:szCs w:val="24"/>
        </w:rPr>
        <w:t>tem</w:t>
      </w:r>
      <w:r w:rsidR="00750CA9">
        <w:rPr>
          <w:rFonts w:ascii="Times New Roman" w:hAnsi="Times New Roman" w:cs="Times New Roman"/>
          <w:sz w:val="24"/>
          <w:szCs w:val="24"/>
        </w:rPr>
        <w:t xml:space="preserve"> como destaque as plantações de milho, feijão e batata- doce. </w:t>
      </w:r>
    </w:p>
    <w:p w:rsidR="00750CA9" w:rsidRDefault="007B5D29" w:rsidP="00C724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primeira pesquisa foi</w:t>
      </w:r>
      <w:r w:rsidR="00750CA9">
        <w:rPr>
          <w:rFonts w:ascii="Times New Roman" w:hAnsi="Times New Roman" w:cs="Times New Roman"/>
          <w:sz w:val="24"/>
          <w:szCs w:val="24"/>
        </w:rPr>
        <w:t xml:space="preserve"> </w:t>
      </w:r>
      <w:r>
        <w:rPr>
          <w:rFonts w:ascii="Times New Roman" w:hAnsi="Times New Roman" w:cs="Times New Roman"/>
          <w:sz w:val="24"/>
          <w:szCs w:val="24"/>
        </w:rPr>
        <w:t>realizada</w:t>
      </w:r>
      <w:r w:rsidR="00750CA9">
        <w:rPr>
          <w:rFonts w:ascii="Times New Roman" w:hAnsi="Times New Roman" w:cs="Times New Roman"/>
          <w:sz w:val="24"/>
          <w:szCs w:val="24"/>
        </w:rPr>
        <w:t xml:space="preserve"> </w:t>
      </w:r>
      <w:r w:rsidR="00CD4A16">
        <w:rPr>
          <w:rFonts w:ascii="Times New Roman" w:hAnsi="Times New Roman" w:cs="Times New Roman"/>
          <w:sz w:val="24"/>
          <w:szCs w:val="24"/>
        </w:rPr>
        <w:t>junto ao</w:t>
      </w:r>
      <w:r w:rsidR="00750CA9">
        <w:rPr>
          <w:rFonts w:ascii="Times New Roman" w:hAnsi="Times New Roman" w:cs="Times New Roman"/>
          <w:sz w:val="24"/>
          <w:szCs w:val="24"/>
        </w:rPr>
        <w:t xml:space="preserve"> </w:t>
      </w:r>
      <w:r w:rsidR="0070405F">
        <w:rPr>
          <w:rFonts w:ascii="Times New Roman" w:hAnsi="Times New Roman" w:cs="Times New Roman"/>
          <w:sz w:val="24"/>
          <w:szCs w:val="24"/>
        </w:rPr>
        <w:t xml:space="preserve">Sindicato </w:t>
      </w:r>
      <w:r w:rsidR="00750CA9">
        <w:rPr>
          <w:rFonts w:ascii="Times New Roman" w:hAnsi="Times New Roman" w:cs="Times New Roman"/>
          <w:sz w:val="24"/>
          <w:szCs w:val="24"/>
        </w:rPr>
        <w:t xml:space="preserve">dos </w:t>
      </w:r>
      <w:r w:rsidR="0070405F">
        <w:rPr>
          <w:rFonts w:ascii="Times New Roman" w:hAnsi="Times New Roman" w:cs="Times New Roman"/>
          <w:sz w:val="24"/>
          <w:szCs w:val="24"/>
        </w:rPr>
        <w:t>T</w:t>
      </w:r>
      <w:r w:rsidR="00750CA9">
        <w:rPr>
          <w:rFonts w:ascii="Times New Roman" w:hAnsi="Times New Roman" w:cs="Times New Roman"/>
          <w:sz w:val="24"/>
          <w:szCs w:val="24"/>
        </w:rPr>
        <w:t xml:space="preserve">rabalhadores </w:t>
      </w:r>
      <w:r w:rsidR="0070405F">
        <w:rPr>
          <w:rFonts w:ascii="Times New Roman" w:hAnsi="Times New Roman" w:cs="Times New Roman"/>
          <w:sz w:val="24"/>
          <w:szCs w:val="24"/>
        </w:rPr>
        <w:t>R</w:t>
      </w:r>
      <w:r w:rsidR="00750CA9">
        <w:rPr>
          <w:rFonts w:ascii="Times New Roman" w:hAnsi="Times New Roman" w:cs="Times New Roman"/>
          <w:sz w:val="24"/>
          <w:szCs w:val="24"/>
        </w:rPr>
        <w:t xml:space="preserve">urais do </w:t>
      </w:r>
      <w:r w:rsidR="0070405F">
        <w:rPr>
          <w:rFonts w:ascii="Times New Roman" w:hAnsi="Times New Roman" w:cs="Times New Roman"/>
          <w:sz w:val="24"/>
          <w:szCs w:val="24"/>
        </w:rPr>
        <w:t>Município de Garanhuns</w:t>
      </w:r>
      <w:r w:rsidR="00750CA9">
        <w:rPr>
          <w:rFonts w:ascii="Times New Roman" w:hAnsi="Times New Roman" w:cs="Times New Roman"/>
          <w:sz w:val="24"/>
          <w:szCs w:val="24"/>
        </w:rPr>
        <w:t>,</w:t>
      </w:r>
      <w:r w:rsidR="00CD4A16">
        <w:rPr>
          <w:rFonts w:ascii="Times New Roman" w:hAnsi="Times New Roman" w:cs="Times New Roman"/>
          <w:sz w:val="24"/>
          <w:szCs w:val="24"/>
        </w:rPr>
        <w:t xml:space="preserve"> onde f</w:t>
      </w:r>
      <w:r w:rsidR="00750CA9">
        <w:rPr>
          <w:rFonts w:ascii="Times New Roman" w:hAnsi="Times New Roman" w:cs="Times New Roman"/>
          <w:sz w:val="24"/>
          <w:szCs w:val="24"/>
        </w:rPr>
        <w:t>oram feitas nove perguntas no intuito de investigar o sexo, a idade do agricultor (a), o grau de escolaridade, se costuma usar agrotóxicos, se usa algum equipamento de proteção individual, como faz o descarte das embalagens e qual a</w:t>
      </w:r>
      <w:r w:rsidR="00EE75A3">
        <w:rPr>
          <w:rFonts w:ascii="Times New Roman" w:hAnsi="Times New Roman" w:cs="Times New Roman"/>
          <w:sz w:val="24"/>
          <w:szCs w:val="24"/>
        </w:rPr>
        <w:t xml:space="preserve"> periodicidade das aplicações. </w:t>
      </w:r>
      <w:r w:rsidR="00C72485">
        <w:rPr>
          <w:rFonts w:ascii="Times New Roman" w:hAnsi="Times New Roman" w:cs="Times New Roman"/>
          <w:sz w:val="24"/>
          <w:szCs w:val="24"/>
        </w:rPr>
        <w:t>Uma o</w:t>
      </w:r>
      <w:r w:rsidR="00750CA9">
        <w:rPr>
          <w:rFonts w:ascii="Times New Roman" w:hAnsi="Times New Roman" w:cs="Times New Roman"/>
          <w:sz w:val="24"/>
          <w:szCs w:val="24"/>
        </w:rPr>
        <w:t xml:space="preserve">utra pesquisa foi feita </w:t>
      </w:r>
      <w:r w:rsidR="00750CA9" w:rsidRPr="00A40B9B">
        <w:rPr>
          <w:rFonts w:ascii="Times New Roman" w:hAnsi="Times New Roman" w:cs="Times New Roman"/>
          <w:sz w:val="24"/>
          <w:szCs w:val="24"/>
        </w:rPr>
        <w:t>em duas lojas</w:t>
      </w:r>
      <w:r w:rsidR="00750CA9">
        <w:rPr>
          <w:rFonts w:ascii="Times New Roman" w:hAnsi="Times New Roman" w:cs="Times New Roman"/>
          <w:sz w:val="24"/>
          <w:szCs w:val="24"/>
        </w:rPr>
        <w:t xml:space="preserve"> de produtos agropecuários</w:t>
      </w:r>
      <w:r w:rsidR="00C72485">
        <w:rPr>
          <w:rFonts w:ascii="Times New Roman" w:hAnsi="Times New Roman" w:cs="Times New Roman"/>
          <w:sz w:val="24"/>
          <w:szCs w:val="24"/>
        </w:rPr>
        <w:t>,</w:t>
      </w:r>
      <w:r w:rsidR="00750CA9">
        <w:rPr>
          <w:rFonts w:ascii="Times New Roman" w:hAnsi="Times New Roman" w:cs="Times New Roman"/>
          <w:sz w:val="24"/>
          <w:szCs w:val="24"/>
        </w:rPr>
        <w:t xml:space="preserve"> </w:t>
      </w:r>
      <w:r w:rsidR="00750CA9" w:rsidRPr="00A40B9B">
        <w:rPr>
          <w:rFonts w:ascii="Times New Roman" w:hAnsi="Times New Roman" w:cs="Times New Roman"/>
          <w:sz w:val="24"/>
          <w:szCs w:val="24"/>
        </w:rPr>
        <w:t>vendedoras de pesticidas</w:t>
      </w:r>
      <w:r w:rsidR="00C72485">
        <w:rPr>
          <w:rFonts w:ascii="Times New Roman" w:hAnsi="Times New Roman" w:cs="Times New Roman"/>
          <w:sz w:val="24"/>
          <w:szCs w:val="24"/>
        </w:rPr>
        <w:t>,</w:t>
      </w:r>
      <w:r w:rsidR="00750CA9">
        <w:rPr>
          <w:rFonts w:ascii="Times New Roman" w:hAnsi="Times New Roman" w:cs="Times New Roman"/>
          <w:sz w:val="24"/>
          <w:szCs w:val="24"/>
        </w:rPr>
        <w:t xml:space="preserve"> e </w:t>
      </w:r>
      <w:r w:rsidR="00C72485">
        <w:rPr>
          <w:rFonts w:ascii="Times New Roman" w:hAnsi="Times New Roman" w:cs="Times New Roman"/>
          <w:sz w:val="24"/>
          <w:szCs w:val="24"/>
        </w:rPr>
        <w:t>buscou</w:t>
      </w:r>
      <w:r w:rsidR="00750CA9">
        <w:rPr>
          <w:rFonts w:ascii="Times New Roman" w:hAnsi="Times New Roman" w:cs="Times New Roman"/>
          <w:sz w:val="24"/>
          <w:szCs w:val="24"/>
        </w:rPr>
        <w:t xml:space="preserve"> obter</w:t>
      </w:r>
      <w:r w:rsidR="00750CA9" w:rsidRPr="00A40B9B">
        <w:rPr>
          <w:rFonts w:ascii="Times New Roman" w:hAnsi="Times New Roman" w:cs="Times New Roman"/>
          <w:sz w:val="24"/>
          <w:szCs w:val="24"/>
        </w:rPr>
        <w:t xml:space="preserve"> os nomes dos agrotóxicos mais vendidos para os agricultores da região e os efeitos sob</w:t>
      </w:r>
      <w:r w:rsidR="00750CA9">
        <w:rPr>
          <w:rFonts w:ascii="Times New Roman" w:hAnsi="Times New Roman" w:cs="Times New Roman"/>
          <w:sz w:val="24"/>
          <w:szCs w:val="24"/>
        </w:rPr>
        <w:t>re</w:t>
      </w:r>
      <w:r w:rsidR="00750CA9" w:rsidRPr="00A40B9B">
        <w:rPr>
          <w:rFonts w:ascii="Times New Roman" w:hAnsi="Times New Roman" w:cs="Times New Roman"/>
          <w:sz w:val="24"/>
          <w:szCs w:val="24"/>
        </w:rPr>
        <w:t xml:space="preserve"> a saúde</w:t>
      </w:r>
      <w:r w:rsidR="00750CA9">
        <w:rPr>
          <w:rFonts w:ascii="Times New Roman" w:hAnsi="Times New Roman" w:cs="Times New Roman"/>
          <w:sz w:val="24"/>
          <w:szCs w:val="24"/>
        </w:rPr>
        <w:t xml:space="preserve"> humana que cada um pode causar.</w:t>
      </w:r>
      <w:bookmarkStart w:id="7" w:name="_Toc527710724"/>
    </w:p>
    <w:p w:rsidR="00141B60" w:rsidRPr="00DC6549" w:rsidRDefault="00141B60" w:rsidP="00DC6549">
      <w:pPr>
        <w:pStyle w:val="SemEspaamento"/>
        <w:spacing w:before="120" w:after="120" w:line="360" w:lineRule="auto"/>
        <w:ind w:firstLine="708"/>
        <w:jc w:val="both"/>
        <w:rPr>
          <w:rFonts w:ascii="Times New Roman" w:hAnsi="Times New Roman" w:cs="Times New Roman"/>
          <w:sz w:val="24"/>
          <w:szCs w:val="24"/>
        </w:rPr>
      </w:pPr>
    </w:p>
    <w:p w:rsidR="00750CA9" w:rsidRPr="008F4788" w:rsidRDefault="00141B60" w:rsidP="00D36415">
      <w:pPr>
        <w:pStyle w:val="Ttulo1"/>
        <w:spacing w:before="0" w:after="120" w:line="360" w:lineRule="auto"/>
        <w:rPr>
          <w:rFonts w:ascii="Times New Roman" w:hAnsi="Times New Roman"/>
          <w:sz w:val="24"/>
          <w:szCs w:val="24"/>
        </w:rPr>
      </w:pPr>
      <w:bookmarkStart w:id="8" w:name="_Toc531613907"/>
      <w:bookmarkStart w:id="9" w:name="_Toc531614438"/>
      <w:bookmarkStart w:id="10" w:name="_Toc531614699"/>
      <w:bookmarkStart w:id="11" w:name="_Toc531615239"/>
      <w:bookmarkStart w:id="12" w:name="_Toc531703604"/>
      <w:r>
        <w:rPr>
          <w:rFonts w:ascii="Times New Roman" w:hAnsi="Times New Roman"/>
          <w:sz w:val="24"/>
          <w:szCs w:val="24"/>
        </w:rPr>
        <w:t>4</w:t>
      </w:r>
      <w:r w:rsidR="00750CA9" w:rsidRPr="008F4788">
        <w:rPr>
          <w:rFonts w:ascii="Times New Roman" w:hAnsi="Times New Roman"/>
          <w:sz w:val="24"/>
          <w:szCs w:val="24"/>
        </w:rPr>
        <w:t xml:space="preserve">. </w:t>
      </w:r>
      <w:r w:rsidR="00DC6549" w:rsidRPr="008F4788">
        <w:rPr>
          <w:rFonts w:ascii="Times New Roman" w:hAnsi="Times New Roman"/>
          <w:sz w:val="24"/>
          <w:szCs w:val="24"/>
        </w:rPr>
        <w:t xml:space="preserve">Resultados e </w:t>
      </w:r>
      <w:r w:rsidR="00D36415">
        <w:rPr>
          <w:rFonts w:ascii="Times New Roman" w:hAnsi="Times New Roman"/>
          <w:sz w:val="24"/>
          <w:szCs w:val="24"/>
        </w:rPr>
        <w:t>D</w:t>
      </w:r>
      <w:r w:rsidR="00DC6549" w:rsidRPr="008F4788">
        <w:rPr>
          <w:rFonts w:ascii="Times New Roman" w:hAnsi="Times New Roman"/>
          <w:sz w:val="24"/>
          <w:szCs w:val="24"/>
        </w:rPr>
        <w:t>iscussões</w:t>
      </w:r>
      <w:bookmarkEnd w:id="7"/>
      <w:bookmarkEnd w:id="8"/>
      <w:bookmarkEnd w:id="9"/>
      <w:bookmarkEnd w:id="10"/>
      <w:bookmarkEnd w:id="11"/>
      <w:bookmarkEnd w:id="12"/>
    </w:p>
    <w:p w:rsidR="00750CA9" w:rsidRDefault="00141B60" w:rsidP="00D36415">
      <w:pPr>
        <w:pStyle w:val="Subttulo"/>
        <w:spacing w:after="120"/>
        <w:jc w:val="left"/>
        <w:rPr>
          <w:rFonts w:ascii="Times New Roman" w:hAnsi="Times New Roman"/>
        </w:rPr>
      </w:pPr>
      <w:bookmarkStart w:id="13" w:name="_Toc527710725"/>
      <w:bookmarkStart w:id="14" w:name="_Toc531613908"/>
      <w:bookmarkStart w:id="15" w:name="_Toc531614439"/>
      <w:bookmarkStart w:id="16" w:name="_Toc531614700"/>
      <w:bookmarkStart w:id="17" w:name="_Toc531615240"/>
      <w:bookmarkStart w:id="18" w:name="_Toc531703605"/>
      <w:r>
        <w:rPr>
          <w:rFonts w:ascii="Times New Roman" w:hAnsi="Times New Roman"/>
        </w:rPr>
        <w:t>4</w:t>
      </w:r>
      <w:r w:rsidR="00750CA9" w:rsidRPr="00A917BE">
        <w:rPr>
          <w:rFonts w:ascii="Times New Roman" w:hAnsi="Times New Roman"/>
        </w:rPr>
        <w:t>.1. Caracterização social dos agricultores</w:t>
      </w:r>
      <w:bookmarkStart w:id="19" w:name="_Toc527710726"/>
      <w:bookmarkEnd w:id="13"/>
      <w:bookmarkEnd w:id="14"/>
      <w:bookmarkEnd w:id="15"/>
      <w:bookmarkEnd w:id="16"/>
      <w:bookmarkEnd w:id="17"/>
      <w:bookmarkEnd w:id="18"/>
    </w:p>
    <w:p w:rsidR="00750CA9" w:rsidRPr="001E4469" w:rsidRDefault="00141B60" w:rsidP="00D36415">
      <w:pPr>
        <w:pStyle w:val="Subttulo"/>
        <w:spacing w:after="120"/>
        <w:jc w:val="left"/>
        <w:rPr>
          <w:rFonts w:ascii="Times New Roman" w:hAnsi="Times New Roman"/>
        </w:rPr>
      </w:pPr>
      <w:bookmarkStart w:id="20" w:name="_Toc531613909"/>
      <w:bookmarkStart w:id="21" w:name="_Toc531614440"/>
      <w:bookmarkStart w:id="22" w:name="_Toc531614701"/>
      <w:bookmarkStart w:id="23" w:name="_Toc531615241"/>
      <w:bookmarkStart w:id="24" w:name="_Toc531703606"/>
      <w:r>
        <w:rPr>
          <w:rFonts w:ascii="Times New Roman" w:hAnsi="Times New Roman"/>
        </w:rPr>
        <w:lastRenderedPageBreak/>
        <w:t>4</w:t>
      </w:r>
      <w:r w:rsidR="00750CA9" w:rsidRPr="001E4469">
        <w:rPr>
          <w:rFonts w:ascii="Times New Roman" w:hAnsi="Times New Roman"/>
        </w:rPr>
        <w:t>.1.1. Gênero e idade</w:t>
      </w:r>
      <w:bookmarkEnd w:id="19"/>
      <w:bookmarkEnd w:id="20"/>
      <w:bookmarkEnd w:id="21"/>
      <w:bookmarkEnd w:id="22"/>
      <w:bookmarkEnd w:id="23"/>
      <w:bookmarkEnd w:id="24"/>
      <w:r w:rsidR="00750CA9" w:rsidRPr="001E4469">
        <w:rPr>
          <w:rFonts w:ascii="Times New Roman" w:hAnsi="Times New Roman"/>
        </w:rPr>
        <w:t xml:space="preserve"> </w:t>
      </w:r>
    </w:p>
    <w:p w:rsidR="002F54C4" w:rsidRDefault="00750CA9" w:rsidP="00C724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Do total de 25 agricultores entrevistados, 10 pertencem ao sexo masculino</w:t>
      </w:r>
      <w:r w:rsidR="00141B60">
        <w:rPr>
          <w:rFonts w:ascii="Times New Roman" w:hAnsi="Times New Roman" w:cs="Times New Roman"/>
          <w:sz w:val="24"/>
          <w:szCs w:val="24"/>
        </w:rPr>
        <w:t xml:space="preserve"> e 15 ao sexo feminino (T</w:t>
      </w:r>
      <w:r w:rsidR="00EE75A3">
        <w:rPr>
          <w:rFonts w:ascii="Times New Roman" w:hAnsi="Times New Roman" w:cs="Times New Roman"/>
          <w:sz w:val="24"/>
          <w:szCs w:val="24"/>
        </w:rPr>
        <w:t>abela 1</w:t>
      </w:r>
      <w:r>
        <w:rPr>
          <w:rFonts w:ascii="Times New Roman" w:hAnsi="Times New Roman" w:cs="Times New Roman"/>
          <w:sz w:val="24"/>
          <w:szCs w:val="24"/>
        </w:rPr>
        <w:t xml:space="preserve">). É possível que isso se deva ao fato que os homens saiam do campo em busca de trabalho nas cidades.  Esses dados diferem de Cajaiba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(2015), Nogueira &amp; Dantas (2013) e Bedor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(2009), que encontraram maioria de agricultores do sexo masculino. </w:t>
      </w:r>
    </w:p>
    <w:p w:rsidR="00750CA9" w:rsidRDefault="00750CA9" w:rsidP="00C72485">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As idades </w:t>
      </w:r>
      <w:r w:rsidR="00C72485">
        <w:rPr>
          <w:rFonts w:ascii="Times New Roman" w:hAnsi="Times New Roman" w:cs="Times New Roman"/>
          <w:sz w:val="24"/>
          <w:szCs w:val="24"/>
        </w:rPr>
        <w:t>v</w:t>
      </w:r>
      <w:r>
        <w:rPr>
          <w:rFonts w:ascii="Times New Roman" w:hAnsi="Times New Roman" w:cs="Times New Roman"/>
          <w:sz w:val="24"/>
          <w:szCs w:val="24"/>
        </w:rPr>
        <w:t>ariam entre 28 e 78 anos. Percebeu-se na pesquisa que os entrevistados já vem de famílias de agricultores e por isso trabalham há bastante tempo com essas agentes agrotóxicos.</w:t>
      </w:r>
      <w:r w:rsidR="002F54C4">
        <w:rPr>
          <w:rFonts w:ascii="Times New Roman" w:hAnsi="Times New Roman" w:cs="Times New Roman"/>
          <w:sz w:val="24"/>
          <w:szCs w:val="24"/>
        </w:rPr>
        <w:t xml:space="preserve"> </w:t>
      </w:r>
      <w:r>
        <w:rPr>
          <w:rFonts w:ascii="Times New Roman" w:hAnsi="Times New Roman" w:cs="Times New Roman"/>
          <w:sz w:val="24"/>
          <w:szCs w:val="24"/>
        </w:rPr>
        <w:t xml:space="preserve">Essa distribuição por idade dos agricultores pesquisados é semelhante a dos trabalhos realizados por Viero,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(2016) e Nogueira &amp; Dantas (2013) que mostraram a maioria dos agricultores com idade acima de 40 anos, evidenciando, nos três casos, um longo período de utilização de pesticidas pelos trabalhadores, o que ratifica a gravidade da exposição crônica. </w:t>
      </w:r>
    </w:p>
    <w:p w:rsidR="00EE75A3" w:rsidRDefault="00750CA9" w:rsidP="00C72485">
      <w:pPr>
        <w:pStyle w:val="SemEspaamento"/>
        <w:spacing w:before="120" w:after="120" w:line="360" w:lineRule="auto"/>
        <w:jc w:val="both"/>
        <w:rPr>
          <w:rFonts w:ascii="Times New Roman" w:hAnsi="Times New Roman" w:cs="Times New Roman"/>
          <w:sz w:val="24"/>
          <w:szCs w:val="24"/>
        </w:rPr>
      </w:pPr>
      <w:r w:rsidRPr="00A30DD9">
        <w:rPr>
          <w:rFonts w:ascii="Times New Roman" w:hAnsi="Times New Roman" w:cs="Times New Roman"/>
          <w:sz w:val="24"/>
          <w:szCs w:val="24"/>
        </w:rPr>
        <w:t>O fator idade pode ocasionar um grave problema de saúde a estes</w:t>
      </w:r>
      <w:r>
        <w:rPr>
          <w:rFonts w:ascii="Times New Roman" w:hAnsi="Times New Roman" w:cs="Times New Roman"/>
          <w:sz w:val="24"/>
          <w:szCs w:val="24"/>
        </w:rPr>
        <w:t xml:space="preserve"> </w:t>
      </w:r>
      <w:r w:rsidRPr="00A30DD9">
        <w:rPr>
          <w:rFonts w:ascii="Times New Roman" w:hAnsi="Times New Roman" w:cs="Times New Roman"/>
          <w:sz w:val="24"/>
          <w:szCs w:val="24"/>
        </w:rPr>
        <w:t>trabalhadores expostos a estes agentes químicos, pois jovens e idosos</w:t>
      </w:r>
      <w:r>
        <w:rPr>
          <w:rFonts w:ascii="Times New Roman" w:hAnsi="Times New Roman" w:cs="Times New Roman"/>
          <w:sz w:val="24"/>
          <w:szCs w:val="24"/>
        </w:rPr>
        <w:t xml:space="preserve"> </w:t>
      </w:r>
      <w:r w:rsidRPr="00A30DD9">
        <w:rPr>
          <w:rFonts w:ascii="Times New Roman" w:hAnsi="Times New Roman" w:cs="Times New Roman"/>
          <w:sz w:val="24"/>
          <w:szCs w:val="24"/>
        </w:rPr>
        <w:t>estão mais suscetíveis ao adoecimento.</w:t>
      </w:r>
      <w:r w:rsidR="00EE75A3">
        <w:rPr>
          <w:rFonts w:ascii="Times New Roman" w:hAnsi="Times New Roman" w:cs="Times New Roman"/>
          <w:sz w:val="24"/>
          <w:szCs w:val="24"/>
        </w:rPr>
        <w:t xml:space="preserve"> (CAJAIBA, </w:t>
      </w:r>
      <w:r w:rsidR="00141B60" w:rsidRPr="00141B60">
        <w:rPr>
          <w:rFonts w:ascii="Times New Roman" w:hAnsi="Times New Roman" w:cs="Times New Roman"/>
          <w:i/>
          <w:sz w:val="24"/>
          <w:szCs w:val="24"/>
        </w:rPr>
        <w:t>et al.</w:t>
      </w:r>
      <w:r w:rsidR="00EE75A3">
        <w:rPr>
          <w:rFonts w:ascii="Times New Roman" w:hAnsi="Times New Roman" w:cs="Times New Roman"/>
          <w:sz w:val="24"/>
          <w:szCs w:val="24"/>
        </w:rPr>
        <w:t>, 2015).</w:t>
      </w:r>
    </w:p>
    <w:p w:rsidR="00750CA9" w:rsidRDefault="00EE75A3" w:rsidP="00C72485">
      <w:pPr>
        <w:pStyle w:val="SemEspaamento"/>
        <w:spacing w:before="120" w:after="120"/>
        <w:jc w:val="center"/>
        <w:rPr>
          <w:rFonts w:ascii="Times New Roman" w:hAnsi="Times New Roman" w:cs="Times New Roman"/>
          <w:sz w:val="20"/>
          <w:szCs w:val="20"/>
        </w:rPr>
      </w:pPr>
      <w:r>
        <w:rPr>
          <w:rFonts w:ascii="Times New Roman" w:hAnsi="Times New Roman" w:cs="Times New Roman"/>
          <w:b/>
          <w:sz w:val="20"/>
          <w:szCs w:val="20"/>
        </w:rPr>
        <w:t>Tabela 1</w:t>
      </w:r>
      <w:r w:rsidR="00750CA9" w:rsidRPr="000E0DE6">
        <w:rPr>
          <w:rFonts w:ascii="Times New Roman" w:hAnsi="Times New Roman" w:cs="Times New Roman"/>
          <w:b/>
          <w:sz w:val="20"/>
          <w:szCs w:val="20"/>
        </w:rPr>
        <w:t xml:space="preserve"> –</w:t>
      </w:r>
      <w:r w:rsidR="00750CA9" w:rsidRPr="00E104E3">
        <w:rPr>
          <w:rFonts w:ascii="Times New Roman" w:hAnsi="Times New Roman" w:cs="Times New Roman"/>
          <w:sz w:val="20"/>
          <w:szCs w:val="20"/>
        </w:rPr>
        <w:t xml:space="preserve"> </w:t>
      </w:r>
      <w:r w:rsidR="00750CA9">
        <w:rPr>
          <w:rFonts w:ascii="Times New Roman" w:hAnsi="Times New Roman" w:cs="Times New Roman"/>
          <w:sz w:val="20"/>
          <w:szCs w:val="20"/>
        </w:rPr>
        <w:t>Distribuição</w:t>
      </w:r>
      <w:r w:rsidR="00750CA9" w:rsidRPr="00E104E3">
        <w:rPr>
          <w:rFonts w:ascii="Times New Roman" w:hAnsi="Times New Roman" w:cs="Times New Roman"/>
          <w:sz w:val="20"/>
          <w:szCs w:val="20"/>
        </w:rPr>
        <w:t xml:space="preserve"> de Agricultores por Gênero</w:t>
      </w:r>
    </w:p>
    <w:p w:rsidR="00750CA9" w:rsidRDefault="00750CA9" w:rsidP="00DC6549">
      <w:pPr>
        <w:pStyle w:val="SemEspaamento"/>
        <w:spacing w:before="120" w:after="120"/>
        <w:jc w:val="center"/>
        <w:rPr>
          <w:rFonts w:ascii="Times New Roman" w:hAnsi="Times New Roman" w:cs="Times New Roman"/>
          <w:sz w:val="20"/>
          <w:szCs w:val="20"/>
        </w:rPr>
      </w:pPr>
      <w:r>
        <w:rPr>
          <w:rFonts w:ascii="Times New Roman" w:hAnsi="Times New Roman" w:cs="Times New Roman"/>
          <w:noProof/>
          <w:sz w:val="20"/>
          <w:szCs w:val="20"/>
          <w:lang w:eastAsia="pt-BR"/>
        </w:rPr>
        <w:drawing>
          <wp:inline distT="0" distB="0" distL="0" distR="0" wp14:anchorId="3B9038D4" wp14:editId="26E0E39A">
            <wp:extent cx="4963795" cy="1567513"/>
            <wp:effectExtent l="0" t="0" r="8255" b="0"/>
            <wp:docPr id="11" name="Imagem 11" descr="C:\Users\Renner\Desktop\tabel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nner\Desktop\tabela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7462" cy="1584461"/>
                    </a:xfrm>
                    <a:prstGeom prst="rect">
                      <a:avLst/>
                    </a:prstGeom>
                    <a:noFill/>
                    <a:ln>
                      <a:noFill/>
                    </a:ln>
                  </pic:spPr>
                </pic:pic>
              </a:graphicData>
            </a:graphic>
          </wp:inline>
        </w:drawing>
      </w:r>
    </w:p>
    <w:p w:rsidR="00EE75A3" w:rsidRDefault="00EE75A3" w:rsidP="00DC6549">
      <w:pPr>
        <w:pStyle w:val="SemEspaamento"/>
        <w:spacing w:before="120" w:after="120"/>
        <w:jc w:val="center"/>
        <w:rPr>
          <w:rFonts w:ascii="Times New Roman" w:hAnsi="Times New Roman" w:cs="Times New Roman"/>
          <w:sz w:val="20"/>
          <w:szCs w:val="20"/>
        </w:rPr>
      </w:pPr>
      <w:r>
        <w:rPr>
          <w:rFonts w:ascii="Times New Roman" w:hAnsi="Times New Roman" w:cs="Times New Roman"/>
          <w:sz w:val="20"/>
          <w:szCs w:val="20"/>
        </w:rPr>
        <w:t>Fonte: Autores, 2018.</w:t>
      </w:r>
    </w:p>
    <w:p w:rsidR="005D03DA" w:rsidRDefault="00750CA9" w:rsidP="008D75E6">
      <w:pPr>
        <w:pStyle w:val="SemEspaamento"/>
        <w:spacing w:before="120" w:after="120" w:line="360" w:lineRule="auto"/>
        <w:ind w:firstLine="708"/>
        <w:jc w:val="both"/>
        <w:rPr>
          <w:rFonts w:ascii="Times New Roman" w:hAnsi="Times New Roman" w:cs="Times New Roman"/>
          <w:b/>
          <w:noProof/>
          <w:sz w:val="20"/>
          <w:szCs w:val="20"/>
          <w:lang w:eastAsia="pt-BR"/>
        </w:rPr>
      </w:pPr>
      <w:r>
        <w:rPr>
          <w:rFonts w:ascii="Times New Roman" w:hAnsi="Times New Roman" w:cs="Times New Roman"/>
          <w:sz w:val="24"/>
          <w:szCs w:val="24"/>
        </w:rPr>
        <w:t>Deste modo, ao verificar a figura 2 percebe-se que a maioria dos entrevistados deste trabalho está no grupo de risco, visto que a soma dos percentuais das classe</w:t>
      </w:r>
      <w:r w:rsidR="00EE75A3" w:rsidRPr="00E6671D">
        <w:rPr>
          <w:rFonts w:ascii="Times New Roman" w:hAnsi="Times New Roman" w:cs="Times New Roman"/>
          <w:sz w:val="24"/>
          <w:szCs w:val="24"/>
        </w:rPr>
        <w:t>s</w:t>
      </w:r>
      <w:r>
        <w:rPr>
          <w:rFonts w:ascii="Times New Roman" w:hAnsi="Times New Roman" w:cs="Times New Roman"/>
          <w:sz w:val="24"/>
          <w:szCs w:val="24"/>
        </w:rPr>
        <w:t xml:space="preserve"> que englobam os</w:t>
      </w:r>
      <w:r w:rsidR="00EE75A3">
        <w:rPr>
          <w:rFonts w:ascii="Times New Roman" w:hAnsi="Times New Roman" w:cs="Times New Roman"/>
          <w:sz w:val="24"/>
          <w:szCs w:val="24"/>
        </w:rPr>
        <w:t xml:space="preserve"> jovens e idosos é igual a 48%.</w:t>
      </w: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D04B0D" w:rsidRDefault="00D04B0D" w:rsidP="00EE75A3">
      <w:pPr>
        <w:pStyle w:val="SemEspaamento"/>
        <w:jc w:val="center"/>
        <w:rPr>
          <w:rFonts w:ascii="Times New Roman" w:hAnsi="Times New Roman" w:cs="Times New Roman"/>
          <w:b/>
          <w:noProof/>
          <w:sz w:val="20"/>
          <w:szCs w:val="20"/>
          <w:lang w:eastAsia="pt-BR"/>
        </w:rPr>
      </w:pPr>
    </w:p>
    <w:p w:rsidR="00750CA9" w:rsidRPr="00EE75A3" w:rsidRDefault="00750CA9" w:rsidP="00EE75A3">
      <w:pPr>
        <w:pStyle w:val="SemEspaamento"/>
        <w:jc w:val="center"/>
        <w:rPr>
          <w:rFonts w:ascii="Times New Roman" w:hAnsi="Times New Roman" w:cs="Times New Roman"/>
          <w:sz w:val="20"/>
          <w:szCs w:val="20"/>
        </w:rPr>
      </w:pPr>
      <w:r w:rsidRPr="00EE75A3">
        <w:rPr>
          <w:rFonts w:ascii="Times New Roman" w:hAnsi="Times New Roman" w:cs="Times New Roman"/>
          <w:b/>
          <w:noProof/>
          <w:sz w:val="20"/>
          <w:szCs w:val="20"/>
          <w:lang w:eastAsia="pt-BR"/>
        </w:rPr>
        <w:lastRenderedPageBreak/>
        <w:t>Figura 2 –</w:t>
      </w:r>
      <w:r w:rsidRPr="00EE75A3">
        <w:rPr>
          <w:rFonts w:ascii="Times New Roman" w:hAnsi="Times New Roman" w:cs="Times New Roman"/>
          <w:noProof/>
          <w:sz w:val="20"/>
          <w:szCs w:val="20"/>
          <w:lang w:eastAsia="pt-BR"/>
        </w:rPr>
        <w:t xml:space="preserve"> Percentual de Classe de Idades</w:t>
      </w:r>
    </w:p>
    <w:p w:rsidR="00750CA9" w:rsidRPr="00EE75A3" w:rsidRDefault="00750CA9" w:rsidP="00EE75A3">
      <w:pPr>
        <w:pStyle w:val="SemEspaamento"/>
        <w:jc w:val="center"/>
        <w:rPr>
          <w:rFonts w:ascii="Times New Roman" w:hAnsi="Times New Roman" w:cs="Times New Roman"/>
          <w:sz w:val="20"/>
          <w:szCs w:val="20"/>
        </w:rPr>
      </w:pPr>
      <w:r w:rsidRPr="00EE75A3">
        <w:rPr>
          <w:rFonts w:ascii="Times New Roman" w:hAnsi="Times New Roman" w:cs="Times New Roman"/>
          <w:noProof/>
          <w:sz w:val="20"/>
          <w:szCs w:val="20"/>
          <w:lang w:eastAsia="pt-BR"/>
        </w:rPr>
        <w:drawing>
          <wp:inline distT="0" distB="0" distL="0" distR="0" wp14:anchorId="1C884278" wp14:editId="326ABFEC">
            <wp:extent cx="5163140" cy="3143250"/>
            <wp:effectExtent l="0" t="0" r="0" b="0"/>
            <wp:docPr id="18" name="Imagem 18" descr="C:\Users\Renner\Desktop\grafico 1 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nner\Desktop\grafico 1 or..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2060" cy="3154768"/>
                    </a:xfrm>
                    <a:prstGeom prst="rect">
                      <a:avLst/>
                    </a:prstGeom>
                    <a:noFill/>
                    <a:ln>
                      <a:noFill/>
                    </a:ln>
                  </pic:spPr>
                </pic:pic>
              </a:graphicData>
            </a:graphic>
          </wp:inline>
        </w:drawing>
      </w:r>
    </w:p>
    <w:p w:rsidR="00EE75A3" w:rsidRPr="00EE75A3" w:rsidRDefault="00EE75A3" w:rsidP="00EE75A3">
      <w:pPr>
        <w:pStyle w:val="SemEspaamento"/>
        <w:jc w:val="center"/>
        <w:rPr>
          <w:rFonts w:ascii="Times New Roman" w:hAnsi="Times New Roman" w:cs="Times New Roman"/>
          <w:sz w:val="20"/>
          <w:szCs w:val="20"/>
        </w:rPr>
      </w:pPr>
      <w:r w:rsidRPr="00EE75A3">
        <w:rPr>
          <w:rFonts w:ascii="Times New Roman" w:hAnsi="Times New Roman" w:cs="Times New Roman"/>
          <w:sz w:val="20"/>
          <w:szCs w:val="20"/>
        </w:rPr>
        <w:t>Fonte: autores, 2018.</w:t>
      </w:r>
    </w:p>
    <w:p w:rsidR="00750CA9" w:rsidRPr="008C2D6D" w:rsidRDefault="00750CA9" w:rsidP="00DC6549">
      <w:pPr>
        <w:pStyle w:val="SemEspaamento"/>
        <w:spacing w:before="120" w:after="120"/>
        <w:rPr>
          <w:rFonts w:ascii="Times New Roman" w:hAnsi="Times New Roman" w:cs="Times New Roman"/>
          <w:noProof/>
          <w:sz w:val="20"/>
          <w:szCs w:val="20"/>
          <w:lang w:eastAsia="pt-BR"/>
        </w:rPr>
      </w:pPr>
      <w:r>
        <w:rPr>
          <w:rFonts w:ascii="Times New Roman" w:hAnsi="Times New Roman" w:cs="Times New Roman"/>
          <w:sz w:val="24"/>
          <w:szCs w:val="24"/>
        </w:rPr>
        <w:t xml:space="preserve">                   </w:t>
      </w:r>
    </w:p>
    <w:p w:rsidR="00750CA9" w:rsidRPr="008F4788" w:rsidRDefault="00CD4A16" w:rsidP="00DC6549">
      <w:pPr>
        <w:pStyle w:val="Subttulo"/>
        <w:spacing w:before="120" w:after="120" w:line="360" w:lineRule="auto"/>
        <w:jc w:val="left"/>
        <w:rPr>
          <w:rFonts w:ascii="Times New Roman" w:hAnsi="Times New Roman"/>
        </w:rPr>
      </w:pPr>
      <w:bookmarkStart w:id="25" w:name="_Toc527710727"/>
      <w:bookmarkStart w:id="26" w:name="_Toc531613910"/>
      <w:bookmarkStart w:id="27" w:name="_Toc531614441"/>
      <w:bookmarkStart w:id="28" w:name="_Toc531614702"/>
      <w:bookmarkStart w:id="29" w:name="_Toc531615242"/>
      <w:bookmarkStart w:id="30" w:name="_Toc531703607"/>
      <w:r>
        <w:rPr>
          <w:rFonts w:ascii="Times New Roman" w:hAnsi="Times New Roman"/>
        </w:rPr>
        <w:t>4</w:t>
      </w:r>
      <w:r w:rsidR="00750CA9" w:rsidRPr="008F4788">
        <w:rPr>
          <w:rFonts w:ascii="Times New Roman" w:hAnsi="Times New Roman"/>
        </w:rPr>
        <w:t>.1.2. Grau de escolaridade</w:t>
      </w:r>
      <w:bookmarkEnd w:id="25"/>
      <w:bookmarkEnd w:id="26"/>
      <w:bookmarkEnd w:id="27"/>
      <w:bookmarkEnd w:id="28"/>
      <w:bookmarkEnd w:id="29"/>
      <w:bookmarkEnd w:id="30"/>
      <w:r w:rsidR="00750CA9" w:rsidRPr="008F4788">
        <w:rPr>
          <w:rFonts w:ascii="Times New Roman" w:hAnsi="Times New Roman"/>
        </w:rPr>
        <w:t xml:space="preserve"> </w:t>
      </w:r>
    </w:p>
    <w:p w:rsidR="008D75E6" w:rsidRDefault="00750CA9" w:rsidP="00CD4A16">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Em relação ao grau de escolaridade (figura 3), 56% dos entrevistados não chegaram nem ao ensino médio, e apenas 20% conseguiram concluí-lo.</w:t>
      </w:r>
    </w:p>
    <w:p w:rsidR="008D75E6" w:rsidRDefault="00750CA9" w:rsidP="00CD4A16">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F54C4">
        <w:rPr>
          <w:rFonts w:ascii="Times New Roman" w:hAnsi="Times New Roman" w:cs="Times New Roman"/>
          <w:sz w:val="24"/>
          <w:szCs w:val="24"/>
        </w:rPr>
        <w:t>Esses</w:t>
      </w:r>
      <w:r>
        <w:rPr>
          <w:rFonts w:ascii="Times New Roman" w:hAnsi="Times New Roman" w:cs="Times New Roman"/>
          <w:sz w:val="24"/>
          <w:szCs w:val="24"/>
        </w:rPr>
        <w:t xml:space="preserve"> resultados são semelhantes aos de Cajaiba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(2015), Nogueira &amp; Dantas (2013) e Bedor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(2009), onde a maioria dos agricultores tem baixa escolaridade. </w:t>
      </w:r>
    </w:p>
    <w:p w:rsidR="00EE75A3" w:rsidRDefault="00750CA9" w:rsidP="00CD4A16">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Em consonância com o </w:t>
      </w:r>
      <w:r w:rsidRPr="00C31963">
        <w:rPr>
          <w:rFonts w:ascii="Times New Roman" w:hAnsi="Times New Roman" w:cs="Times New Roman"/>
          <w:sz w:val="24"/>
          <w:szCs w:val="24"/>
        </w:rPr>
        <w:t>último autor</w:t>
      </w:r>
      <w:r>
        <w:rPr>
          <w:rFonts w:ascii="Times New Roman" w:hAnsi="Times New Roman" w:cs="Times New Roman"/>
          <w:sz w:val="24"/>
          <w:szCs w:val="24"/>
        </w:rPr>
        <w:t>,</w:t>
      </w:r>
      <w:r w:rsidRPr="00C31963">
        <w:rPr>
          <w:rFonts w:ascii="Times New Roman" w:hAnsi="Times New Roman" w:cs="Times New Roman"/>
          <w:sz w:val="24"/>
          <w:szCs w:val="24"/>
        </w:rPr>
        <w:t xml:space="preserve"> </w:t>
      </w:r>
      <w:r>
        <w:rPr>
          <w:rFonts w:ascii="Times New Roman" w:hAnsi="Times New Roman" w:cs="Times New Roman"/>
          <w:sz w:val="24"/>
          <w:szCs w:val="24"/>
        </w:rPr>
        <w:t>percebe-se</w:t>
      </w:r>
      <w:r w:rsidRPr="00C31963">
        <w:rPr>
          <w:rFonts w:ascii="Times New Roman" w:hAnsi="Times New Roman" w:cs="Times New Roman"/>
          <w:sz w:val="24"/>
          <w:szCs w:val="24"/>
        </w:rPr>
        <w:t xml:space="preserve"> vulnerabilidade maior para </w:t>
      </w:r>
      <w:r>
        <w:rPr>
          <w:rFonts w:ascii="Times New Roman" w:hAnsi="Times New Roman" w:cs="Times New Roman"/>
          <w:sz w:val="24"/>
          <w:szCs w:val="24"/>
        </w:rPr>
        <w:t>o grupo com baixa escolaridade,</w:t>
      </w:r>
      <w:r w:rsidRPr="00C31963">
        <w:rPr>
          <w:rFonts w:ascii="Times New Roman" w:hAnsi="Times New Roman" w:cs="Times New Roman"/>
          <w:sz w:val="24"/>
          <w:szCs w:val="24"/>
        </w:rPr>
        <w:t xml:space="preserve"> pelo fato de implicar na dificuldade de leit</w:t>
      </w:r>
      <w:r>
        <w:rPr>
          <w:rFonts w:ascii="Times New Roman" w:hAnsi="Times New Roman" w:cs="Times New Roman"/>
          <w:sz w:val="24"/>
          <w:szCs w:val="24"/>
        </w:rPr>
        <w:t>ura dos rótulos dos agrotóxicos – principalmente devido à linguagem utilizada para informar as características dos produtos e seu manuseio – aumentando, assim, os riscos à saúde e ao meio ambiente.</w:t>
      </w:r>
    </w:p>
    <w:p w:rsidR="00750CA9" w:rsidRDefault="00750CA9" w:rsidP="002F54C4">
      <w:pPr>
        <w:pStyle w:val="SemEspaamento"/>
        <w:spacing w:before="120" w:after="120"/>
        <w:jc w:val="center"/>
        <w:rPr>
          <w:rFonts w:ascii="Times New Roman" w:hAnsi="Times New Roman" w:cs="Times New Roman"/>
          <w:sz w:val="24"/>
          <w:szCs w:val="24"/>
        </w:rPr>
      </w:pPr>
      <w:r>
        <w:rPr>
          <w:rFonts w:ascii="Times New Roman" w:hAnsi="Times New Roman"/>
          <w:sz w:val="20"/>
          <w:szCs w:val="20"/>
        </w:rPr>
        <w:lastRenderedPageBreak/>
        <w:t>Figura 3-</w:t>
      </w:r>
      <w:r>
        <w:rPr>
          <w:rFonts w:ascii="Times New Roman" w:hAnsi="Times New Roman"/>
          <w:b/>
          <w:sz w:val="20"/>
          <w:szCs w:val="20"/>
        </w:rPr>
        <w:t xml:space="preserve"> Grau de escolaridade dos entrevistados</w:t>
      </w:r>
      <w:r>
        <w:rPr>
          <w:rFonts w:ascii="Times New Roman" w:hAnsi="Times New Roman" w:cs="Times New Roman"/>
          <w:noProof/>
          <w:sz w:val="24"/>
          <w:szCs w:val="24"/>
          <w:lang w:eastAsia="pt-BR"/>
        </w:rPr>
        <w:drawing>
          <wp:inline distT="0" distB="0" distL="0" distR="0" wp14:anchorId="4451A1C4" wp14:editId="0AB7BEAA">
            <wp:extent cx="4429125" cy="2877188"/>
            <wp:effectExtent l="0" t="0" r="0" b="0"/>
            <wp:docPr id="19" name="Imagem 19" descr="C:\Users\Renner\Desktop\grafic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nner\Desktop\grafico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4602" cy="2893738"/>
                    </a:xfrm>
                    <a:prstGeom prst="rect">
                      <a:avLst/>
                    </a:prstGeom>
                    <a:noFill/>
                    <a:ln>
                      <a:noFill/>
                    </a:ln>
                  </pic:spPr>
                </pic:pic>
              </a:graphicData>
            </a:graphic>
          </wp:inline>
        </w:drawing>
      </w:r>
      <w:bookmarkStart w:id="31" w:name="_Toc527710728"/>
    </w:p>
    <w:p w:rsidR="00750CA9" w:rsidRDefault="00EE75A3" w:rsidP="00EE75A3">
      <w:pPr>
        <w:pStyle w:val="SemEspaamento"/>
        <w:jc w:val="center"/>
        <w:rPr>
          <w:rFonts w:ascii="Times New Roman" w:hAnsi="Times New Roman" w:cs="Times New Roman"/>
          <w:sz w:val="24"/>
          <w:szCs w:val="24"/>
        </w:rPr>
      </w:pPr>
      <w:r>
        <w:rPr>
          <w:rFonts w:ascii="Times New Roman" w:hAnsi="Times New Roman" w:cs="Times New Roman"/>
          <w:sz w:val="24"/>
          <w:szCs w:val="24"/>
        </w:rPr>
        <w:t>Fonte: autore</w:t>
      </w:r>
      <w:r w:rsidRPr="00E6671D">
        <w:rPr>
          <w:rFonts w:ascii="Times New Roman" w:hAnsi="Times New Roman" w:cs="Times New Roman"/>
          <w:sz w:val="24"/>
          <w:szCs w:val="24"/>
        </w:rPr>
        <w:t>s</w:t>
      </w:r>
      <w:r>
        <w:rPr>
          <w:rFonts w:ascii="Times New Roman" w:hAnsi="Times New Roman" w:cs="Times New Roman"/>
          <w:sz w:val="24"/>
          <w:szCs w:val="24"/>
        </w:rPr>
        <w:t>, 2018.</w:t>
      </w:r>
    </w:p>
    <w:p w:rsidR="00EE75A3" w:rsidRPr="00EE75A3" w:rsidRDefault="00EE75A3" w:rsidP="00EE75A3">
      <w:pPr>
        <w:pStyle w:val="SemEspaamento"/>
        <w:jc w:val="center"/>
        <w:rPr>
          <w:rFonts w:ascii="Times New Roman" w:hAnsi="Times New Roman" w:cs="Times New Roman"/>
          <w:sz w:val="24"/>
          <w:szCs w:val="24"/>
        </w:rPr>
      </w:pPr>
    </w:p>
    <w:p w:rsidR="00750CA9" w:rsidRPr="00B60BFD" w:rsidRDefault="00CD4A16" w:rsidP="00DC6549">
      <w:pPr>
        <w:pStyle w:val="Ttulo"/>
        <w:spacing w:before="120" w:after="120" w:line="360" w:lineRule="auto"/>
        <w:jc w:val="left"/>
        <w:rPr>
          <w:rFonts w:ascii="Times New Roman" w:hAnsi="Times New Roman"/>
          <w:b w:val="0"/>
          <w:sz w:val="24"/>
          <w:szCs w:val="24"/>
        </w:rPr>
      </w:pPr>
      <w:bookmarkStart w:id="32" w:name="_Toc531613911"/>
      <w:bookmarkStart w:id="33" w:name="_Toc531614442"/>
      <w:bookmarkStart w:id="34" w:name="_Toc531614703"/>
      <w:bookmarkStart w:id="35" w:name="_Toc531615243"/>
      <w:bookmarkStart w:id="36" w:name="_Toc531703608"/>
      <w:r>
        <w:rPr>
          <w:rFonts w:ascii="Times New Roman" w:hAnsi="Times New Roman"/>
          <w:b w:val="0"/>
          <w:sz w:val="24"/>
          <w:szCs w:val="24"/>
        </w:rPr>
        <w:t>4</w:t>
      </w:r>
      <w:r w:rsidR="00750CA9" w:rsidRPr="008F4788">
        <w:rPr>
          <w:rFonts w:ascii="Times New Roman" w:hAnsi="Times New Roman"/>
          <w:b w:val="0"/>
          <w:sz w:val="24"/>
          <w:szCs w:val="24"/>
        </w:rPr>
        <w:t>.2. Caracterização da atividade agrícola</w:t>
      </w:r>
      <w:bookmarkEnd w:id="31"/>
      <w:bookmarkEnd w:id="32"/>
      <w:bookmarkEnd w:id="33"/>
      <w:bookmarkEnd w:id="34"/>
      <w:bookmarkEnd w:id="35"/>
      <w:bookmarkEnd w:id="36"/>
      <w:r w:rsidR="00750CA9" w:rsidRPr="008F4788">
        <w:rPr>
          <w:rFonts w:ascii="Times New Roman" w:hAnsi="Times New Roman"/>
          <w:b w:val="0"/>
          <w:sz w:val="24"/>
          <w:szCs w:val="24"/>
        </w:rPr>
        <w:t xml:space="preserve"> </w:t>
      </w:r>
    </w:p>
    <w:p w:rsidR="00750CA9" w:rsidRDefault="00CD4A16" w:rsidP="00DC6549">
      <w:pPr>
        <w:pStyle w:val="Subttulo"/>
        <w:spacing w:before="120" w:after="120" w:line="360" w:lineRule="auto"/>
        <w:jc w:val="left"/>
        <w:rPr>
          <w:rFonts w:ascii="Times New Roman" w:hAnsi="Times New Roman"/>
        </w:rPr>
      </w:pPr>
      <w:bookmarkStart w:id="37" w:name="_Toc527710729"/>
      <w:bookmarkStart w:id="38" w:name="_Toc531613912"/>
      <w:bookmarkStart w:id="39" w:name="_Toc531614443"/>
      <w:bookmarkStart w:id="40" w:name="_Toc531614704"/>
      <w:bookmarkStart w:id="41" w:name="_Toc531615244"/>
      <w:bookmarkStart w:id="42" w:name="_Toc531703609"/>
      <w:r>
        <w:rPr>
          <w:rFonts w:ascii="Times New Roman" w:hAnsi="Times New Roman"/>
        </w:rPr>
        <w:t>4</w:t>
      </w:r>
      <w:r w:rsidR="00750CA9" w:rsidRPr="008F4788">
        <w:rPr>
          <w:rFonts w:ascii="Times New Roman" w:hAnsi="Times New Roman"/>
        </w:rPr>
        <w:t>.2.1. Tipo de cultura</w:t>
      </w:r>
      <w:bookmarkEnd w:id="37"/>
      <w:bookmarkEnd w:id="38"/>
      <w:bookmarkEnd w:id="39"/>
      <w:bookmarkEnd w:id="40"/>
      <w:bookmarkEnd w:id="41"/>
      <w:bookmarkEnd w:id="42"/>
      <w:r w:rsidR="00750CA9" w:rsidRPr="008F4788">
        <w:rPr>
          <w:rFonts w:ascii="Times New Roman" w:hAnsi="Times New Roman"/>
        </w:rPr>
        <w:t xml:space="preserve"> </w:t>
      </w:r>
    </w:p>
    <w:p w:rsidR="00750CA9" w:rsidRPr="001E4469" w:rsidRDefault="00750CA9" w:rsidP="00EE75A3">
      <w:pPr>
        <w:spacing w:before="120" w:after="120" w:line="360" w:lineRule="auto"/>
        <w:jc w:val="both"/>
        <w:rPr>
          <w:rFonts w:ascii="Times New Roman" w:hAnsi="Times New Roman" w:cs="Times New Roman"/>
          <w:sz w:val="24"/>
          <w:szCs w:val="24"/>
        </w:rPr>
      </w:pPr>
      <w:bookmarkStart w:id="43" w:name="_Toc531613913"/>
      <w:bookmarkStart w:id="44" w:name="_Toc531614444"/>
      <w:r w:rsidRPr="001E4469">
        <w:rPr>
          <w:rFonts w:ascii="Times New Roman" w:hAnsi="Times New Roman" w:cs="Times New Roman"/>
          <w:sz w:val="24"/>
          <w:szCs w:val="24"/>
        </w:rPr>
        <w:t xml:space="preserve">Todos os 25 (100%) agricultores relataram possuir plantações de feijão e outros 18 (72%) trabalhadores relataram possuir plantações de milho (figura 4), os grandes destaques da agricultura da região.  As culturas de feijão e milho, assim como em trabalho realizado por Cajaiba </w:t>
      </w:r>
      <w:r w:rsidR="00141B60" w:rsidRPr="00141B60">
        <w:rPr>
          <w:rFonts w:ascii="Times New Roman" w:hAnsi="Times New Roman" w:cs="Times New Roman"/>
          <w:i/>
          <w:sz w:val="24"/>
          <w:szCs w:val="24"/>
        </w:rPr>
        <w:t>et al.</w:t>
      </w:r>
      <w:r w:rsidRPr="001E4469">
        <w:rPr>
          <w:rFonts w:ascii="Times New Roman" w:hAnsi="Times New Roman" w:cs="Times New Roman"/>
          <w:sz w:val="24"/>
          <w:szCs w:val="24"/>
        </w:rPr>
        <w:t>, (2015), ficam entre as culturas que mais fazem o uso de agrotóxicos.</w:t>
      </w:r>
      <w:bookmarkEnd w:id="43"/>
      <w:bookmarkEnd w:id="44"/>
    </w:p>
    <w:p w:rsidR="00750CA9" w:rsidRPr="00EE75A3" w:rsidRDefault="00750CA9" w:rsidP="00EE75A3">
      <w:pPr>
        <w:pStyle w:val="SemEspaamento"/>
        <w:jc w:val="center"/>
        <w:rPr>
          <w:rFonts w:ascii="Times New Roman" w:hAnsi="Times New Roman" w:cs="Times New Roman"/>
          <w:sz w:val="20"/>
          <w:szCs w:val="20"/>
        </w:rPr>
      </w:pPr>
      <w:r w:rsidRPr="00EE75A3">
        <w:rPr>
          <w:rFonts w:ascii="Times New Roman" w:hAnsi="Times New Roman" w:cs="Times New Roman"/>
          <w:b/>
          <w:sz w:val="20"/>
          <w:szCs w:val="20"/>
        </w:rPr>
        <w:t>Figura 4</w:t>
      </w:r>
      <w:r w:rsidRPr="00EE75A3">
        <w:rPr>
          <w:rFonts w:ascii="Times New Roman" w:hAnsi="Times New Roman" w:cs="Times New Roman"/>
          <w:sz w:val="20"/>
          <w:szCs w:val="20"/>
        </w:rPr>
        <w:t>- tipo de cultura mais comum</w:t>
      </w:r>
    </w:p>
    <w:p w:rsidR="00EE75A3" w:rsidRPr="00EE75A3" w:rsidRDefault="00750CA9" w:rsidP="00EE75A3">
      <w:pPr>
        <w:pStyle w:val="Subttulo"/>
        <w:spacing w:after="0" w:line="240" w:lineRule="auto"/>
        <w:rPr>
          <w:rFonts w:ascii="Times New Roman" w:hAnsi="Times New Roman"/>
          <w:sz w:val="20"/>
          <w:szCs w:val="20"/>
        </w:rPr>
      </w:pPr>
      <w:bookmarkStart w:id="45" w:name="_Toc527710730"/>
      <w:r w:rsidRPr="00EE75A3">
        <w:rPr>
          <w:rFonts w:ascii="Times New Roman" w:hAnsi="Times New Roman"/>
          <w:noProof/>
          <w:sz w:val="20"/>
          <w:szCs w:val="20"/>
          <w:lang w:eastAsia="pt-BR"/>
        </w:rPr>
        <w:drawing>
          <wp:inline distT="0" distB="0" distL="0" distR="0" wp14:anchorId="461A26CC" wp14:editId="744F2BEF">
            <wp:extent cx="4662516" cy="2889447"/>
            <wp:effectExtent l="0" t="0" r="5080" b="6350"/>
            <wp:docPr id="20" name="Imagem 20" descr="C:\Users\Renner\Desktop\grafic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nner\Desktop\grafico 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0775" cy="2913157"/>
                    </a:xfrm>
                    <a:prstGeom prst="rect">
                      <a:avLst/>
                    </a:prstGeom>
                    <a:noFill/>
                    <a:ln>
                      <a:noFill/>
                    </a:ln>
                  </pic:spPr>
                </pic:pic>
              </a:graphicData>
            </a:graphic>
          </wp:inline>
        </w:drawing>
      </w:r>
    </w:p>
    <w:p w:rsidR="00EE75A3" w:rsidRPr="00EE75A3" w:rsidRDefault="00EE75A3" w:rsidP="00EE75A3">
      <w:pPr>
        <w:spacing w:after="0" w:line="240" w:lineRule="auto"/>
        <w:jc w:val="center"/>
        <w:rPr>
          <w:rFonts w:ascii="Times New Roman" w:hAnsi="Times New Roman" w:cs="Times New Roman"/>
          <w:sz w:val="20"/>
          <w:szCs w:val="20"/>
        </w:rPr>
      </w:pPr>
      <w:r w:rsidRPr="00EE75A3">
        <w:rPr>
          <w:rFonts w:ascii="Times New Roman" w:hAnsi="Times New Roman" w:cs="Times New Roman"/>
          <w:sz w:val="20"/>
          <w:szCs w:val="20"/>
        </w:rPr>
        <w:t>Fonte: autores, 2018.</w:t>
      </w:r>
    </w:p>
    <w:p w:rsidR="00750CA9" w:rsidRPr="008F4788" w:rsidRDefault="00CD4A16" w:rsidP="00DC6549">
      <w:pPr>
        <w:pStyle w:val="Subttulo"/>
        <w:spacing w:before="120" w:after="120" w:line="360" w:lineRule="auto"/>
        <w:jc w:val="left"/>
        <w:rPr>
          <w:rFonts w:ascii="Times New Roman" w:hAnsi="Times New Roman"/>
        </w:rPr>
      </w:pPr>
      <w:bookmarkStart w:id="46" w:name="_Toc531613914"/>
      <w:bookmarkStart w:id="47" w:name="_Toc531614445"/>
      <w:bookmarkStart w:id="48" w:name="_Toc531614705"/>
      <w:bookmarkStart w:id="49" w:name="_Toc531615245"/>
      <w:bookmarkStart w:id="50" w:name="_Toc531703610"/>
      <w:r>
        <w:rPr>
          <w:rFonts w:ascii="Times New Roman" w:hAnsi="Times New Roman"/>
        </w:rPr>
        <w:lastRenderedPageBreak/>
        <w:t>4</w:t>
      </w:r>
      <w:r w:rsidR="00750CA9" w:rsidRPr="008F4788">
        <w:rPr>
          <w:rFonts w:ascii="Times New Roman" w:hAnsi="Times New Roman"/>
        </w:rPr>
        <w:t>.2.2. Utilização de defensivos agrícolas</w:t>
      </w:r>
      <w:bookmarkEnd w:id="45"/>
      <w:bookmarkEnd w:id="46"/>
      <w:bookmarkEnd w:id="47"/>
      <w:bookmarkEnd w:id="48"/>
      <w:bookmarkEnd w:id="49"/>
      <w:bookmarkEnd w:id="50"/>
      <w:r w:rsidR="00750CA9" w:rsidRPr="008F4788">
        <w:rPr>
          <w:rFonts w:ascii="Times New Roman" w:hAnsi="Times New Roman"/>
        </w:rPr>
        <w:t xml:space="preserve"> </w:t>
      </w:r>
    </w:p>
    <w:p w:rsidR="00EE75A3" w:rsidRDefault="00750CA9" w:rsidP="00CD4A16">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72%</w:t>
      </w:r>
      <w:r w:rsidRPr="001D752D">
        <w:rPr>
          <w:rFonts w:ascii="Times New Roman" w:hAnsi="Times New Roman" w:cs="Times New Roman"/>
          <w:sz w:val="24"/>
          <w:szCs w:val="24"/>
        </w:rPr>
        <w:t xml:space="preserve"> </w:t>
      </w:r>
      <w:r w:rsidR="00CD4A16">
        <w:rPr>
          <w:rFonts w:ascii="Times New Roman" w:hAnsi="Times New Roman" w:cs="Times New Roman"/>
          <w:sz w:val="24"/>
          <w:szCs w:val="24"/>
        </w:rPr>
        <w:t xml:space="preserve">dos entrevistados </w:t>
      </w:r>
      <w:r w:rsidRPr="001D752D">
        <w:rPr>
          <w:rFonts w:ascii="Times New Roman" w:hAnsi="Times New Roman" w:cs="Times New Roman"/>
          <w:sz w:val="24"/>
          <w:szCs w:val="24"/>
        </w:rPr>
        <w:t xml:space="preserve">relataram </w:t>
      </w:r>
      <w:r>
        <w:rPr>
          <w:rFonts w:ascii="Times New Roman" w:hAnsi="Times New Roman" w:cs="Times New Roman"/>
          <w:sz w:val="24"/>
          <w:szCs w:val="24"/>
        </w:rPr>
        <w:t xml:space="preserve">o uso </w:t>
      </w:r>
      <w:r w:rsidRPr="001D752D">
        <w:rPr>
          <w:rFonts w:ascii="Times New Roman" w:hAnsi="Times New Roman" w:cs="Times New Roman"/>
          <w:sz w:val="24"/>
          <w:szCs w:val="24"/>
        </w:rPr>
        <w:t>de uma ou mais espéci</w:t>
      </w:r>
      <w:r w:rsidR="00CD4A16">
        <w:rPr>
          <w:rFonts w:ascii="Times New Roman" w:hAnsi="Times New Roman" w:cs="Times New Roman"/>
          <w:sz w:val="24"/>
          <w:szCs w:val="24"/>
        </w:rPr>
        <w:t>es</w:t>
      </w:r>
      <w:r w:rsidRPr="001D752D">
        <w:rPr>
          <w:rFonts w:ascii="Times New Roman" w:hAnsi="Times New Roman" w:cs="Times New Roman"/>
          <w:sz w:val="24"/>
          <w:szCs w:val="24"/>
        </w:rPr>
        <w:t xml:space="preserve"> de </w:t>
      </w:r>
      <w:r>
        <w:rPr>
          <w:rFonts w:ascii="Times New Roman" w:hAnsi="Times New Roman" w:cs="Times New Roman"/>
          <w:sz w:val="24"/>
          <w:szCs w:val="24"/>
        </w:rPr>
        <w:t>defensivos agrícolas (figura 5)</w:t>
      </w:r>
      <w:r w:rsidRPr="001D752D">
        <w:rPr>
          <w:rFonts w:ascii="Times New Roman" w:hAnsi="Times New Roman" w:cs="Times New Roman"/>
          <w:sz w:val="24"/>
          <w:szCs w:val="24"/>
        </w:rPr>
        <w:t>.</w:t>
      </w:r>
      <w:r>
        <w:rPr>
          <w:rFonts w:ascii="Times New Roman" w:hAnsi="Times New Roman" w:cs="Times New Roman"/>
          <w:sz w:val="24"/>
          <w:szCs w:val="24"/>
        </w:rPr>
        <w:t xml:space="preserve"> </w:t>
      </w:r>
      <w:r w:rsidRPr="001D752D">
        <w:rPr>
          <w:rFonts w:ascii="Times New Roman" w:hAnsi="Times New Roman" w:cs="Times New Roman"/>
          <w:sz w:val="24"/>
          <w:szCs w:val="24"/>
        </w:rPr>
        <w:t>Comparando a utilização de agrotóxicos com os dados sobre a faixa etária, os números corroboram com os apresentados por C</w:t>
      </w:r>
      <w:r>
        <w:rPr>
          <w:rFonts w:ascii="Times New Roman" w:hAnsi="Times New Roman" w:cs="Times New Roman"/>
          <w:sz w:val="24"/>
          <w:szCs w:val="24"/>
        </w:rPr>
        <w:t>ajaiba</w:t>
      </w:r>
      <w:r w:rsidRPr="001D752D">
        <w:rPr>
          <w:rFonts w:ascii="Times New Roman" w:hAnsi="Times New Roman" w:cs="Times New Roman"/>
          <w:sz w:val="24"/>
          <w:szCs w:val="24"/>
        </w:rPr>
        <w:t xml:space="preserve"> </w:t>
      </w:r>
      <w:r w:rsidR="00141B60" w:rsidRPr="00141B60">
        <w:rPr>
          <w:rFonts w:ascii="Times New Roman" w:hAnsi="Times New Roman" w:cs="Times New Roman"/>
          <w:i/>
          <w:sz w:val="24"/>
          <w:szCs w:val="24"/>
        </w:rPr>
        <w:t>et al.</w:t>
      </w:r>
      <w:r w:rsidRPr="001D752D">
        <w:rPr>
          <w:rFonts w:ascii="Times New Roman" w:hAnsi="Times New Roman" w:cs="Times New Roman"/>
          <w:sz w:val="24"/>
          <w:szCs w:val="24"/>
        </w:rPr>
        <w:t xml:space="preserve"> (2015) que demonstram o uso de agrotóxicos por pessoas de todas as idades, sob</w:t>
      </w:r>
      <w:r>
        <w:rPr>
          <w:rFonts w:ascii="Times New Roman" w:hAnsi="Times New Roman" w:cs="Times New Roman"/>
          <w:sz w:val="24"/>
          <w:szCs w:val="24"/>
        </w:rPr>
        <w:t>retudo na agricultura familiar.</w:t>
      </w:r>
    </w:p>
    <w:p w:rsidR="00750CA9" w:rsidRPr="00EE75A3" w:rsidRDefault="00750CA9" w:rsidP="00CD4A16">
      <w:pPr>
        <w:pStyle w:val="SemEspaamento"/>
        <w:jc w:val="center"/>
        <w:rPr>
          <w:rFonts w:ascii="Times New Roman" w:hAnsi="Times New Roman" w:cs="Times New Roman"/>
          <w:sz w:val="20"/>
          <w:szCs w:val="20"/>
        </w:rPr>
      </w:pPr>
      <w:r w:rsidRPr="00EE75A3">
        <w:rPr>
          <w:rFonts w:ascii="Times New Roman" w:hAnsi="Times New Roman" w:cs="Times New Roman"/>
          <w:b/>
          <w:sz w:val="20"/>
          <w:szCs w:val="20"/>
        </w:rPr>
        <w:t>Figura 5-</w:t>
      </w:r>
      <w:r w:rsidRPr="00EE75A3">
        <w:rPr>
          <w:rFonts w:ascii="Times New Roman" w:hAnsi="Times New Roman" w:cs="Times New Roman"/>
          <w:sz w:val="20"/>
          <w:szCs w:val="20"/>
        </w:rPr>
        <w:t xml:space="preserve"> utilização dos defensivos agrícolas</w:t>
      </w:r>
    </w:p>
    <w:p w:rsidR="00750CA9" w:rsidRPr="00EE75A3" w:rsidRDefault="00750CA9" w:rsidP="00EE75A3">
      <w:pPr>
        <w:pStyle w:val="SemEspaamento"/>
        <w:jc w:val="center"/>
        <w:rPr>
          <w:rFonts w:ascii="Times New Roman" w:hAnsi="Times New Roman" w:cs="Times New Roman"/>
          <w:sz w:val="20"/>
          <w:szCs w:val="20"/>
        </w:rPr>
      </w:pPr>
      <w:r w:rsidRPr="00EE75A3">
        <w:rPr>
          <w:rFonts w:ascii="Times New Roman" w:hAnsi="Times New Roman" w:cs="Times New Roman"/>
          <w:noProof/>
          <w:sz w:val="20"/>
          <w:szCs w:val="20"/>
          <w:lang w:eastAsia="pt-BR"/>
        </w:rPr>
        <w:drawing>
          <wp:inline distT="0" distB="0" distL="0" distR="0" wp14:anchorId="1C556923" wp14:editId="13AF1A31">
            <wp:extent cx="4066934" cy="2466975"/>
            <wp:effectExtent l="0" t="0" r="0" b="0"/>
            <wp:docPr id="26" name="Imagem 26" descr="C:\Users\Renner\Desktop\gráfico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enner\Desktop\gráfico 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5983" cy="2478530"/>
                    </a:xfrm>
                    <a:prstGeom prst="rect">
                      <a:avLst/>
                    </a:prstGeom>
                    <a:noFill/>
                    <a:ln>
                      <a:noFill/>
                    </a:ln>
                  </pic:spPr>
                </pic:pic>
              </a:graphicData>
            </a:graphic>
          </wp:inline>
        </w:drawing>
      </w:r>
    </w:p>
    <w:p w:rsidR="00EE75A3" w:rsidRPr="00EE75A3" w:rsidRDefault="00EE75A3" w:rsidP="00CD4A16">
      <w:pPr>
        <w:pStyle w:val="SemEspaamento"/>
        <w:jc w:val="center"/>
        <w:rPr>
          <w:rFonts w:ascii="Times New Roman" w:hAnsi="Times New Roman" w:cs="Times New Roman"/>
          <w:sz w:val="20"/>
          <w:szCs w:val="20"/>
        </w:rPr>
      </w:pPr>
      <w:r w:rsidRPr="00EE75A3">
        <w:rPr>
          <w:rFonts w:ascii="Times New Roman" w:hAnsi="Times New Roman" w:cs="Times New Roman"/>
          <w:sz w:val="20"/>
          <w:szCs w:val="20"/>
        </w:rPr>
        <w:t>Fonte: autores, 2018.</w:t>
      </w:r>
    </w:p>
    <w:p w:rsidR="00EE75A3" w:rsidRDefault="00750CA9" w:rsidP="00CD4A16">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Em relação ao tipo de agrotóxicos utilizados, 1 dos agricultores usa</w:t>
      </w:r>
      <w:r w:rsidRPr="001D752D">
        <w:rPr>
          <w:rFonts w:ascii="Times New Roman" w:hAnsi="Times New Roman" w:cs="Times New Roman"/>
          <w:sz w:val="24"/>
          <w:szCs w:val="24"/>
        </w:rPr>
        <w:t xml:space="preserve"> </w:t>
      </w:r>
      <w:r>
        <w:rPr>
          <w:rFonts w:ascii="Times New Roman" w:hAnsi="Times New Roman" w:cs="Times New Roman"/>
          <w:sz w:val="24"/>
          <w:szCs w:val="24"/>
        </w:rPr>
        <w:t xml:space="preserve">apenas herbicida e 17 usam inseticidas. Destes últimos, 2 </w:t>
      </w:r>
      <w:r w:rsidRPr="001D752D">
        <w:rPr>
          <w:rFonts w:ascii="Times New Roman" w:hAnsi="Times New Roman" w:cs="Times New Roman"/>
          <w:sz w:val="24"/>
          <w:szCs w:val="24"/>
        </w:rPr>
        <w:t xml:space="preserve">fazem o uso </w:t>
      </w:r>
      <w:r>
        <w:rPr>
          <w:rFonts w:ascii="Times New Roman" w:hAnsi="Times New Roman" w:cs="Times New Roman"/>
          <w:sz w:val="24"/>
          <w:szCs w:val="24"/>
        </w:rPr>
        <w:t xml:space="preserve">associado ao herbicida </w:t>
      </w:r>
      <w:r w:rsidRPr="001D752D">
        <w:rPr>
          <w:rFonts w:ascii="Times New Roman" w:hAnsi="Times New Roman" w:cs="Times New Roman"/>
          <w:sz w:val="24"/>
          <w:szCs w:val="24"/>
        </w:rPr>
        <w:t>e 2 fazem</w:t>
      </w:r>
      <w:r>
        <w:rPr>
          <w:rFonts w:ascii="Times New Roman" w:hAnsi="Times New Roman" w:cs="Times New Roman"/>
          <w:sz w:val="24"/>
          <w:szCs w:val="24"/>
        </w:rPr>
        <w:t xml:space="preserve"> o</w:t>
      </w:r>
      <w:r w:rsidRPr="001D752D">
        <w:rPr>
          <w:rFonts w:ascii="Times New Roman" w:hAnsi="Times New Roman" w:cs="Times New Roman"/>
          <w:sz w:val="24"/>
          <w:szCs w:val="24"/>
        </w:rPr>
        <w:t xml:space="preserve"> uso </w:t>
      </w:r>
      <w:r>
        <w:rPr>
          <w:rFonts w:ascii="Times New Roman" w:hAnsi="Times New Roman" w:cs="Times New Roman"/>
          <w:sz w:val="24"/>
          <w:szCs w:val="24"/>
        </w:rPr>
        <w:t>associado ao fungicida</w:t>
      </w:r>
      <w:r w:rsidRPr="001D752D">
        <w:rPr>
          <w:rFonts w:ascii="Times New Roman" w:hAnsi="Times New Roman" w:cs="Times New Roman"/>
          <w:sz w:val="24"/>
          <w:szCs w:val="24"/>
        </w:rPr>
        <w:t xml:space="preserve">. </w:t>
      </w:r>
      <w:r>
        <w:rPr>
          <w:rFonts w:ascii="Times New Roman" w:hAnsi="Times New Roman" w:cs="Times New Roman"/>
          <w:sz w:val="24"/>
          <w:szCs w:val="24"/>
        </w:rPr>
        <w:t xml:space="preserve">Esses dados estão em consonância com os de Viero,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(2016), </w:t>
      </w:r>
      <w:r w:rsidRPr="001D752D">
        <w:rPr>
          <w:rFonts w:ascii="Times New Roman" w:hAnsi="Times New Roman" w:cs="Times New Roman"/>
          <w:sz w:val="24"/>
          <w:szCs w:val="24"/>
        </w:rPr>
        <w:t>C</w:t>
      </w:r>
      <w:r>
        <w:rPr>
          <w:rFonts w:ascii="Times New Roman" w:hAnsi="Times New Roman" w:cs="Times New Roman"/>
          <w:sz w:val="24"/>
          <w:szCs w:val="24"/>
        </w:rPr>
        <w:t>ajaiba</w:t>
      </w:r>
      <w:r w:rsidRPr="001D752D">
        <w:rPr>
          <w:rFonts w:ascii="Times New Roman" w:hAnsi="Times New Roman" w:cs="Times New Roman"/>
          <w:sz w:val="24"/>
          <w:szCs w:val="24"/>
        </w:rPr>
        <w:t xml:space="preserve"> </w:t>
      </w:r>
      <w:r w:rsidR="00141B60" w:rsidRPr="00141B60">
        <w:rPr>
          <w:rFonts w:ascii="Times New Roman" w:hAnsi="Times New Roman" w:cs="Times New Roman"/>
          <w:i/>
          <w:sz w:val="24"/>
          <w:szCs w:val="24"/>
        </w:rPr>
        <w:t>et al.</w:t>
      </w:r>
      <w:r w:rsidRPr="001D752D">
        <w:rPr>
          <w:rFonts w:ascii="Times New Roman" w:hAnsi="Times New Roman" w:cs="Times New Roman"/>
          <w:sz w:val="24"/>
          <w:szCs w:val="24"/>
        </w:rPr>
        <w:t xml:space="preserve"> (2015)</w:t>
      </w:r>
      <w:r>
        <w:rPr>
          <w:rFonts w:ascii="Times New Roman" w:hAnsi="Times New Roman" w:cs="Times New Roman"/>
          <w:sz w:val="24"/>
          <w:szCs w:val="24"/>
        </w:rPr>
        <w:t xml:space="preserve"> e Bedor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(2009), que demonstraram o maior uso de inseticidas, herbicidas e fungi</w:t>
      </w:r>
      <w:r w:rsidR="006861F2">
        <w:rPr>
          <w:rFonts w:ascii="Times New Roman" w:hAnsi="Times New Roman" w:cs="Times New Roman"/>
          <w:sz w:val="24"/>
          <w:szCs w:val="24"/>
        </w:rPr>
        <w:t>ci</w:t>
      </w:r>
      <w:r>
        <w:rPr>
          <w:rFonts w:ascii="Times New Roman" w:hAnsi="Times New Roman" w:cs="Times New Roman"/>
          <w:sz w:val="24"/>
          <w:szCs w:val="24"/>
        </w:rPr>
        <w:t xml:space="preserve">das, </w:t>
      </w:r>
      <w:r w:rsidR="00B559DA">
        <w:rPr>
          <w:rFonts w:ascii="Times New Roman" w:hAnsi="Times New Roman" w:cs="Times New Roman"/>
          <w:sz w:val="24"/>
          <w:szCs w:val="24"/>
        </w:rPr>
        <w:t>nesta ordem</w:t>
      </w:r>
      <w:r w:rsidR="00EE75A3">
        <w:rPr>
          <w:rFonts w:ascii="Times New Roman" w:hAnsi="Times New Roman" w:cs="Times New Roman"/>
          <w:sz w:val="24"/>
          <w:szCs w:val="24"/>
        </w:rPr>
        <w:t>:</w:t>
      </w:r>
    </w:p>
    <w:p w:rsidR="00750CA9" w:rsidRPr="00EE75A3" w:rsidRDefault="00750CA9" w:rsidP="00EE75A3">
      <w:pPr>
        <w:pStyle w:val="SemEspaamento"/>
        <w:tabs>
          <w:tab w:val="left" w:pos="741"/>
        </w:tabs>
        <w:jc w:val="center"/>
        <w:rPr>
          <w:rFonts w:ascii="Times New Roman" w:hAnsi="Times New Roman" w:cs="Times New Roman"/>
          <w:sz w:val="20"/>
          <w:szCs w:val="20"/>
        </w:rPr>
      </w:pPr>
      <w:r w:rsidRPr="00EE75A3">
        <w:rPr>
          <w:rFonts w:ascii="Times New Roman" w:hAnsi="Times New Roman" w:cs="Times New Roman"/>
          <w:b/>
          <w:sz w:val="20"/>
          <w:szCs w:val="20"/>
        </w:rPr>
        <w:t>Figura 6 -</w:t>
      </w:r>
      <w:r w:rsidRPr="00EE75A3">
        <w:rPr>
          <w:rFonts w:ascii="Times New Roman" w:hAnsi="Times New Roman" w:cs="Times New Roman"/>
          <w:sz w:val="20"/>
          <w:szCs w:val="20"/>
        </w:rPr>
        <w:t xml:space="preserve"> tipos dos defensivos agrícolas</w:t>
      </w:r>
    </w:p>
    <w:p w:rsidR="00750CA9" w:rsidRPr="00EE75A3" w:rsidRDefault="00750CA9" w:rsidP="00EE75A3">
      <w:pPr>
        <w:pStyle w:val="SemEspaamento"/>
        <w:jc w:val="center"/>
        <w:rPr>
          <w:rFonts w:ascii="Times New Roman" w:hAnsi="Times New Roman" w:cs="Times New Roman"/>
          <w:sz w:val="20"/>
          <w:szCs w:val="20"/>
        </w:rPr>
      </w:pPr>
      <w:r w:rsidRPr="00EE75A3">
        <w:rPr>
          <w:rFonts w:ascii="Times New Roman" w:hAnsi="Times New Roman" w:cs="Times New Roman"/>
          <w:noProof/>
          <w:sz w:val="20"/>
          <w:szCs w:val="20"/>
          <w:lang w:eastAsia="pt-BR"/>
        </w:rPr>
        <w:drawing>
          <wp:inline distT="0" distB="0" distL="0" distR="0" wp14:anchorId="3F8C7F4D" wp14:editId="0BFC7AFA">
            <wp:extent cx="4420691" cy="2679480"/>
            <wp:effectExtent l="0" t="0" r="0" b="6985"/>
            <wp:docPr id="27" name="Imagem 27" descr="C:\Users\Renner\Desktop\grafico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nner\Desktop\grafico 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8559" cy="2702433"/>
                    </a:xfrm>
                    <a:prstGeom prst="rect">
                      <a:avLst/>
                    </a:prstGeom>
                    <a:noFill/>
                    <a:ln>
                      <a:noFill/>
                    </a:ln>
                  </pic:spPr>
                </pic:pic>
              </a:graphicData>
            </a:graphic>
          </wp:inline>
        </w:drawing>
      </w:r>
    </w:p>
    <w:p w:rsidR="00750CA9" w:rsidRDefault="00EE75A3" w:rsidP="00EE75A3">
      <w:pPr>
        <w:pStyle w:val="SemEspaamento"/>
        <w:jc w:val="center"/>
        <w:rPr>
          <w:rFonts w:ascii="Times New Roman" w:hAnsi="Times New Roman" w:cs="Times New Roman"/>
          <w:sz w:val="20"/>
          <w:szCs w:val="20"/>
        </w:rPr>
      </w:pPr>
      <w:r w:rsidRPr="00EE75A3">
        <w:rPr>
          <w:rFonts w:ascii="Times New Roman" w:hAnsi="Times New Roman" w:cs="Times New Roman"/>
          <w:sz w:val="20"/>
          <w:szCs w:val="20"/>
        </w:rPr>
        <w:t>Fonte: autores, 2018.</w:t>
      </w:r>
      <w:r w:rsidR="00750CA9">
        <w:rPr>
          <w:rFonts w:ascii="Times New Roman" w:hAnsi="Times New Roman" w:cs="Times New Roman"/>
          <w:sz w:val="24"/>
          <w:szCs w:val="24"/>
        </w:rPr>
        <w:tab/>
      </w:r>
    </w:p>
    <w:p w:rsidR="00750CA9" w:rsidRPr="00B60BFD" w:rsidRDefault="00750CA9" w:rsidP="00DC6549">
      <w:pPr>
        <w:pStyle w:val="SemEspaamento"/>
        <w:tabs>
          <w:tab w:val="left" w:pos="741"/>
        </w:tabs>
        <w:spacing w:before="120" w:after="120"/>
        <w:rPr>
          <w:rFonts w:ascii="Times New Roman" w:hAnsi="Times New Roman" w:cs="Times New Roman"/>
          <w:sz w:val="20"/>
          <w:szCs w:val="20"/>
        </w:rPr>
      </w:pPr>
    </w:p>
    <w:p w:rsidR="00750CA9" w:rsidRPr="008F4788" w:rsidRDefault="000D241F" w:rsidP="00DC6549">
      <w:pPr>
        <w:pStyle w:val="Subttulo"/>
        <w:spacing w:before="120" w:after="120" w:line="360" w:lineRule="auto"/>
        <w:jc w:val="left"/>
        <w:rPr>
          <w:rFonts w:ascii="Times New Roman" w:hAnsi="Times New Roman"/>
        </w:rPr>
      </w:pPr>
      <w:bookmarkStart w:id="51" w:name="_Toc527710731"/>
      <w:bookmarkStart w:id="52" w:name="_Toc531613915"/>
      <w:bookmarkStart w:id="53" w:name="_Toc531614446"/>
      <w:bookmarkStart w:id="54" w:name="_Toc531614706"/>
      <w:bookmarkStart w:id="55" w:name="_Toc531615246"/>
      <w:bookmarkStart w:id="56" w:name="_Toc531703611"/>
      <w:r>
        <w:rPr>
          <w:rFonts w:ascii="Times New Roman" w:hAnsi="Times New Roman"/>
        </w:rPr>
        <w:t>4</w:t>
      </w:r>
      <w:r w:rsidR="00750CA9" w:rsidRPr="008F4788">
        <w:rPr>
          <w:rFonts w:ascii="Times New Roman" w:hAnsi="Times New Roman"/>
        </w:rPr>
        <w:t xml:space="preserve">.2.3. Utilização de equipamentos de proteção individual </w:t>
      </w:r>
      <w:r w:rsidR="00B11D44">
        <w:rPr>
          <w:rFonts w:ascii="Times New Roman" w:hAnsi="Times New Roman"/>
        </w:rPr>
        <w:t>no preparo</w:t>
      </w:r>
      <w:r w:rsidR="00750CA9" w:rsidRPr="008F4788">
        <w:rPr>
          <w:rFonts w:ascii="Times New Roman" w:hAnsi="Times New Roman"/>
        </w:rPr>
        <w:t xml:space="preserve"> e aplicação.</w:t>
      </w:r>
      <w:bookmarkEnd w:id="51"/>
      <w:bookmarkEnd w:id="52"/>
      <w:bookmarkEnd w:id="53"/>
      <w:bookmarkEnd w:id="54"/>
      <w:bookmarkEnd w:id="55"/>
      <w:bookmarkEnd w:id="56"/>
    </w:p>
    <w:p w:rsidR="00750CA9" w:rsidRDefault="00750CA9" w:rsidP="00B11D44">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Do total de 18 agricultores que afirmaram usar defensivos agrícolas apenas 11%</w:t>
      </w:r>
      <w:r w:rsidRPr="008E3FE2">
        <w:rPr>
          <w:rFonts w:ascii="Times New Roman" w:hAnsi="Times New Roman" w:cs="Times New Roman"/>
          <w:sz w:val="24"/>
          <w:szCs w:val="24"/>
        </w:rPr>
        <w:t xml:space="preserve"> </w:t>
      </w:r>
      <w:r>
        <w:rPr>
          <w:rFonts w:ascii="Times New Roman" w:hAnsi="Times New Roman" w:cs="Times New Roman"/>
          <w:sz w:val="24"/>
          <w:szCs w:val="24"/>
        </w:rPr>
        <w:t xml:space="preserve">relataram </w:t>
      </w:r>
      <w:r w:rsidRPr="008E3FE2">
        <w:rPr>
          <w:rFonts w:ascii="Times New Roman" w:hAnsi="Times New Roman" w:cs="Times New Roman"/>
          <w:sz w:val="24"/>
          <w:szCs w:val="24"/>
        </w:rPr>
        <w:t xml:space="preserve">usar todos os equipamentos de proteção necessários </w:t>
      </w:r>
      <w:r>
        <w:rPr>
          <w:rFonts w:ascii="Times New Roman" w:hAnsi="Times New Roman" w:cs="Times New Roman"/>
          <w:sz w:val="24"/>
          <w:szCs w:val="24"/>
        </w:rPr>
        <w:t>para o preparo e a aplicação dos agrotóxicos (figura 7)</w:t>
      </w:r>
      <w:r w:rsidRPr="008E3FE2">
        <w:rPr>
          <w:rFonts w:ascii="Times New Roman" w:hAnsi="Times New Roman" w:cs="Times New Roman"/>
          <w:sz w:val="24"/>
          <w:szCs w:val="24"/>
        </w:rPr>
        <w:t>. Esses equipamentos são: máscara protetora, óculos de proteção, macacão de mangas compr</w:t>
      </w:r>
      <w:r>
        <w:rPr>
          <w:rFonts w:ascii="Times New Roman" w:hAnsi="Times New Roman" w:cs="Times New Roman"/>
          <w:sz w:val="24"/>
          <w:szCs w:val="24"/>
        </w:rPr>
        <w:t>idas, avental impermeável, botas, luvas</w:t>
      </w:r>
      <w:r w:rsidRPr="008E3FE2">
        <w:rPr>
          <w:rFonts w:ascii="Times New Roman" w:hAnsi="Times New Roman" w:cs="Times New Roman"/>
          <w:sz w:val="24"/>
          <w:szCs w:val="24"/>
        </w:rPr>
        <w:t xml:space="preserve"> impermeáveis e touca árabe. </w:t>
      </w:r>
      <w:r>
        <w:rPr>
          <w:rFonts w:ascii="Times New Roman" w:hAnsi="Times New Roman" w:cs="Times New Roman"/>
          <w:sz w:val="24"/>
          <w:szCs w:val="24"/>
        </w:rPr>
        <w:t xml:space="preserve">50% dos entrevistados </w:t>
      </w:r>
      <w:r w:rsidRPr="008E3FE2">
        <w:rPr>
          <w:rFonts w:ascii="Times New Roman" w:hAnsi="Times New Roman" w:cs="Times New Roman"/>
          <w:sz w:val="24"/>
          <w:szCs w:val="24"/>
        </w:rPr>
        <w:t>afirmaram não usar nenhum tipo de proteção e o res</w:t>
      </w:r>
      <w:r>
        <w:rPr>
          <w:rFonts w:ascii="Times New Roman" w:hAnsi="Times New Roman" w:cs="Times New Roman"/>
          <w:sz w:val="24"/>
          <w:szCs w:val="24"/>
        </w:rPr>
        <w:t>tante relatou usar apenas luvas ou</w:t>
      </w:r>
      <w:r w:rsidRPr="008E3FE2">
        <w:rPr>
          <w:rFonts w:ascii="Times New Roman" w:hAnsi="Times New Roman" w:cs="Times New Roman"/>
          <w:sz w:val="24"/>
          <w:szCs w:val="24"/>
        </w:rPr>
        <w:t xml:space="preserve"> mascaras ou os dois</w:t>
      </w:r>
      <w:r>
        <w:rPr>
          <w:rFonts w:ascii="Times New Roman" w:hAnsi="Times New Roman" w:cs="Times New Roman"/>
          <w:sz w:val="24"/>
          <w:szCs w:val="24"/>
        </w:rPr>
        <w:t xml:space="preserve"> juntos</w:t>
      </w:r>
      <w:r w:rsidRPr="008E3FE2">
        <w:rPr>
          <w:rFonts w:ascii="Times New Roman" w:hAnsi="Times New Roman" w:cs="Times New Roman"/>
          <w:sz w:val="24"/>
          <w:szCs w:val="24"/>
        </w:rPr>
        <w:t>.</w:t>
      </w:r>
      <w:r>
        <w:rPr>
          <w:rFonts w:ascii="Times New Roman" w:hAnsi="Times New Roman" w:cs="Times New Roman"/>
          <w:sz w:val="24"/>
          <w:szCs w:val="24"/>
        </w:rPr>
        <w:t xml:space="preserve"> </w:t>
      </w:r>
    </w:p>
    <w:p w:rsidR="00750CA9" w:rsidRDefault="00750CA9" w:rsidP="00B11D44">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Comparando os dados com os de Cajaiba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(2015), verifica-se uma maior conscientização em relação ao grupo estudado na cidade de Garanhuns, já que no trabalho do referido autor 95% dos entrevistados não utilizam nenhum tipo de EPI. Já em relação aos agricultores do Vale do São Francisco, estudados por Bedor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(2009), o grupo de Garanhuns apresenta um nível de conscientização menor, já que 72% dos trabalhadores daquele grupo usam todos os EPI’s. O uso conjunto de máscaras e luvas também é observado pelo último autor.</w:t>
      </w:r>
    </w:p>
    <w:p w:rsidR="00750CA9" w:rsidRPr="00AF7966" w:rsidRDefault="00750CA9" w:rsidP="00AF7966">
      <w:pPr>
        <w:pStyle w:val="SemEspaamento"/>
        <w:spacing w:before="120" w:after="120"/>
        <w:jc w:val="center"/>
        <w:rPr>
          <w:rFonts w:ascii="Times New Roman" w:hAnsi="Times New Roman" w:cs="Times New Roman"/>
          <w:sz w:val="20"/>
          <w:szCs w:val="20"/>
        </w:rPr>
      </w:pPr>
      <w:r w:rsidRPr="00AF7966">
        <w:rPr>
          <w:rFonts w:ascii="Times New Roman" w:hAnsi="Times New Roman" w:cs="Times New Roman"/>
          <w:b/>
          <w:sz w:val="20"/>
          <w:szCs w:val="20"/>
        </w:rPr>
        <w:t>Figura 7 -</w:t>
      </w:r>
      <w:r w:rsidRPr="00AF7966">
        <w:rPr>
          <w:rFonts w:ascii="Times New Roman" w:hAnsi="Times New Roman" w:cs="Times New Roman"/>
          <w:sz w:val="20"/>
          <w:szCs w:val="20"/>
        </w:rPr>
        <w:t xml:space="preserve"> utilização do equipamento de proteção individual</w:t>
      </w:r>
    </w:p>
    <w:p w:rsidR="00750CA9" w:rsidRPr="00AF7966" w:rsidRDefault="00750CA9" w:rsidP="00AF7966">
      <w:pPr>
        <w:pStyle w:val="SemEspaamento"/>
        <w:spacing w:before="120" w:after="120"/>
        <w:ind w:firstLine="708"/>
        <w:jc w:val="center"/>
        <w:rPr>
          <w:rFonts w:ascii="Times New Roman" w:hAnsi="Times New Roman" w:cs="Times New Roman"/>
          <w:sz w:val="20"/>
          <w:szCs w:val="20"/>
        </w:rPr>
      </w:pPr>
      <w:r w:rsidRPr="00AF7966">
        <w:rPr>
          <w:rFonts w:ascii="Times New Roman" w:hAnsi="Times New Roman" w:cs="Times New Roman"/>
          <w:noProof/>
          <w:sz w:val="20"/>
          <w:szCs w:val="20"/>
          <w:lang w:eastAsia="pt-BR"/>
        </w:rPr>
        <w:drawing>
          <wp:inline distT="0" distB="0" distL="0" distR="0" wp14:anchorId="70067FAA" wp14:editId="445C9B76">
            <wp:extent cx="4601250" cy="2800350"/>
            <wp:effectExtent l="0" t="0" r="8890" b="0"/>
            <wp:docPr id="31" name="Imagem 31" descr="C:\Users\Renner\Desktop\grafic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nner\Desktop\grafico 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6096" cy="2821558"/>
                    </a:xfrm>
                    <a:prstGeom prst="rect">
                      <a:avLst/>
                    </a:prstGeom>
                    <a:noFill/>
                    <a:ln>
                      <a:noFill/>
                    </a:ln>
                  </pic:spPr>
                </pic:pic>
              </a:graphicData>
            </a:graphic>
          </wp:inline>
        </w:drawing>
      </w:r>
      <w:bookmarkStart w:id="57" w:name="_Toc527710732"/>
    </w:p>
    <w:p w:rsidR="00AF7966" w:rsidRPr="00AF7966" w:rsidRDefault="00AF7966" w:rsidP="00AF7966">
      <w:pPr>
        <w:pStyle w:val="SemEspaamento"/>
        <w:spacing w:before="120" w:after="120"/>
        <w:ind w:firstLine="708"/>
        <w:jc w:val="center"/>
        <w:rPr>
          <w:rFonts w:ascii="Times New Roman" w:hAnsi="Times New Roman" w:cs="Times New Roman"/>
          <w:sz w:val="20"/>
          <w:szCs w:val="20"/>
        </w:rPr>
      </w:pPr>
      <w:r w:rsidRPr="00AF7966">
        <w:rPr>
          <w:rFonts w:ascii="Times New Roman" w:hAnsi="Times New Roman" w:cs="Times New Roman"/>
          <w:sz w:val="20"/>
          <w:szCs w:val="20"/>
        </w:rPr>
        <w:t>Fonte: autores, 2018.</w:t>
      </w:r>
    </w:p>
    <w:p w:rsidR="00750CA9" w:rsidRPr="00A30BC9" w:rsidRDefault="000D241F" w:rsidP="00DC6549">
      <w:pPr>
        <w:pStyle w:val="Subttulo"/>
        <w:spacing w:before="120" w:after="120" w:line="360" w:lineRule="auto"/>
        <w:jc w:val="left"/>
        <w:rPr>
          <w:rFonts w:ascii="Times New Roman" w:hAnsi="Times New Roman"/>
        </w:rPr>
      </w:pPr>
      <w:bookmarkStart w:id="58" w:name="_Toc531613916"/>
      <w:bookmarkStart w:id="59" w:name="_Toc531614447"/>
      <w:bookmarkStart w:id="60" w:name="_Toc531614707"/>
      <w:bookmarkStart w:id="61" w:name="_Toc531615247"/>
      <w:bookmarkStart w:id="62" w:name="_Toc531703612"/>
      <w:r>
        <w:rPr>
          <w:rFonts w:ascii="Times New Roman" w:hAnsi="Times New Roman"/>
        </w:rPr>
        <w:t>4</w:t>
      </w:r>
      <w:r w:rsidR="00750CA9" w:rsidRPr="00A30BC9">
        <w:rPr>
          <w:rFonts w:ascii="Times New Roman" w:hAnsi="Times New Roman"/>
        </w:rPr>
        <w:t>.2.4. Descarte das embalagens</w:t>
      </w:r>
      <w:bookmarkEnd w:id="57"/>
      <w:bookmarkEnd w:id="58"/>
      <w:bookmarkEnd w:id="59"/>
      <w:bookmarkEnd w:id="60"/>
      <w:bookmarkEnd w:id="61"/>
      <w:bookmarkEnd w:id="62"/>
      <w:r w:rsidR="00750CA9" w:rsidRPr="00A30BC9">
        <w:rPr>
          <w:rFonts w:ascii="Times New Roman" w:hAnsi="Times New Roman"/>
        </w:rPr>
        <w:t xml:space="preserve"> </w:t>
      </w:r>
    </w:p>
    <w:p w:rsidR="00253AEA" w:rsidRDefault="00750CA9" w:rsidP="00B11D44">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Segundo relatos, o</w:t>
      </w:r>
      <w:r w:rsidRPr="008259B9">
        <w:rPr>
          <w:rFonts w:ascii="Times New Roman" w:hAnsi="Times New Roman" w:cs="Times New Roman"/>
          <w:sz w:val="24"/>
          <w:szCs w:val="24"/>
        </w:rPr>
        <w:t xml:space="preserve"> descarte</w:t>
      </w:r>
      <w:r>
        <w:rPr>
          <w:rFonts w:ascii="Times New Roman" w:hAnsi="Times New Roman" w:cs="Times New Roman"/>
          <w:sz w:val="24"/>
          <w:szCs w:val="24"/>
        </w:rPr>
        <w:t xml:space="preserve"> das embalagens</w:t>
      </w:r>
      <w:r w:rsidRPr="008259B9">
        <w:rPr>
          <w:rFonts w:ascii="Times New Roman" w:hAnsi="Times New Roman" w:cs="Times New Roman"/>
          <w:sz w:val="24"/>
          <w:szCs w:val="24"/>
        </w:rPr>
        <w:t xml:space="preserve"> </w:t>
      </w:r>
      <w:r>
        <w:rPr>
          <w:rFonts w:ascii="Times New Roman" w:hAnsi="Times New Roman" w:cs="Times New Roman"/>
          <w:sz w:val="24"/>
          <w:szCs w:val="24"/>
        </w:rPr>
        <w:t xml:space="preserve">dos agrotóxicos </w:t>
      </w:r>
      <w:r w:rsidRPr="008259B9">
        <w:rPr>
          <w:rFonts w:ascii="Times New Roman" w:hAnsi="Times New Roman" w:cs="Times New Roman"/>
          <w:sz w:val="24"/>
          <w:szCs w:val="24"/>
        </w:rPr>
        <w:t>se deu em</w:t>
      </w:r>
      <w:r>
        <w:rPr>
          <w:rFonts w:ascii="Times New Roman" w:hAnsi="Times New Roman" w:cs="Times New Roman"/>
          <w:sz w:val="24"/>
          <w:szCs w:val="24"/>
        </w:rPr>
        <w:t xml:space="preserve"> 72,2 %, pela queima.</w:t>
      </w:r>
      <w:r w:rsidRPr="008259B9">
        <w:rPr>
          <w:rFonts w:ascii="Times New Roman" w:hAnsi="Times New Roman" w:cs="Times New Roman"/>
          <w:sz w:val="24"/>
          <w:szCs w:val="24"/>
        </w:rPr>
        <w:t xml:space="preserve"> </w:t>
      </w:r>
      <w:r>
        <w:rPr>
          <w:rFonts w:ascii="Times New Roman" w:hAnsi="Times New Roman" w:cs="Times New Roman"/>
          <w:sz w:val="24"/>
          <w:szCs w:val="24"/>
        </w:rPr>
        <w:t>A</w:t>
      </w:r>
      <w:r w:rsidRPr="008259B9">
        <w:rPr>
          <w:rFonts w:ascii="Times New Roman" w:hAnsi="Times New Roman" w:cs="Times New Roman"/>
          <w:sz w:val="24"/>
          <w:szCs w:val="24"/>
        </w:rPr>
        <w:t xml:space="preserve">penas </w:t>
      </w:r>
      <w:r>
        <w:rPr>
          <w:rFonts w:ascii="Times New Roman" w:hAnsi="Times New Roman" w:cs="Times New Roman"/>
          <w:sz w:val="24"/>
          <w:szCs w:val="24"/>
        </w:rPr>
        <w:t>22,2</w:t>
      </w:r>
      <w:r w:rsidRPr="008259B9">
        <w:rPr>
          <w:rFonts w:ascii="Times New Roman" w:hAnsi="Times New Roman" w:cs="Times New Roman"/>
          <w:sz w:val="24"/>
          <w:szCs w:val="24"/>
        </w:rPr>
        <w:t xml:space="preserve"> </w:t>
      </w:r>
      <w:r>
        <w:rPr>
          <w:rFonts w:ascii="Times New Roman" w:hAnsi="Times New Roman" w:cs="Times New Roman"/>
          <w:sz w:val="24"/>
          <w:szCs w:val="24"/>
        </w:rPr>
        <w:t xml:space="preserve">% </w:t>
      </w:r>
      <w:r w:rsidR="00B559DA">
        <w:rPr>
          <w:rFonts w:ascii="Times New Roman" w:hAnsi="Times New Roman" w:cs="Times New Roman"/>
          <w:sz w:val="24"/>
          <w:szCs w:val="24"/>
        </w:rPr>
        <w:t xml:space="preserve">descartam de forma eficiente, </w:t>
      </w:r>
      <w:r>
        <w:rPr>
          <w:rFonts w:ascii="Times New Roman" w:hAnsi="Times New Roman" w:cs="Times New Roman"/>
          <w:sz w:val="24"/>
          <w:szCs w:val="24"/>
        </w:rPr>
        <w:t>devolve</w:t>
      </w:r>
      <w:r w:rsidR="00B559DA">
        <w:rPr>
          <w:rFonts w:ascii="Times New Roman" w:hAnsi="Times New Roman" w:cs="Times New Roman"/>
          <w:sz w:val="24"/>
          <w:szCs w:val="24"/>
        </w:rPr>
        <w:t>ndo</w:t>
      </w:r>
      <w:r w:rsidRPr="008259B9">
        <w:rPr>
          <w:rFonts w:ascii="Times New Roman" w:hAnsi="Times New Roman" w:cs="Times New Roman"/>
          <w:sz w:val="24"/>
          <w:szCs w:val="24"/>
        </w:rPr>
        <w:t xml:space="preserve"> a loja de produtos de agropecuária da regi</w:t>
      </w:r>
      <w:r>
        <w:rPr>
          <w:rFonts w:ascii="Times New Roman" w:hAnsi="Times New Roman" w:cs="Times New Roman"/>
          <w:sz w:val="24"/>
          <w:szCs w:val="24"/>
        </w:rPr>
        <w:t xml:space="preserve">ão e </w:t>
      </w:r>
      <w:r w:rsidR="00B559DA">
        <w:rPr>
          <w:rFonts w:ascii="Times New Roman" w:hAnsi="Times New Roman" w:cs="Times New Roman"/>
          <w:sz w:val="24"/>
          <w:szCs w:val="24"/>
        </w:rPr>
        <w:t xml:space="preserve">apenas </w:t>
      </w:r>
      <w:r>
        <w:rPr>
          <w:rFonts w:ascii="Times New Roman" w:hAnsi="Times New Roman" w:cs="Times New Roman"/>
          <w:sz w:val="24"/>
          <w:szCs w:val="24"/>
        </w:rPr>
        <w:t xml:space="preserve">5,6%, tem o hábito de descartar </w:t>
      </w:r>
      <w:r w:rsidRPr="008259B9">
        <w:rPr>
          <w:rFonts w:ascii="Times New Roman" w:hAnsi="Times New Roman" w:cs="Times New Roman"/>
          <w:sz w:val="24"/>
          <w:szCs w:val="24"/>
        </w:rPr>
        <w:t>através do</w:t>
      </w:r>
      <w:r>
        <w:rPr>
          <w:rFonts w:ascii="Times New Roman" w:hAnsi="Times New Roman" w:cs="Times New Roman"/>
          <w:sz w:val="24"/>
          <w:szCs w:val="24"/>
        </w:rPr>
        <w:t xml:space="preserve"> lixo comum (figura 8). Vale </w:t>
      </w:r>
      <w:r>
        <w:rPr>
          <w:rFonts w:ascii="Times New Roman" w:hAnsi="Times New Roman" w:cs="Times New Roman"/>
          <w:sz w:val="24"/>
          <w:szCs w:val="24"/>
        </w:rPr>
        <w:lastRenderedPageBreak/>
        <w:t>ressaltar que o descarte correto corresponde a tríplice lavagem e em seguida a devolução a própria l</w:t>
      </w:r>
      <w:r w:rsidR="00B559DA">
        <w:rPr>
          <w:rFonts w:ascii="Times New Roman" w:hAnsi="Times New Roman" w:cs="Times New Roman"/>
          <w:sz w:val="24"/>
          <w:szCs w:val="24"/>
        </w:rPr>
        <w:t>oja ou a postos de recolhimento.</w:t>
      </w:r>
    </w:p>
    <w:p w:rsidR="00750CA9" w:rsidRDefault="00750CA9" w:rsidP="00AF7966">
      <w:pPr>
        <w:pStyle w:val="SemEspaamento"/>
        <w:ind w:firstLine="708"/>
        <w:jc w:val="center"/>
        <w:rPr>
          <w:rFonts w:ascii="Times New Roman" w:hAnsi="Times New Roman" w:cs="Times New Roman"/>
          <w:sz w:val="24"/>
          <w:szCs w:val="24"/>
        </w:rPr>
      </w:pPr>
      <w:r>
        <w:rPr>
          <w:rFonts w:ascii="Times New Roman" w:hAnsi="Times New Roman"/>
          <w:b/>
          <w:sz w:val="20"/>
          <w:szCs w:val="20"/>
        </w:rPr>
        <w:t xml:space="preserve">Figura 8 </w:t>
      </w:r>
      <w:r w:rsidRPr="000E0DE6">
        <w:rPr>
          <w:rFonts w:ascii="Times New Roman" w:hAnsi="Times New Roman"/>
          <w:b/>
          <w:sz w:val="20"/>
          <w:szCs w:val="20"/>
        </w:rPr>
        <w:t>-</w:t>
      </w:r>
      <w:r w:rsidR="00AF7966">
        <w:rPr>
          <w:rFonts w:ascii="Times New Roman" w:hAnsi="Times New Roman"/>
          <w:sz w:val="20"/>
          <w:szCs w:val="20"/>
        </w:rPr>
        <w:t xml:space="preserve">  D</w:t>
      </w:r>
      <w:r>
        <w:rPr>
          <w:rFonts w:ascii="Times New Roman" w:hAnsi="Times New Roman"/>
          <w:sz w:val="20"/>
          <w:szCs w:val="20"/>
        </w:rPr>
        <w:t>escarte das embalagens feita pelos entrevistados</w:t>
      </w:r>
    </w:p>
    <w:p w:rsidR="00750CA9" w:rsidRDefault="00750CA9" w:rsidP="00AF7966">
      <w:pPr>
        <w:pStyle w:val="SemEspaamento"/>
        <w:jc w:val="center"/>
        <w:rPr>
          <w:rFonts w:ascii="Times New Roman" w:hAnsi="Times New Roman" w:cs="Times New Roman"/>
          <w:sz w:val="24"/>
          <w:szCs w:val="24"/>
        </w:rPr>
      </w:pPr>
      <w:r>
        <w:rPr>
          <w:rFonts w:ascii="Times New Roman" w:hAnsi="Times New Roman" w:cs="Times New Roman"/>
          <w:noProof/>
          <w:sz w:val="24"/>
          <w:szCs w:val="24"/>
          <w:lang w:eastAsia="pt-BR"/>
        </w:rPr>
        <w:drawing>
          <wp:inline distT="0" distB="0" distL="0" distR="0" wp14:anchorId="2FC4DDB4" wp14:editId="2E7A0215">
            <wp:extent cx="4468970" cy="2657475"/>
            <wp:effectExtent l="0" t="0" r="8255" b="0"/>
            <wp:docPr id="34" name="Imagem 34" descr="C:\Users\Renner\Desktop\grafic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enner\Desktop\grafico 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8044" cy="2662871"/>
                    </a:xfrm>
                    <a:prstGeom prst="rect">
                      <a:avLst/>
                    </a:prstGeom>
                    <a:noFill/>
                    <a:ln>
                      <a:noFill/>
                    </a:ln>
                  </pic:spPr>
                </pic:pic>
              </a:graphicData>
            </a:graphic>
          </wp:inline>
        </w:drawing>
      </w:r>
    </w:p>
    <w:p w:rsidR="00AF7966" w:rsidRDefault="00AF7966" w:rsidP="00AF7966">
      <w:pPr>
        <w:pStyle w:val="SemEspaamento"/>
        <w:jc w:val="center"/>
        <w:rPr>
          <w:rFonts w:ascii="Times New Roman" w:hAnsi="Times New Roman" w:cs="Times New Roman"/>
          <w:sz w:val="24"/>
          <w:szCs w:val="24"/>
        </w:rPr>
      </w:pPr>
      <w:r>
        <w:rPr>
          <w:rFonts w:ascii="Times New Roman" w:hAnsi="Times New Roman" w:cs="Times New Roman"/>
          <w:sz w:val="24"/>
          <w:szCs w:val="24"/>
        </w:rPr>
        <w:t>Fonte: autore</w:t>
      </w:r>
      <w:r w:rsidRPr="00E6671D">
        <w:rPr>
          <w:rFonts w:ascii="Times New Roman" w:hAnsi="Times New Roman" w:cs="Times New Roman"/>
          <w:sz w:val="24"/>
          <w:szCs w:val="24"/>
        </w:rPr>
        <w:t>s</w:t>
      </w:r>
      <w:r>
        <w:rPr>
          <w:rFonts w:ascii="Times New Roman" w:hAnsi="Times New Roman" w:cs="Times New Roman"/>
          <w:sz w:val="24"/>
          <w:szCs w:val="24"/>
        </w:rPr>
        <w:t>, 2018.</w:t>
      </w:r>
    </w:p>
    <w:p w:rsidR="00B559DA" w:rsidRDefault="00750CA9" w:rsidP="00B559DA">
      <w:pPr>
        <w:spacing w:before="120" w:after="120" w:line="360" w:lineRule="auto"/>
        <w:jc w:val="both"/>
        <w:rPr>
          <w:rFonts w:ascii="Times New Roman" w:hAnsi="Times New Roman" w:cs="Times New Roman"/>
          <w:sz w:val="24"/>
          <w:szCs w:val="24"/>
        </w:rPr>
      </w:pPr>
      <w:bookmarkStart w:id="63" w:name="_Toc527710733"/>
      <w:r w:rsidRPr="009E6F60">
        <w:rPr>
          <w:rFonts w:ascii="Times New Roman" w:hAnsi="Times New Roman" w:cs="Times New Roman"/>
          <w:sz w:val="24"/>
          <w:szCs w:val="24"/>
        </w:rPr>
        <w:t xml:space="preserve">Diante </w:t>
      </w:r>
      <w:r w:rsidR="00B559DA">
        <w:rPr>
          <w:rFonts w:ascii="Times New Roman" w:hAnsi="Times New Roman" w:cs="Times New Roman"/>
          <w:sz w:val="24"/>
          <w:szCs w:val="24"/>
        </w:rPr>
        <w:t xml:space="preserve">desse cenário, </w:t>
      </w:r>
      <w:r>
        <w:rPr>
          <w:rFonts w:ascii="Times New Roman" w:hAnsi="Times New Roman" w:cs="Times New Roman"/>
          <w:sz w:val="24"/>
          <w:szCs w:val="24"/>
        </w:rPr>
        <w:t>o grupo de</w:t>
      </w:r>
      <w:r w:rsidR="00B559DA">
        <w:rPr>
          <w:rFonts w:ascii="Times New Roman" w:hAnsi="Times New Roman" w:cs="Times New Roman"/>
          <w:sz w:val="24"/>
          <w:szCs w:val="24"/>
        </w:rPr>
        <w:t xml:space="preserve"> agricultores de</w:t>
      </w:r>
      <w:r>
        <w:rPr>
          <w:rFonts w:ascii="Times New Roman" w:hAnsi="Times New Roman" w:cs="Times New Roman"/>
          <w:sz w:val="24"/>
          <w:szCs w:val="24"/>
        </w:rPr>
        <w:t xml:space="preserve"> Garanhuns mostrou-se mais consciente em relação ao grupo pesquisado por Cajaiba </w:t>
      </w:r>
      <w:r w:rsidR="00141B60" w:rsidRPr="00141B60">
        <w:rPr>
          <w:rFonts w:ascii="Times New Roman" w:hAnsi="Times New Roman" w:cs="Times New Roman"/>
          <w:i/>
          <w:sz w:val="24"/>
          <w:szCs w:val="24"/>
        </w:rPr>
        <w:t>et al.</w:t>
      </w:r>
      <w:r>
        <w:rPr>
          <w:rFonts w:ascii="Times New Roman" w:hAnsi="Times New Roman" w:cs="Times New Roman"/>
          <w:sz w:val="24"/>
          <w:szCs w:val="24"/>
        </w:rPr>
        <w:t xml:space="preserve"> (2015), pois</w:t>
      </w:r>
      <w:r w:rsidR="0050362C">
        <w:rPr>
          <w:rFonts w:ascii="Times New Roman" w:hAnsi="Times New Roman" w:cs="Times New Roman"/>
          <w:sz w:val="24"/>
          <w:szCs w:val="24"/>
        </w:rPr>
        <w:t>, apesar dos agricultores do último grupo queimarem menos embalagens que os do primeiro (25% contra 72%),</w:t>
      </w:r>
      <w:r>
        <w:rPr>
          <w:rFonts w:ascii="Times New Roman" w:hAnsi="Times New Roman" w:cs="Times New Roman"/>
          <w:sz w:val="24"/>
          <w:szCs w:val="24"/>
        </w:rPr>
        <w:t xml:space="preserve"> apenas 5 % </w:t>
      </w:r>
      <w:r w:rsidR="0050362C">
        <w:rPr>
          <w:rFonts w:ascii="Times New Roman" w:hAnsi="Times New Roman" w:cs="Times New Roman"/>
          <w:sz w:val="24"/>
          <w:szCs w:val="24"/>
        </w:rPr>
        <w:t xml:space="preserve">deles </w:t>
      </w:r>
      <w:r>
        <w:rPr>
          <w:rFonts w:ascii="Times New Roman" w:hAnsi="Times New Roman" w:cs="Times New Roman"/>
          <w:sz w:val="24"/>
          <w:szCs w:val="24"/>
        </w:rPr>
        <w:t>devolveram as embalagens à loja, 52 % jogavam-nas fora e 3% adm</w:t>
      </w:r>
      <w:r w:rsidR="00B559DA">
        <w:rPr>
          <w:rFonts w:ascii="Times New Roman" w:hAnsi="Times New Roman" w:cs="Times New Roman"/>
          <w:sz w:val="24"/>
          <w:szCs w:val="24"/>
        </w:rPr>
        <w:t>itiu o reuso.</w:t>
      </w:r>
      <w:r>
        <w:rPr>
          <w:rFonts w:ascii="Times New Roman" w:hAnsi="Times New Roman" w:cs="Times New Roman"/>
          <w:sz w:val="24"/>
          <w:szCs w:val="24"/>
        </w:rPr>
        <w:t xml:space="preserve">  Nesse sentido é importante ressaltar que a queima dessas embalagens pelos produtores é uma alternativa questionável, já que geram gases de natureza e toxicidade desconhecida, podendo contaminar corpos hídri</w:t>
      </w:r>
      <w:r w:rsidR="00253AEA">
        <w:rPr>
          <w:rFonts w:ascii="Times New Roman" w:hAnsi="Times New Roman" w:cs="Times New Roman"/>
          <w:sz w:val="24"/>
          <w:szCs w:val="24"/>
        </w:rPr>
        <w:t>cos, animais e as pessoas (NOGUE</w:t>
      </w:r>
      <w:r>
        <w:rPr>
          <w:rFonts w:ascii="Times New Roman" w:hAnsi="Times New Roman" w:cs="Times New Roman"/>
          <w:sz w:val="24"/>
          <w:szCs w:val="24"/>
        </w:rPr>
        <w:t>IRA &amp; DANTAS, 2013).</w:t>
      </w:r>
    </w:p>
    <w:p w:rsidR="00750CA9" w:rsidRDefault="0050362C" w:rsidP="00B559DA">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Apesar do resultado relativamente positivo</w:t>
      </w:r>
      <w:r w:rsidR="00750CA9">
        <w:rPr>
          <w:rFonts w:ascii="Times New Roman" w:hAnsi="Times New Roman" w:cs="Times New Roman"/>
          <w:sz w:val="24"/>
          <w:szCs w:val="24"/>
        </w:rPr>
        <w:t>, esses dados não refletem o panorama geral do país, pois, segundo o InpEV (</w:t>
      </w:r>
      <w:r w:rsidR="00750CA9" w:rsidRPr="00F66A82">
        <w:rPr>
          <w:rFonts w:ascii="Times New Roman" w:hAnsi="Times New Roman" w:cs="Times New Roman"/>
          <w:sz w:val="24"/>
          <w:szCs w:val="24"/>
        </w:rPr>
        <w:t>Instituto Nacional de Processamento de Embalagens Vazias</w:t>
      </w:r>
      <w:r w:rsidR="00750CA9">
        <w:rPr>
          <w:rFonts w:ascii="Times New Roman" w:hAnsi="Times New Roman" w:cs="Times New Roman"/>
          <w:sz w:val="24"/>
          <w:szCs w:val="24"/>
        </w:rPr>
        <w:t>), o Brasil descarta corretamente 94% de todas as embalagens de defensivos agrícolas. (CALIXTO, 2012; GLOBO RUAL, 2018). Portanto, o baixo percentual da devolução correta das embalagens de agrotóxicos, apresentado neste trabalho, em comparação ao cenário nacional, pode estar relacionado à falta de conscientização e informação dos agricultores, bem como à baixa fiscalização, que segundo Reinato, Garcia e Zerbinato (2012), precisam ser intensificadas.</w:t>
      </w:r>
    </w:p>
    <w:p w:rsidR="00B11D44" w:rsidRDefault="000D241F" w:rsidP="00B11D44">
      <w:pPr>
        <w:pStyle w:val="Subttulo"/>
        <w:spacing w:before="120" w:after="120" w:line="360" w:lineRule="auto"/>
        <w:jc w:val="left"/>
        <w:rPr>
          <w:rFonts w:ascii="Times New Roman" w:hAnsi="Times New Roman"/>
        </w:rPr>
      </w:pPr>
      <w:bookmarkStart w:id="64" w:name="_Toc531613917"/>
      <w:bookmarkStart w:id="65" w:name="_Toc531614448"/>
      <w:bookmarkStart w:id="66" w:name="_Toc531614708"/>
      <w:bookmarkStart w:id="67" w:name="_Toc531615248"/>
      <w:bookmarkStart w:id="68" w:name="_Toc531703613"/>
      <w:r>
        <w:rPr>
          <w:rFonts w:ascii="Times New Roman" w:hAnsi="Times New Roman"/>
        </w:rPr>
        <w:t>4</w:t>
      </w:r>
      <w:r w:rsidR="00750CA9" w:rsidRPr="009E6F60">
        <w:rPr>
          <w:rFonts w:ascii="Times New Roman" w:hAnsi="Times New Roman"/>
        </w:rPr>
        <w:t>.2.5. Periodicidade das aplicações</w:t>
      </w:r>
      <w:bookmarkEnd w:id="63"/>
      <w:bookmarkEnd w:id="64"/>
      <w:bookmarkEnd w:id="65"/>
      <w:bookmarkEnd w:id="66"/>
      <w:bookmarkEnd w:id="67"/>
      <w:bookmarkEnd w:id="68"/>
      <w:r w:rsidR="00750CA9" w:rsidRPr="009E6F60">
        <w:rPr>
          <w:rFonts w:ascii="Times New Roman" w:hAnsi="Times New Roman"/>
        </w:rPr>
        <w:t xml:space="preserve"> </w:t>
      </w:r>
    </w:p>
    <w:p w:rsidR="00B11D44" w:rsidRDefault="00750CA9" w:rsidP="00B11D44">
      <w:pPr>
        <w:pStyle w:val="Subttulo"/>
        <w:spacing w:before="120" w:after="120" w:line="360" w:lineRule="auto"/>
        <w:jc w:val="left"/>
        <w:rPr>
          <w:rFonts w:ascii="Times New Roman" w:hAnsi="Times New Roman"/>
        </w:rPr>
      </w:pPr>
      <w:r>
        <w:rPr>
          <w:rFonts w:ascii="Times New Roman" w:hAnsi="Times New Roman"/>
        </w:rPr>
        <w:t xml:space="preserve">Do total de 18 agricultores 33,3 % relataram usar os defensivos agrícolas apenas uma vez cada novo ciclo de cada plantação. </w:t>
      </w:r>
    </w:p>
    <w:p w:rsidR="00750CA9" w:rsidRDefault="00750CA9" w:rsidP="00B11D44">
      <w:pPr>
        <w:pStyle w:val="Subttulo"/>
        <w:spacing w:before="120" w:after="120" w:line="360" w:lineRule="auto"/>
        <w:jc w:val="left"/>
        <w:rPr>
          <w:rFonts w:ascii="Times New Roman" w:hAnsi="Times New Roman"/>
        </w:rPr>
      </w:pPr>
      <w:r>
        <w:rPr>
          <w:rFonts w:ascii="Times New Roman" w:hAnsi="Times New Roman"/>
        </w:rPr>
        <w:lastRenderedPageBreak/>
        <w:t>Grande parte dos trabalhadores se expõem com mais frequência, chegando a usar com periodicidade semanal e a</w:t>
      </w:r>
      <w:r w:rsidR="00AF7966">
        <w:rPr>
          <w:rFonts w:ascii="Times New Roman" w:hAnsi="Times New Roman"/>
        </w:rPr>
        <w:t>té a cada dois dias (figura 9).</w:t>
      </w:r>
    </w:p>
    <w:p w:rsidR="00750CA9" w:rsidRPr="00AF7966" w:rsidRDefault="00750CA9" w:rsidP="00AF7966">
      <w:pPr>
        <w:pStyle w:val="SemEspaamento"/>
        <w:jc w:val="center"/>
        <w:rPr>
          <w:rFonts w:ascii="Times New Roman" w:hAnsi="Times New Roman" w:cs="Times New Roman"/>
          <w:sz w:val="20"/>
          <w:szCs w:val="20"/>
        </w:rPr>
      </w:pPr>
      <w:r w:rsidRPr="00AF7966">
        <w:rPr>
          <w:rFonts w:ascii="Times New Roman" w:hAnsi="Times New Roman" w:cs="Times New Roman"/>
          <w:b/>
          <w:sz w:val="20"/>
          <w:szCs w:val="20"/>
        </w:rPr>
        <w:t xml:space="preserve">Figura 9 - </w:t>
      </w:r>
      <w:r w:rsidR="00A95265">
        <w:rPr>
          <w:rFonts w:ascii="Times New Roman" w:hAnsi="Times New Roman" w:cs="Times New Roman"/>
          <w:sz w:val="20"/>
          <w:szCs w:val="20"/>
        </w:rPr>
        <w:t>P</w:t>
      </w:r>
      <w:r w:rsidRPr="00AF7966">
        <w:rPr>
          <w:rFonts w:ascii="Times New Roman" w:hAnsi="Times New Roman" w:cs="Times New Roman"/>
          <w:sz w:val="20"/>
          <w:szCs w:val="20"/>
        </w:rPr>
        <w:t>eriodicidade das aplicações</w:t>
      </w:r>
    </w:p>
    <w:p w:rsidR="00750CA9" w:rsidRPr="00AF7966" w:rsidRDefault="00750CA9" w:rsidP="00AF7966">
      <w:pPr>
        <w:pStyle w:val="SemEspaamento"/>
        <w:jc w:val="center"/>
        <w:rPr>
          <w:rFonts w:ascii="Times New Roman" w:hAnsi="Times New Roman" w:cs="Times New Roman"/>
          <w:sz w:val="20"/>
          <w:szCs w:val="20"/>
        </w:rPr>
      </w:pPr>
      <w:r w:rsidRPr="00AF7966">
        <w:rPr>
          <w:rFonts w:ascii="Times New Roman" w:hAnsi="Times New Roman" w:cs="Times New Roman"/>
          <w:noProof/>
          <w:sz w:val="20"/>
          <w:szCs w:val="20"/>
          <w:lang w:eastAsia="pt-BR"/>
        </w:rPr>
        <w:drawing>
          <wp:inline distT="0" distB="0" distL="0" distR="0" wp14:anchorId="7BB288CA" wp14:editId="0B36A293">
            <wp:extent cx="4616795" cy="2800350"/>
            <wp:effectExtent l="0" t="0" r="0" b="0"/>
            <wp:docPr id="38" name="Imagem 38" descr="C:\Users\Renner\Desktop\grafico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enner\Desktop\grafico 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1899" cy="2803446"/>
                    </a:xfrm>
                    <a:prstGeom prst="rect">
                      <a:avLst/>
                    </a:prstGeom>
                    <a:noFill/>
                    <a:ln>
                      <a:noFill/>
                    </a:ln>
                  </pic:spPr>
                </pic:pic>
              </a:graphicData>
            </a:graphic>
          </wp:inline>
        </w:drawing>
      </w:r>
    </w:p>
    <w:p w:rsidR="00AF7966" w:rsidRPr="00AF7966" w:rsidRDefault="00AF7966" w:rsidP="00AF7966">
      <w:pPr>
        <w:pStyle w:val="SemEspaamento"/>
        <w:jc w:val="center"/>
        <w:rPr>
          <w:rFonts w:ascii="Times New Roman" w:hAnsi="Times New Roman" w:cs="Times New Roman"/>
          <w:sz w:val="20"/>
          <w:szCs w:val="20"/>
        </w:rPr>
      </w:pPr>
      <w:r w:rsidRPr="00AF7966">
        <w:rPr>
          <w:rFonts w:ascii="Times New Roman" w:hAnsi="Times New Roman" w:cs="Times New Roman"/>
          <w:sz w:val="20"/>
          <w:szCs w:val="20"/>
        </w:rPr>
        <w:t>Fonte: autores, 2018.</w:t>
      </w:r>
    </w:p>
    <w:p w:rsidR="00750CA9" w:rsidRPr="00D254D0" w:rsidRDefault="0050362C" w:rsidP="00B11D44">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Outro</w:t>
      </w:r>
      <w:r w:rsidR="00750CA9" w:rsidRPr="002014E6">
        <w:rPr>
          <w:rFonts w:ascii="Times New Roman" w:hAnsi="Times New Roman" w:cs="Times New Roman"/>
          <w:sz w:val="24"/>
          <w:szCs w:val="24"/>
        </w:rPr>
        <w:t xml:space="preserve"> grande problema com relação ao agrotóxico é que </w:t>
      </w:r>
      <w:r>
        <w:rPr>
          <w:rFonts w:ascii="Times New Roman" w:hAnsi="Times New Roman" w:cs="Times New Roman"/>
          <w:sz w:val="24"/>
          <w:szCs w:val="24"/>
        </w:rPr>
        <w:t>geralmente</w:t>
      </w:r>
      <w:r w:rsidR="00750CA9" w:rsidRPr="002014E6">
        <w:rPr>
          <w:rFonts w:ascii="Times New Roman" w:hAnsi="Times New Roman" w:cs="Times New Roman"/>
          <w:sz w:val="24"/>
          <w:szCs w:val="24"/>
        </w:rPr>
        <w:t xml:space="preserve"> o produtor</w:t>
      </w:r>
      <w:r w:rsidR="00750CA9">
        <w:rPr>
          <w:rFonts w:ascii="Times New Roman" w:hAnsi="Times New Roman" w:cs="Times New Roman"/>
          <w:sz w:val="24"/>
          <w:szCs w:val="24"/>
        </w:rPr>
        <w:t xml:space="preserve"> </w:t>
      </w:r>
      <w:r w:rsidR="00750CA9" w:rsidRPr="002014E6">
        <w:rPr>
          <w:rFonts w:ascii="Times New Roman" w:hAnsi="Times New Roman" w:cs="Times New Roman"/>
          <w:sz w:val="24"/>
          <w:szCs w:val="24"/>
        </w:rPr>
        <w:t xml:space="preserve">rural </w:t>
      </w:r>
      <w:r>
        <w:rPr>
          <w:rFonts w:ascii="Times New Roman" w:hAnsi="Times New Roman" w:cs="Times New Roman"/>
          <w:sz w:val="24"/>
          <w:szCs w:val="24"/>
        </w:rPr>
        <w:t xml:space="preserve">não </w:t>
      </w:r>
      <w:r w:rsidR="00750CA9" w:rsidRPr="002014E6">
        <w:rPr>
          <w:rFonts w:ascii="Times New Roman" w:hAnsi="Times New Roman" w:cs="Times New Roman"/>
          <w:sz w:val="24"/>
          <w:szCs w:val="24"/>
        </w:rPr>
        <w:t>sabe usar a quantidade recomendada do produto, e nem sempre obedece ao</w:t>
      </w:r>
      <w:r w:rsidR="00750CA9">
        <w:rPr>
          <w:rFonts w:ascii="Times New Roman" w:hAnsi="Times New Roman" w:cs="Times New Roman"/>
          <w:sz w:val="24"/>
          <w:szCs w:val="24"/>
        </w:rPr>
        <w:t xml:space="preserve"> tempo de carência na aplicação, aumentando o tempo de exposição aos agentes nocivos e valorando o risco de contaminação. </w:t>
      </w:r>
      <w:r w:rsidR="00750CA9" w:rsidRPr="002014E6">
        <w:rPr>
          <w:rFonts w:ascii="Times New Roman" w:hAnsi="Times New Roman" w:cs="Times New Roman"/>
          <w:sz w:val="24"/>
          <w:szCs w:val="24"/>
        </w:rPr>
        <w:t>Contudo, este fato</w:t>
      </w:r>
      <w:r w:rsidR="00B11D44">
        <w:rPr>
          <w:rFonts w:ascii="Times New Roman" w:hAnsi="Times New Roman" w:cs="Times New Roman"/>
          <w:sz w:val="24"/>
          <w:szCs w:val="24"/>
        </w:rPr>
        <w:t xml:space="preserve"> ajuda</w:t>
      </w:r>
      <w:r w:rsidR="00750CA9" w:rsidRPr="002014E6">
        <w:rPr>
          <w:rFonts w:ascii="Times New Roman" w:hAnsi="Times New Roman" w:cs="Times New Roman"/>
          <w:sz w:val="24"/>
          <w:szCs w:val="24"/>
        </w:rPr>
        <w:t xml:space="preserve"> </w:t>
      </w:r>
      <w:r w:rsidR="00B11D44">
        <w:rPr>
          <w:rFonts w:ascii="Times New Roman" w:hAnsi="Times New Roman" w:cs="Times New Roman"/>
          <w:sz w:val="24"/>
          <w:szCs w:val="24"/>
        </w:rPr>
        <w:t xml:space="preserve">a </w:t>
      </w:r>
      <w:r w:rsidR="00750CA9" w:rsidRPr="002014E6">
        <w:rPr>
          <w:rFonts w:ascii="Times New Roman" w:hAnsi="Times New Roman" w:cs="Times New Roman"/>
          <w:sz w:val="24"/>
          <w:szCs w:val="24"/>
        </w:rPr>
        <w:t>explica</w:t>
      </w:r>
      <w:r w:rsidR="00B11D44">
        <w:rPr>
          <w:rFonts w:ascii="Times New Roman" w:hAnsi="Times New Roman" w:cs="Times New Roman"/>
          <w:sz w:val="24"/>
          <w:szCs w:val="24"/>
        </w:rPr>
        <w:t>r</w:t>
      </w:r>
      <w:r w:rsidR="00750CA9" w:rsidRPr="002014E6">
        <w:rPr>
          <w:rFonts w:ascii="Times New Roman" w:hAnsi="Times New Roman" w:cs="Times New Roman"/>
          <w:sz w:val="24"/>
          <w:szCs w:val="24"/>
        </w:rPr>
        <w:t xml:space="preserve"> o crescente número de</w:t>
      </w:r>
      <w:r w:rsidR="00750CA9">
        <w:rPr>
          <w:rFonts w:ascii="Times New Roman" w:hAnsi="Times New Roman" w:cs="Times New Roman"/>
          <w:sz w:val="24"/>
          <w:szCs w:val="24"/>
        </w:rPr>
        <w:t xml:space="preserve"> </w:t>
      </w:r>
      <w:r w:rsidR="00750CA9" w:rsidRPr="002014E6">
        <w:rPr>
          <w:rFonts w:ascii="Times New Roman" w:hAnsi="Times New Roman" w:cs="Times New Roman"/>
          <w:sz w:val="24"/>
          <w:szCs w:val="24"/>
        </w:rPr>
        <w:t>doenças causadas</w:t>
      </w:r>
      <w:r w:rsidR="00750CA9">
        <w:rPr>
          <w:rFonts w:ascii="Times New Roman" w:hAnsi="Times New Roman" w:cs="Times New Roman"/>
          <w:sz w:val="24"/>
          <w:szCs w:val="24"/>
        </w:rPr>
        <w:t xml:space="preserve"> por intoxicação de agrotóxicos, como podemos perceber nos registros de Bedor </w:t>
      </w:r>
      <w:r w:rsidR="00141B60" w:rsidRPr="00141B60">
        <w:rPr>
          <w:rFonts w:ascii="Times New Roman" w:hAnsi="Times New Roman" w:cs="Times New Roman"/>
          <w:i/>
          <w:sz w:val="24"/>
          <w:szCs w:val="24"/>
        </w:rPr>
        <w:t>et al.</w:t>
      </w:r>
      <w:r w:rsidR="00750CA9">
        <w:rPr>
          <w:rFonts w:ascii="Times New Roman" w:hAnsi="Times New Roman" w:cs="Times New Roman"/>
          <w:sz w:val="24"/>
          <w:szCs w:val="24"/>
        </w:rPr>
        <w:t xml:space="preserve"> (2009), que encontrou queixas de agricultores como dores de cabeças (73%), irritação na pele (26%), tontura (25%), fraqueza (11%), vômito (11%), dificuldade respiratória (7%), formigamento nas pálpebras e nos lábios (3%) e etc.</w:t>
      </w:r>
    </w:p>
    <w:p w:rsidR="00750CA9" w:rsidRPr="00A30BC9" w:rsidRDefault="000D241F" w:rsidP="00DC6549">
      <w:pPr>
        <w:pStyle w:val="Ttulo"/>
        <w:spacing w:before="120" w:after="120" w:line="360" w:lineRule="auto"/>
        <w:jc w:val="left"/>
        <w:rPr>
          <w:rFonts w:ascii="Times New Roman" w:hAnsi="Times New Roman"/>
          <w:b w:val="0"/>
          <w:sz w:val="24"/>
          <w:szCs w:val="24"/>
        </w:rPr>
      </w:pPr>
      <w:bookmarkStart w:id="69" w:name="_Toc527710734"/>
      <w:bookmarkStart w:id="70" w:name="_Toc531613918"/>
      <w:bookmarkStart w:id="71" w:name="_Toc531614449"/>
      <w:bookmarkStart w:id="72" w:name="_Toc531614709"/>
      <w:bookmarkStart w:id="73" w:name="_Toc531615249"/>
      <w:bookmarkStart w:id="74" w:name="_Toc531703614"/>
      <w:r>
        <w:rPr>
          <w:rFonts w:ascii="Times New Roman" w:hAnsi="Times New Roman"/>
          <w:b w:val="0"/>
          <w:sz w:val="24"/>
          <w:szCs w:val="24"/>
        </w:rPr>
        <w:t>4</w:t>
      </w:r>
      <w:r w:rsidR="00750CA9" w:rsidRPr="00A30BC9">
        <w:rPr>
          <w:rFonts w:ascii="Times New Roman" w:hAnsi="Times New Roman"/>
          <w:b w:val="0"/>
          <w:sz w:val="24"/>
          <w:szCs w:val="24"/>
        </w:rPr>
        <w:t>.3.Agrotóxicos mais vendidos na região e seus impactos na saúde humana</w:t>
      </w:r>
      <w:bookmarkEnd w:id="69"/>
      <w:bookmarkEnd w:id="70"/>
      <w:bookmarkEnd w:id="71"/>
      <w:bookmarkEnd w:id="72"/>
      <w:bookmarkEnd w:id="73"/>
      <w:bookmarkEnd w:id="74"/>
    </w:p>
    <w:p w:rsidR="00750CA9" w:rsidRDefault="00750CA9" w:rsidP="00B11D44">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Esse foi o resultado de outra pesquisa cujo intuito era conhecer os defensivos agrícolas mais vendidos na região de Garanhuns, foi realizado nas lojas Rancho Alegre e Campo Total e obteve como resultado 3 marcas. </w:t>
      </w:r>
      <w:r w:rsidR="00953537">
        <w:rPr>
          <w:rFonts w:ascii="Times New Roman" w:hAnsi="Times New Roman" w:cs="Times New Roman"/>
          <w:sz w:val="24"/>
          <w:szCs w:val="24"/>
        </w:rPr>
        <w:t>São elas:</w:t>
      </w:r>
    </w:p>
    <w:p w:rsidR="00750CA9" w:rsidRPr="00A40B9B" w:rsidRDefault="00750CA9" w:rsidP="00B11D44">
      <w:pPr>
        <w:pStyle w:val="SemEspaamento"/>
        <w:spacing w:before="120" w:after="120" w:line="360" w:lineRule="auto"/>
        <w:jc w:val="both"/>
        <w:rPr>
          <w:rFonts w:ascii="Times New Roman" w:hAnsi="Times New Roman" w:cs="Times New Roman"/>
          <w:sz w:val="24"/>
          <w:szCs w:val="24"/>
        </w:rPr>
      </w:pPr>
      <w:r w:rsidRPr="00AF7966">
        <w:rPr>
          <w:rFonts w:ascii="Times New Roman" w:hAnsi="Times New Roman" w:cs="Times New Roman"/>
          <w:i/>
          <w:sz w:val="24"/>
          <w:szCs w:val="24"/>
        </w:rPr>
        <w:t>Roundup:</w:t>
      </w:r>
      <w:r w:rsidRPr="00A40B9B">
        <w:rPr>
          <w:rFonts w:ascii="Times New Roman" w:hAnsi="Times New Roman" w:cs="Times New Roman"/>
          <w:sz w:val="24"/>
          <w:szCs w:val="24"/>
        </w:rPr>
        <w:t xml:space="preserve"> É um herbicida usado principalmente em cultivos de soja. Classificado como altamente tóxico e perigoso ao meio ambiente. Em sua composição contém glifosato, um composto químico organofosforado que pode provocar irritação e potencial corrosivo para pele e mucosas, causando dermatite de contato, irritação, dor, queimação, ocular, pneumonite química, náusea, vomito diarreia e lesões ulcerativas.</w:t>
      </w:r>
    </w:p>
    <w:p w:rsidR="00750CA9" w:rsidRPr="00A40B9B" w:rsidRDefault="00750CA9" w:rsidP="00B11D44">
      <w:pPr>
        <w:pStyle w:val="SemEspaamento"/>
        <w:spacing w:before="120" w:after="120" w:line="360" w:lineRule="auto"/>
        <w:jc w:val="both"/>
        <w:rPr>
          <w:rFonts w:ascii="Times New Roman" w:hAnsi="Times New Roman" w:cs="Times New Roman"/>
          <w:sz w:val="24"/>
          <w:szCs w:val="24"/>
        </w:rPr>
      </w:pPr>
      <w:r w:rsidRPr="00AF7966">
        <w:rPr>
          <w:rFonts w:ascii="Times New Roman" w:hAnsi="Times New Roman" w:cs="Times New Roman"/>
          <w:i/>
          <w:sz w:val="24"/>
          <w:szCs w:val="24"/>
        </w:rPr>
        <w:lastRenderedPageBreak/>
        <w:t>Lannate</w:t>
      </w:r>
      <w:r w:rsidRPr="00A40B9B">
        <w:rPr>
          <w:rFonts w:ascii="Times New Roman" w:hAnsi="Times New Roman" w:cs="Times New Roman"/>
          <w:sz w:val="24"/>
          <w:szCs w:val="24"/>
        </w:rPr>
        <w:t>: É um inseticida indicado para diversas culturas como milho, trigo, batata e tomate. Em sua composição contém carbamato um composto químico e em caso de exposição a absorção por todas as vias é muito rápida causando ou podendo causar vômito, diarreia, cefaleia, edema pulmonar, convulsões, irritação ocular e dérmica é classificado como altamente tóxico.</w:t>
      </w:r>
    </w:p>
    <w:p w:rsidR="00750CA9" w:rsidRDefault="00750CA9" w:rsidP="00B11D44">
      <w:pPr>
        <w:pStyle w:val="SemEspaamento"/>
        <w:spacing w:before="120" w:after="120" w:line="360" w:lineRule="auto"/>
        <w:jc w:val="both"/>
        <w:rPr>
          <w:rFonts w:ascii="Times New Roman" w:hAnsi="Times New Roman" w:cs="Times New Roman"/>
          <w:sz w:val="24"/>
          <w:szCs w:val="24"/>
        </w:rPr>
      </w:pPr>
      <w:r w:rsidRPr="00953537">
        <w:rPr>
          <w:rFonts w:ascii="Times New Roman" w:hAnsi="Times New Roman" w:cs="Times New Roman"/>
          <w:i/>
          <w:sz w:val="24"/>
          <w:szCs w:val="24"/>
        </w:rPr>
        <w:t>Atrazina</w:t>
      </w:r>
      <w:r w:rsidRPr="00A40B9B">
        <w:rPr>
          <w:rFonts w:ascii="Times New Roman" w:hAnsi="Times New Roman" w:cs="Times New Roman"/>
          <w:sz w:val="24"/>
          <w:szCs w:val="24"/>
        </w:rPr>
        <w:t xml:space="preserve">: é um herbicida indicado para culturas de </w:t>
      </w:r>
      <w:r w:rsidR="00AF7966" w:rsidRPr="00A40B9B">
        <w:rPr>
          <w:rFonts w:ascii="Times New Roman" w:hAnsi="Times New Roman" w:cs="Times New Roman"/>
          <w:sz w:val="24"/>
          <w:szCs w:val="24"/>
        </w:rPr>
        <w:t>cana-de-açúcar</w:t>
      </w:r>
      <w:r w:rsidRPr="00A40B9B">
        <w:rPr>
          <w:rFonts w:ascii="Times New Roman" w:hAnsi="Times New Roman" w:cs="Times New Roman"/>
          <w:sz w:val="24"/>
          <w:szCs w:val="24"/>
        </w:rPr>
        <w:t xml:space="preserve"> e milho classificado como mediamente tóxico e muito perigoso ao meio ambiente. Pode causar transtornos de memória e </w:t>
      </w:r>
      <w:r>
        <w:rPr>
          <w:rFonts w:ascii="Times New Roman" w:hAnsi="Times New Roman" w:cs="Times New Roman"/>
          <w:sz w:val="24"/>
          <w:szCs w:val="24"/>
        </w:rPr>
        <w:t>alteração de memória e hepática.</w:t>
      </w:r>
    </w:p>
    <w:p w:rsidR="00750CA9" w:rsidRDefault="00750CA9" w:rsidP="00B11D44">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Segundo Caldas &amp; de Souza (2000), os compostos organofosforados</w:t>
      </w:r>
      <w:r w:rsidRPr="00D42427">
        <w:rPr>
          <w:rFonts w:ascii="Times New Roman" w:hAnsi="Times New Roman" w:cs="Times New Roman"/>
          <w:sz w:val="24"/>
          <w:szCs w:val="24"/>
        </w:rPr>
        <w:t>, são os responsáveis</w:t>
      </w:r>
      <w:r>
        <w:rPr>
          <w:rFonts w:ascii="Times New Roman" w:hAnsi="Times New Roman" w:cs="Times New Roman"/>
          <w:sz w:val="24"/>
          <w:szCs w:val="24"/>
        </w:rPr>
        <w:t xml:space="preserve"> </w:t>
      </w:r>
      <w:r w:rsidRPr="00D42427">
        <w:rPr>
          <w:rFonts w:ascii="Times New Roman" w:hAnsi="Times New Roman" w:cs="Times New Roman"/>
          <w:sz w:val="24"/>
          <w:szCs w:val="24"/>
        </w:rPr>
        <w:t>pelo maior número de intoxicações agudas</w:t>
      </w:r>
      <w:r>
        <w:rPr>
          <w:rFonts w:ascii="Times New Roman" w:hAnsi="Times New Roman" w:cs="Times New Roman"/>
          <w:sz w:val="24"/>
          <w:szCs w:val="24"/>
        </w:rPr>
        <w:t xml:space="preserve"> e óbitos registrado</w:t>
      </w:r>
      <w:r w:rsidRPr="00D42427">
        <w:rPr>
          <w:rFonts w:ascii="Times New Roman" w:hAnsi="Times New Roman" w:cs="Times New Roman"/>
          <w:sz w:val="24"/>
          <w:szCs w:val="24"/>
        </w:rPr>
        <w:t>s</w:t>
      </w:r>
      <w:r>
        <w:rPr>
          <w:rFonts w:ascii="Times New Roman" w:hAnsi="Times New Roman" w:cs="Times New Roman"/>
          <w:sz w:val="24"/>
          <w:szCs w:val="24"/>
        </w:rPr>
        <w:t xml:space="preserve"> no país</w:t>
      </w:r>
      <w:r w:rsidRPr="00D42427">
        <w:rPr>
          <w:rFonts w:ascii="Times New Roman" w:hAnsi="Times New Roman" w:cs="Times New Roman"/>
          <w:sz w:val="24"/>
          <w:szCs w:val="24"/>
        </w:rPr>
        <w:t xml:space="preserve">. </w:t>
      </w:r>
      <w:r>
        <w:rPr>
          <w:rFonts w:ascii="Times New Roman" w:hAnsi="Times New Roman" w:cs="Times New Roman"/>
          <w:sz w:val="24"/>
          <w:szCs w:val="24"/>
        </w:rPr>
        <w:t>Os autores descrevem que o “</w:t>
      </w:r>
      <w:r w:rsidRPr="00D42427">
        <w:rPr>
          <w:rFonts w:ascii="Times New Roman" w:hAnsi="Times New Roman" w:cs="Times New Roman"/>
          <w:sz w:val="24"/>
          <w:szCs w:val="24"/>
        </w:rPr>
        <w:t>grupo químico</w:t>
      </w:r>
      <w:r>
        <w:rPr>
          <w:rFonts w:ascii="Times New Roman" w:hAnsi="Times New Roman" w:cs="Times New Roman"/>
          <w:sz w:val="24"/>
          <w:szCs w:val="24"/>
        </w:rPr>
        <w:t xml:space="preserve"> </w:t>
      </w:r>
      <w:r w:rsidRPr="00D42427">
        <w:rPr>
          <w:rFonts w:ascii="Times New Roman" w:hAnsi="Times New Roman" w:cs="Times New Roman"/>
          <w:sz w:val="24"/>
          <w:szCs w:val="24"/>
        </w:rPr>
        <w:t>acumula acetilcolina nas sinapses nervosas,</w:t>
      </w:r>
      <w:r>
        <w:rPr>
          <w:rFonts w:ascii="Times New Roman" w:hAnsi="Times New Roman" w:cs="Times New Roman"/>
          <w:sz w:val="24"/>
          <w:szCs w:val="24"/>
        </w:rPr>
        <w:t xml:space="preserve"> </w:t>
      </w:r>
      <w:r w:rsidRPr="00D42427">
        <w:rPr>
          <w:rFonts w:ascii="Times New Roman" w:hAnsi="Times New Roman" w:cs="Times New Roman"/>
          <w:sz w:val="24"/>
          <w:szCs w:val="24"/>
        </w:rPr>
        <w:t>desencadeando uma série de efeitos</w:t>
      </w:r>
      <w:r>
        <w:rPr>
          <w:rFonts w:ascii="Times New Roman" w:hAnsi="Times New Roman" w:cs="Times New Roman"/>
          <w:sz w:val="24"/>
          <w:szCs w:val="24"/>
        </w:rPr>
        <w:t xml:space="preserve"> </w:t>
      </w:r>
      <w:r w:rsidRPr="00D42427">
        <w:rPr>
          <w:rFonts w:ascii="Times New Roman" w:hAnsi="Times New Roman" w:cs="Times New Roman"/>
          <w:sz w:val="24"/>
          <w:szCs w:val="24"/>
        </w:rPr>
        <w:t>parassimpaticomiméticos, podendo causar</w:t>
      </w:r>
      <w:r>
        <w:rPr>
          <w:rFonts w:ascii="Times New Roman" w:hAnsi="Times New Roman" w:cs="Times New Roman"/>
          <w:sz w:val="24"/>
          <w:szCs w:val="24"/>
        </w:rPr>
        <w:t xml:space="preserve"> </w:t>
      </w:r>
      <w:r w:rsidRPr="00D42427">
        <w:rPr>
          <w:rFonts w:ascii="Times New Roman" w:hAnsi="Times New Roman" w:cs="Times New Roman"/>
          <w:sz w:val="24"/>
          <w:szCs w:val="24"/>
        </w:rPr>
        <w:t>neurotoxicidades e neuropatias periféricas</w:t>
      </w:r>
      <w:r>
        <w:rPr>
          <w:rFonts w:ascii="Times New Roman" w:hAnsi="Times New Roman" w:cs="Times New Roman"/>
          <w:sz w:val="24"/>
          <w:szCs w:val="24"/>
        </w:rPr>
        <w:t xml:space="preserve"> </w:t>
      </w:r>
      <w:r w:rsidRPr="00D42427">
        <w:rPr>
          <w:rFonts w:ascii="Times New Roman" w:hAnsi="Times New Roman" w:cs="Times New Roman"/>
          <w:sz w:val="24"/>
          <w:szCs w:val="24"/>
        </w:rPr>
        <w:t>tardias</w:t>
      </w:r>
      <w:r>
        <w:rPr>
          <w:rFonts w:ascii="Times New Roman" w:hAnsi="Times New Roman" w:cs="Times New Roman"/>
          <w:sz w:val="24"/>
          <w:szCs w:val="24"/>
        </w:rPr>
        <w:t xml:space="preserve">” (apud BEDOR </w:t>
      </w:r>
      <w:r w:rsidR="00141B60" w:rsidRPr="00141B60">
        <w:rPr>
          <w:rFonts w:ascii="Times New Roman" w:hAnsi="Times New Roman" w:cs="Times New Roman"/>
          <w:i/>
          <w:sz w:val="24"/>
          <w:szCs w:val="24"/>
        </w:rPr>
        <w:t>et al.</w:t>
      </w:r>
      <w:r>
        <w:rPr>
          <w:rFonts w:ascii="Times New Roman" w:hAnsi="Times New Roman" w:cs="Times New Roman"/>
          <w:sz w:val="24"/>
          <w:szCs w:val="24"/>
        </w:rPr>
        <w:t>, 2009)</w:t>
      </w:r>
      <w:r w:rsidRPr="00D42427">
        <w:rPr>
          <w:rFonts w:ascii="Times New Roman" w:hAnsi="Times New Roman" w:cs="Times New Roman"/>
          <w:sz w:val="24"/>
          <w:szCs w:val="24"/>
        </w:rPr>
        <w:t>.</w:t>
      </w:r>
    </w:p>
    <w:p w:rsidR="00B11D44" w:rsidRDefault="00B11D44" w:rsidP="00B11D44">
      <w:pPr>
        <w:pStyle w:val="SemEspaamento"/>
        <w:spacing w:before="120" w:after="120" w:line="360" w:lineRule="auto"/>
        <w:jc w:val="both"/>
        <w:rPr>
          <w:rFonts w:ascii="Times New Roman" w:hAnsi="Times New Roman" w:cs="Times New Roman"/>
          <w:sz w:val="24"/>
          <w:szCs w:val="24"/>
        </w:rPr>
      </w:pPr>
    </w:p>
    <w:p w:rsidR="00750CA9" w:rsidRDefault="008D75E6" w:rsidP="00DC6549">
      <w:pPr>
        <w:pStyle w:val="Ttulo1"/>
        <w:spacing w:before="120" w:after="120" w:line="360" w:lineRule="auto"/>
        <w:rPr>
          <w:rFonts w:ascii="Times New Roman" w:hAnsi="Times New Roman"/>
          <w:sz w:val="24"/>
          <w:szCs w:val="24"/>
        </w:rPr>
      </w:pPr>
      <w:bookmarkStart w:id="75" w:name="_Toc527710735"/>
      <w:bookmarkStart w:id="76" w:name="_Toc531613919"/>
      <w:bookmarkStart w:id="77" w:name="_Toc531614450"/>
      <w:bookmarkStart w:id="78" w:name="_Toc531614710"/>
      <w:bookmarkStart w:id="79" w:name="_Toc531615250"/>
      <w:bookmarkStart w:id="80" w:name="_Toc531703615"/>
      <w:r>
        <w:rPr>
          <w:rFonts w:ascii="Times New Roman" w:hAnsi="Times New Roman"/>
          <w:sz w:val="24"/>
          <w:szCs w:val="24"/>
        </w:rPr>
        <w:t>5</w:t>
      </w:r>
      <w:r w:rsidR="00750CA9" w:rsidRPr="00A30BC9">
        <w:rPr>
          <w:rFonts w:ascii="Times New Roman" w:hAnsi="Times New Roman"/>
          <w:sz w:val="24"/>
          <w:szCs w:val="24"/>
        </w:rPr>
        <w:t>. Conclusão</w:t>
      </w:r>
      <w:bookmarkEnd w:id="75"/>
      <w:bookmarkEnd w:id="76"/>
      <w:bookmarkEnd w:id="77"/>
      <w:bookmarkEnd w:id="78"/>
      <w:bookmarkEnd w:id="79"/>
      <w:bookmarkEnd w:id="80"/>
      <w:r w:rsidR="00750CA9" w:rsidRPr="00A30BC9">
        <w:rPr>
          <w:rFonts w:ascii="Times New Roman" w:hAnsi="Times New Roman"/>
          <w:sz w:val="24"/>
          <w:szCs w:val="24"/>
        </w:rPr>
        <w:t xml:space="preserve"> </w:t>
      </w:r>
    </w:p>
    <w:p w:rsidR="00B11D44" w:rsidRDefault="00750CA9" w:rsidP="000D241F">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 resultado das pesquisas denotou que existe um grande desconhecimento por parte dos agricultores, independente do grau de escolaridade ou da idade, sobre as práticas corretas da manipulação dos agrotóxicos, do uso de equipamentos de proteção individual e sobre o descarte correto das embalagen</w:t>
      </w:r>
      <w:r w:rsidR="00953537">
        <w:rPr>
          <w:rFonts w:ascii="Times New Roman" w:hAnsi="Times New Roman" w:cs="Times New Roman"/>
          <w:sz w:val="24"/>
          <w:szCs w:val="24"/>
        </w:rPr>
        <w:t>s de defensivos agrícolas. Evidencia-se que parte dos agricultores negligencia o uso de EPI´s,</w:t>
      </w:r>
      <w:r>
        <w:rPr>
          <w:rFonts w:ascii="Times New Roman" w:hAnsi="Times New Roman" w:cs="Times New Roman"/>
          <w:sz w:val="24"/>
          <w:szCs w:val="24"/>
        </w:rPr>
        <w:t xml:space="preserve"> </w:t>
      </w:r>
      <w:r w:rsidR="00953537">
        <w:rPr>
          <w:rFonts w:ascii="Times New Roman" w:hAnsi="Times New Roman" w:cs="Times New Roman"/>
          <w:sz w:val="24"/>
          <w:szCs w:val="24"/>
        </w:rPr>
        <w:t xml:space="preserve">ficando vulneráveis </w:t>
      </w:r>
      <w:r>
        <w:rPr>
          <w:rFonts w:ascii="Times New Roman" w:hAnsi="Times New Roman" w:cs="Times New Roman"/>
          <w:sz w:val="24"/>
          <w:szCs w:val="24"/>
        </w:rPr>
        <w:t>aos possíveis agravos causados pelas substâ</w:t>
      </w:r>
      <w:r w:rsidR="00953537">
        <w:rPr>
          <w:rFonts w:ascii="Times New Roman" w:hAnsi="Times New Roman" w:cs="Times New Roman"/>
          <w:sz w:val="24"/>
          <w:szCs w:val="24"/>
        </w:rPr>
        <w:t>ncias dos defensivos agrícolas, bem como</w:t>
      </w:r>
      <w:r>
        <w:rPr>
          <w:rFonts w:ascii="Times New Roman" w:hAnsi="Times New Roman" w:cs="Times New Roman"/>
          <w:sz w:val="24"/>
          <w:szCs w:val="24"/>
        </w:rPr>
        <w:t xml:space="preserve"> o descarte das embalagens de agrotóxicos, já que 77,8% dos entrevistados queimam ou jo</w:t>
      </w:r>
      <w:r w:rsidR="00953537">
        <w:rPr>
          <w:rFonts w:ascii="Times New Roman" w:hAnsi="Times New Roman" w:cs="Times New Roman"/>
          <w:sz w:val="24"/>
          <w:szCs w:val="24"/>
        </w:rPr>
        <w:t>gam as embalagens no lixo comum.</w:t>
      </w:r>
      <w:r>
        <w:rPr>
          <w:rFonts w:ascii="Times New Roman" w:hAnsi="Times New Roman" w:cs="Times New Roman"/>
          <w:sz w:val="24"/>
          <w:szCs w:val="24"/>
        </w:rPr>
        <w:t xml:space="preserve"> Portanto, os riscos à saúde do trabalhador rural são extensos, tornando essa </w:t>
      </w:r>
      <w:r w:rsidR="00953537">
        <w:rPr>
          <w:rFonts w:ascii="Times New Roman" w:hAnsi="Times New Roman" w:cs="Times New Roman"/>
          <w:sz w:val="24"/>
          <w:szCs w:val="24"/>
        </w:rPr>
        <w:t>classe trabalhadora susce</w:t>
      </w:r>
      <w:r>
        <w:rPr>
          <w:rFonts w:ascii="Times New Roman" w:hAnsi="Times New Roman" w:cs="Times New Roman"/>
          <w:sz w:val="24"/>
          <w:szCs w:val="24"/>
        </w:rPr>
        <w:t>tível a intoxicações e a graves problemas de saúde</w:t>
      </w:r>
      <w:r w:rsidR="00953537">
        <w:rPr>
          <w:rFonts w:ascii="Times New Roman" w:hAnsi="Times New Roman" w:cs="Times New Roman"/>
          <w:sz w:val="24"/>
          <w:szCs w:val="24"/>
        </w:rPr>
        <w:t xml:space="preserve">. É imprescindível </w:t>
      </w:r>
      <w:r>
        <w:rPr>
          <w:rFonts w:ascii="Times New Roman" w:hAnsi="Times New Roman" w:cs="Times New Roman"/>
          <w:sz w:val="24"/>
          <w:szCs w:val="24"/>
        </w:rPr>
        <w:t xml:space="preserve">a </w:t>
      </w:r>
      <w:r w:rsidR="00953537">
        <w:rPr>
          <w:rFonts w:ascii="Times New Roman" w:hAnsi="Times New Roman" w:cs="Times New Roman"/>
          <w:sz w:val="24"/>
          <w:szCs w:val="24"/>
        </w:rPr>
        <w:t>realização de</w:t>
      </w:r>
      <w:r>
        <w:rPr>
          <w:rFonts w:ascii="Times New Roman" w:hAnsi="Times New Roman" w:cs="Times New Roman"/>
          <w:sz w:val="24"/>
          <w:szCs w:val="24"/>
        </w:rPr>
        <w:t xml:space="preserve"> exames toxicológi</w:t>
      </w:r>
      <w:r w:rsidR="00953537">
        <w:rPr>
          <w:rFonts w:ascii="Times New Roman" w:hAnsi="Times New Roman" w:cs="Times New Roman"/>
          <w:sz w:val="24"/>
          <w:szCs w:val="24"/>
        </w:rPr>
        <w:t>cos, clínicos e epidemiológicos</w:t>
      </w:r>
      <w:r>
        <w:rPr>
          <w:rFonts w:ascii="Times New Roman" w:hAnsi="Times New Roman" w:cs="Times New Roman"/>
          <w:sz w:val="24"/>
          <w:szCs w:val="24"/>
        </w:rPr>
        <w:t xml:space="preserve"> para </w:t>
      </w:r>
      <w:r w:rsidR="00B11D44">
        <w:rPr>
          <w:rFonts w:ascii="Times New Roman" w:hAnsi="Times New Roman" w:cs="Times New Roman"/>
          <w:sz w:val="24"/>
          <w:szCs w:val="24"/>
        </w:rPr>
        <w:t xml:space="preserve">um melhor diagnóstico e para ajudar na prevenção de possíveis </w:t>
      </w:r>
      <w:r w:rsidR="000D241F">
        <w:rPr>
          <w:rFonts w:ascii="Times New Roman" w:hAnsi="Times New Roman" w:cs="Times New Roman"/>
          <w:sz w:val="24"/>
          <w:szCs w:val="24"/>
        </w:rPr>
        <w:t>afecções.</w:t>
      </w:r>
    </w:p>
    <w:p w:rsidR="00750CA9" w:rsidRDefault="00B73D9C" w:rsidP="00D3083D">
      <w:pPr>
        <w:pStyle w:val="SemEspaamento"/>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Diante desse cenário, </w:t>
      </w:r>
      <w:r w:rsidR="00750CA9">
        <w:rPr>
          <w:rFonts w:ascii="Times New Roman" w:hAnsi="Times New Roman" w:cs="Times New Roman"/>
          <w:sz w:val="24"/>
          <w:szCs w:val="24"/>
        </w:rPr>
        <w:t>faz</w:t>
      </w:r>
      <w:r>
        <w:rPr>
          <w:rFonts w:ascii="Times New Roman" w:hAnsi="Times New Roman" w:cs="Times New Roman"/>
          <w:sz w:val="24"/>
          <w:szCs w:val="24"/>
        </w:rPr>
        <w:t>-se</w:t>
      </w:r>
      <w:r w:rsidR="00750CA9">
        <w:rPr>
          <w:rFonts w:ascii="Times New Roman" w:hAnsi="Times New Roman" w:cs="Times New Roman"/>
          <w:sz w:val="24"/>
          <w:szCs w:val="24"/>
        </w:rPr>
        <w:t xml:space="preserve"> necessário um maior investimento em</w:t>
      </w:r>
      <w:r w:rsidR="000D241F">
        <w:rPr>
          <w:rFonts w:ascii="Times New Roman" w:hAnsi="Times New Roman" w:cs="Times New Roman"/>
          <w:sz w:val="24"/>
          <w:szCs w:val="24"/>
        </w:rPr>
        <w:t xml:space="preserve"> políticas públicas educacionais</w:t>
      </w:r>
      <w:r w:rsidR="00750CA9">
        <w:rPr>
          <w:rFonts w:ascii="Times New Roman" w:hAnsi="Times New Roman" w:cs="Times New Roman"/>
          <w:sz w:val="24"/>
          <w:szCs w:val="24"/>
        </w:rPr>
        <w:t xml:space="preserve">, </w:t>
      </w:r>
      <w:r w:rsidR="000D241F">
        <w:rPr>
          <w:rFonts w:ascii="Times New Roman" w:hAnsi="Times New Roman" w:cs="Times New Roman"/>
          <w:sz w:val="24"/>
          <w:szCs w:val="24"/>
        </w:rPr>
        <w:t>em</w:t>
      </w:r>
      <w:r w:rsidR="00750CA9">
        <w:rPr>
          <w:rFonts w:ascii="Times New Roman" w:hAnsi="Times New Roman" w:cs="Times New Roman"/>
          <w:sz w:val="24"/>
          <w:szCs w:val="24"/>
        </w:rPr>
        <w:t xml:space="preserve"> fiscalização</w:t>
      </w:r>
      <w:r w:rsidR="000D241F">
        <w:rPr>
          <w:rFonts w:ascii="Times New Roman" w:hAnsi="Times New Roman" w:cs="Times New Roman"/>
          <w:sz w:val="24"/>
          <w:szCs w:val="24"/>
        </w:rPr>
        <w:t xml:space="preserve"> da legislação</w:t>
      </w:r>
      <w:r w:rsidR="00750CA9">
        <w:rPr>
          <w:rFonts w:ascii="Times New Roman" w:hAnsi="Times New Roman" w:cs="Times New Roman"/>
          <w:sz w:val="24"/>
          <w:szCs w:val="24"/>
        </w:rPr>
        <w:t xml:space="preserve"> e em ações de conscientização com o auxílio da mídia e de outras instituições formadoras de opinião, como organizações não governamentais, a fim de garantir um maior conhecimento sobre o poder tóxico dos defensivos agrícolas, promover a utilização dos equipamentos de proteção individual e proceder com o descarte </w:t>
      </w:r>
      <w:r w:rsidR="00750CA9">
        <w:rPr>
          <w:rFonts w:ascii="Times New Roman" w:hAnsi="Times New Roman" w:cs="Times New Roman"/>
          <w:sz w:val="24"/>
          <w:szCs w:val="24"/>
        </w:rPr>
        <w:lastRenderedPageBreak/>
        <w:t>correto das suas embalagens</w:t>
      </w:r>
      <w:r w:rsidR="00953537">
        <w:rPr>
          <w:rFonts w:ascii="Times New Roman" w:hAnsi="Times New Roman" w:cs="Times New Roman"/>
          <w:sz w:val="24"/>
          <w:szCs w:val="24"/>
        </w:rPr>
        <w:t>.</w:t>
      </w:r>
      <w:r w:rsidR="00750CA9">
        <w:rPr>
          <w:rFonts w:ascii="Times New Roman" w:hAnsi="Times New Roman" w:cs="Times New Roman"/>
          <w:sz w:val="24"/>
          <w:szCs w:val="24"/>
        </w:rPr>
        <w:t xml:space="preserve"> Todas essas ações, além de ajudar a reduzir a desigualdade social, mitigam, sobremaneira, os riscos aos quais os trabalhadores estão expostos e, consequentemente, os impactos na sua saúde.</w:t>
      </w:r>
      <w:bookmarkStart w:id="81" w:name="_Toc527710736"/>
      <w:bookmarkStart w:id="82" w:name="_Toc531614451"/>
      <w:bookmarkStart w:id="83" w:name="_Toc531614711"/>
      <w:bookmarkStart w:id="84" w:name="_Toc531615251"/>
      <w:bookmarkStart w:id="85" w:name="_Toc531703616"/>
    </w:p>
    <w:p w:rsidR="005D03DA" w:rsidRDefault="005D03DA" w:rsidP="00D3083D">
      <w:pPr>
        <w:pStyle w:val="SemEspaamento"/>
        <w:spacing w:before="120" w:after="120" w:line="360" w:lineRule="auto"/>
        <w:jc w:val="both"/>
        <w:rPr>
          <w:rFonts w:ascii="Times New Roman" w:hAnsi="Times New Roman" w:cs="Times New Roman"/>
          <w:sz w:val="24"/>
          <w:szCs w:val="24"/>
        </w:rPr>
      </w:pPr>
    </w:p>
    <w:p w:rsidR="005D03DA" w:rsidRDefault="008D75E6" w:rsidP="00D3083D">
      <w:pPr>
        <w:pStyle w:val="Ttulo1"/>
        <w:spacing w:before="0" w:after="120" w:line="360" w:lineRule="auto"/>
        <w:rPr>
          <w:rFonts w:ascii="Times New Roman" w:hAnsi="Times New Roman"/>
          <w:sz w:val="24"/>
          <w:szCs w:val="24"/>
        </w:rPr>
      </w:pPr>
      <w:r>
        <w:rPr>
          <w:rFonts w:ascii="Times New Roman" w:hAnsi="Times New Roman"/>
          <w:sz w:val="24"/>
          <w:szCs w:val="24"/>
        </w:rPr>
        <w:t>6</w:t>
      </w:r>
      <w:r w:rsidR="005D03DA" w:rsidRPr="002C2B3E">
        <w:rPr>
          <w:rFonts w:ascii="Times New Roman" w:hAnsi="Times New Roman"/>
          <w:sz w:val="24"/>
          <w:szCs w:val="24"/>
        </w:rPr>
        <w:t xml:space="preserve">. </w:t>
      </w:r>
      <w:r w:rsidR="005D03DA">
        <w:rPr>
          <w:rFonts w:ascii="Times New Roman" w:hAnsi="Times New Roman"/>
          <w:sz w:val="24"/>
          <w:szCs w:val="24"/>
        </w:rPr>
        <w:t>Agradecimentos</w:t>
      </w:r>
    </w:p>
    <w:p w:rsidR="005D03DA" w:rsidRDefault="005D03DA" w:rsidP="00D3083D">
      <w:pPr>
        <w:pStyle w:val="SemEspaamento"/>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Os autores agradecem o apoio recebido pelo Instituto Federal de Pernambuco (IFPE) – </w:t>
      </w:r>
      <w:r w:rsidRPr="005D03DA">
        <w:rPr>
          <w:rFonts w:ascii="Times New Roman" w:hAnsi="Times New Roman" w:cs="Times New Roman"/>
          <w:i/>
          <w:sz w:val="24"/>
          <w:szCs w:val="24"/>
        </w:rPr>
        <w:t>Campus</w:t>
      </w:r>
      <w:r>
        <w:rPr>
          <w:rFonts w:ascii="Times New Roman" w:hAnsi="Times New Roman" w:cs="Times New Roman"/>
          <w:sz w:val="24"/>
          <w:szCs w:val="24"/>
        </w:rPr>
        <w:t xml:space="preserve"> Garanhuns.</w:t>
      </w:r>
    </w:p>
    <w:p w:rsidR="005D03DA" w:rsidRDefault="005D03DA" w:rsidP="00D3083D">
      <w:pPr>
        <w:pStyle w:val="SemEspaamento"/>
        <w:spacing w:after="120" w:line="360" w:lineRule="auto"/>
        <w:jc w:val="both"/>
        <w:rPr>
          <w:rFonts w:ascii="Times New Roman" w:hAnsi="Times New Roman" w:cs="Times New Roman"/>
          <w:sz w:val="24"/>
          <w:szCs w:val="24"/>
        </w:rPr>
      </w:pPr>
    </w:p>
    <w:p w:rsidR="00750CA9" w:rsidRDefault="008D75E6" w:rsidP="00D3083D">
      <w:pPr>
        <w:pStyle w:val="Ttulo1"/>
        <w:spacing w:before="0" w:after="120" w:line="360" w:lineRule="auto"/>
        <w:rPr>
          <w:rFonts w:ascii="Times New Roman" w:hAnsi="Times New Roman"/>
          <w:sz w:val="24"/>
          <w:szCs w:val="24"/>
        </w:rPr>
      </w:pPr>
      <w:r>
        <w:rPr>
          <w:rFonts w:ascii="Times New Roman" w:hAnsi="Times New Roman"/>
          <w:sz w:val="24"/>
          <w:szCs w:val="24"/>
        </w:rPr>
        <w:t>7</w:t>
      </w:r>
      <w:r w:rsidR="00750CA9" w:rsidRPr="002C2B3E">
        <w:rPr>
          <w:rFonts w:ascii="Times New Roman" w:hAnsi="Times New Roman"/>
          <w:sz w:val="24"/>
          <w:szCs w:val="24"/>
        </w:rPr>
        <w:t xml:space="preserve">. </w:t>
      </w:r>
      <w:bookmarkEnd w:id="81"/>
      <w:r w:rsidR="00750CA9" w:rsidRPr="002C2B3E">
        <w:rPr>
          <w:rFonts w:ascii="Times New Roman" w:hAnsi="Times New Roman"/>
          <w:sz w:val="24"/>
          <w:szCs w:val="24"/>
        </w:rPr>
        <w:t>Referências</w:t>
      </w:r>
      <w:bookmarkEnd w:id="82"/>
      <w:bookmarkEnd w:id="83"/>
      <w:bookmarkEnd w:id="84"/>
      <w:bookmarkEnd w:id="85"/>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BEDOR, C.N.G.; RAMOS, L.O.; PEREIRA, P.J.; RÊGO, M.A.V.; PAVÃO, A.C.; AUGUSTO, L.G.S. Vulnerabilidades e situações de riscos relacionados ao uso de agrotóxicos na fruticultura irrigada. </w:t>
      </w:r>
      <w:r w:rsidRPr="007B5D29">
        <w:rPr>
          <w:rFonts w:ascii="Times New Roman" w:hAnsi="Times New Roman" w:cs="Times New Roman"/>
          <w:b/>
          <w:sz w:val="20"/>
          <w:szCs w:val="20"/>
        </w:rPr>
        <w:t>Revista Brasileira de Epidemiologia</w:t>
      </w:r>
      <w:r w:rsidRPr="007B5D29">
        <w:rPr>
          <w:rFonts w:ascii="Times New Roman" w:hAnsi="Times New Roman" w:cs="Times New Roman"/>
          <w:sz w:val="20"/>
          <w:szCs w:val="20"/>
        </w:rPr>
        <w:t xml:space="preserve">, v. 12, p. 39-49, 2009. </w:t>
      </w:r>
      <w:r w:rsidRPr="007B5D29">
        <w:rPr>
          <w:rFonts w:ascii="Times New Roman" w:hAnsi="Times New Roman" w:cs="Times New Roman"/>
          <w:sz w:val="20"/>
          <w:szCs w:val="20"/>
        </w:rPr>
        <w:cr/>
        <w:t>Disponível em: &lt;http://www.scielo.br/pdf/rbepid/v12n1/05.pdf&gt;. Acesso em: 27 nov. 2018.</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BONFIM, M. </w:t>
      </w:r>
      <w:r w:rsidRPr="00D3297B">
        <w:rPr>
          <w:rFonts w:ascii="Times New Roman" w:hAnsi="Times New Roman" w:cs="Times New Roman"/>
          <w:b/>
          <w:sz w:val="20"/>
          <w:szCs w:val="20"/>
        </w:rPr>
        <w:t>Saúde comprometida:</w:t>
      </w:r>
      <w:r w:rsidRPr="007B5D29">
        <w:rPr>
          <w:rFonts w:ascii="Times New Roman" w:hAnsi="Times New Roman" w:cs="Times New Roman"/>
          <w:sz w:val="20"/>
          <w:szCs w:val="20"/>
        </w:rPr>
        <w:t xml:space="preserve"> A exposição dos trabalhadores rurais aos agrotóxicos e seus potenciais risco é preocupante. 307. 2017. Disponível em: &lt;https://bc. pressmatrix.com/pt-BR/profiles/1227998e328d/editions/4150571695bf03710dc1/pages/page/ 31&gt;. Acesso em: 25 ago. 2017. Acesso em: 31 out. 2017.</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BORGES FILHO, E</w:t>
      </w:r>
      <w:r w:rsidR="00D3297B">
        <w:rPr>
          <w:rFonts w:ascii="Times New Roman" w:hAnsi="Times New Roman" w:cs="Times New Roman"/>
          <w:sz w:val="20"/>
          <w:szCs w:val="20"/>
        </w:rPr>
        <w:t>.</w:t>
      </w:r>
      <w:r w:rsidRPr="007B5D29">
        <w:rPr>
          <w:rFonts w:ascii="Times New Roman" w:hAnsi="Times New Roman" w:cs="Times New Roman"/>
          <w:sz w:val="20"/>
          <w:szCs w:val="20"/>
        </w:rPr>
        <w:t xml:space="preserve"> L. </w:t>
      </w:r>
      <w:r w:rsidR="00D3297B">
        <w:rPr>
          <w:rFonts w:ascii="Times New Roman" w:hAnsi="Times New Roman" w:cs="Times New Roman"/>
          <w:b/>
          <w:sz w:val="20"/>
          <w:szCs w:val="20"/>
        </w:rPr>
        <w:t>Da redução de insumos agrí</w:t>
      </w:r>
      <w:r w:rsidRPr="00D3297B">
        <w:rPr>
          <w:rFonts w:ascii="Times New Roman" w:hAnsi="Times New Roman" w:cs="Times New Roman"/>
          <w:b/>
          <w:sz w:val="20"/>
          <w:szCs w:val="20"/>
        </w:rPr>
        <w:t>colas a agroecologia</w:t>
      </w:r>
      <w:r w:rsidRPr="007B5D29">
        <w:rPr>
          <w:rFonts w:ascii="Times New Roman" w:hAnsi="Times New Roman" w:cs="Times New Roman"/>
          <w:sz w:val="20"/>
          <w:szCs w:val="20"/>
        </w:rPr>
        <w:t>: a trajetoria das pesquisas com praticas agricolas mais ecologicas na EMBRAPA. 2005. 294p. Tese (doutorado) - Universidade Estadual de Campinas, Instituto de Economia, Campinas, SP. Disponível em: &lt;http://libdigi.unicamp.br/document/?code=vtls000360987&gt;. Acesso em: 28 mar. 2017.</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CAJAIBA, R. L., SANTOS, E. M., FISTAROL, R., SOUZA FILHO, J. A., SILVA, W. B. </w:t>
      </w:r>
      <w:r w:rsidRPr="007B5D29">
        <w:rPr>
          <w:rFonts w:ascii="Times New Roman" w:hAnsi="Times New Roman" w:cs="Times New Roman"/>
          <w:b/>
          <w:sz w:val="20"/>
          <w:szCs w:val="20"/>
        </w:rPr>
        <w:t>Perfil dos agricultores do Município de Uruará – Quanto ao uso de agrotóxico.</w:t>
      </w:r>
      <w:r w:rsidRPr="007B5D29">
        <w:rPr>
          <w:rFonts w:ascii="Times New Roman" w:hAnsi="Times New Roman" w:cs="Times New Roman"/>
          <w:sz w:val="20"/>
          <w:szCs w:val="20"/>
        </w:rPr>
        <w:t xml:space="preserve"> ENCICLOPÉDIA BIOSFERA, Centro Científico Conhecer - Goiânia, v.11 n.21; 2015. p. 1479-1492. Disponível em: &lt;http://www.conhecer.org.br/enciclop/2015b/agrarias/Perfil% 20dos%20agricultores.pdf&gt;. Acesso em: 27 nov. 2018.</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CALIXTO, B. </w:t>
      </w:r>
      <w:r w:rsidRPr="007B5D29">
        <w:rPr>
          <w:rFonts w:ascii="Times New Roman" w:hAnsi="Times New Roman" w:cs="Times New Roman"/>
          <w:b/>
          <w:sz w:val="20"/>
          <w:szCs w:val="20"/>
        </w:rPr>
        <w:t>Brasil descarta corretamente 94% das embalagens de agrotóxicos:</w:t>
      </w:r>
      <w:r w:rsidRPr="007B5D29">
        <w:rPr>
          <w:rFonts w:ascii="Times New Roman" w:hAnsi="Times New Roman" w:cs="Times New Roman"/>
          <w:sz w:val="20"/>
          <w:szCs w:val="20"/>
        </w:rPr>
        <w:t xml:space="preserve"> Embalagens descartadas incorretamente contaminam o solo e podem causar doenças nos agricultores, como câncer. Logística reversa é uma forma de evitar esses efeitos. Revista Época, 2012. Disponível em: &lt;</w:t>
      </w:r>
      <w:r w:rsidRPr="007B5D29">
        <w:rPr>
          <w:sz w:val="20"/>
          <w:szCs w:val="20"/>
        </w:rPr>
        <w:t xml:space="preserve"> </w:t>
      </w:r>
      <w:r w:rsidRPr="007B5D29">
        <w:rPr>
          <w:rFonts w:ascii="Times New Roman" w:hAnsi="Times New Roman" w:cs="Times New Roman"/>
          <w:sz w:val="20"/>
          <w:szCs w:val="20"/>
        </w:rPr>
        <w:t xml:space="preserve">http://revistaepoca.globo.com/Sociedade/noticia/2012/03/ brasil-descarta-corretamente-94-das-embalagens-de-agrotoxicos.html&gt;. Acesso em: 30 nov. 2018 </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FIOCRUZ SINITOX. (Brasil). </w:t>
      </w:r>
      <w:r w:rsidRPr="002F256D">
        <w:rPr>
          <w:rFonts w:ascii="Times New Roman" w:hAnsi="Times New Roman" w:cs="Times New Roman"/>
          <w:b/>
          <w:sz w:val="20"/>
          <w:szCs w:val="20"/>
        </w:rPr>
        <w:t>Casos de Intoxicação por Agrotóxico de Uso Agrícola por Unidade Federada, Segundo Circunstância Registrado em 2016.</w:t>
      </w:r>
      <w:r w:rsidRPr="007B5D29">
        <w:rPr>
          <w:rFonts w:ascii="Times New Roman" w:hAnsi="Times New Roman" w:cs="Times New Roman"/>
          <w:sz w:val="20"/>
          <w:szCs w:val="20"/>
        </w:rPr>
        <w:t>. 2016. Disponível em: &lt;http://sinitox.icict.fiocruz.br/sites/sinitox.icict.fiocruz.br/files//2-AgrotoxicosUsoAgricola-1.pdf&gt;. Acesso em: 19 out. 2017.</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GARCIA, Eduardo. </w:t>
      </w:r>
      <w:r w:rsidR="000D241F" w:rsidRPr="000D241F">
        <w:rPr>
          <w:rFonts w:ascii="Times New Roman" w:hAnsi="Times New Roman" w:cs="Times New Roman"/>
          <w:b/>
          <w:sz w:val="20"/>
          <w:szCs w:val="20"/>
        </w:rPr>
        <w:t>Segurança e saúde no trabalhador rural</w:t>
      </w:r>
      <w:r w:rsidRPr="007B5D29">
        <w:rPr>
          <w:rFonts w:ascii="Times New Roman" w:hAnsi="Times New Roman" w:cs="Times New Roman"/>
          <w:sz w:val="20"/>
          <w:szCs w:val="20"/>
        </w:rPr>
        <w:t>: contribuição para uma abordagem mais abrangente. São Paulo: [s.n.], 1996. 32 p. Disponível em: &lt;http://www.liberato.com.br/sites/default/files/arquivos/Revista_SIER/v.%2010%2C%20n.%2014%20%282009%29/3.%20A%20qu%EDmica%20dos%20agrot%F3xicos.pdf&gt;. Acesso em: 23 ago. 2017.</w:t>
      </w:r>
    </w:p>
    <w:p w:rsidR="00A55284" w:rsidRPr="007B5D29" w:rsidRDefault="00A55284"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GLOBO RURAL, </w:t>
      </w:r>
      <w:r w:rsidRPr="007B5D29">
        <w:rPr>
          <w:rFonts w:ascii="Times New Roman" w:hAnsi="Times New Roman" w:cs="Times New Roman"/>
          <w:b/>
          <w:sz w:val="20"/>
          <w:szCs w:val="20"/>
        </w:rPr>
        <w:t>Logística reversa:</w:t>
      </w:r>
      <w:r w:rsidRPr="007B5D29">
        <w:rPr>
          <w:rFonts w:ascii="Times New Roman" w:hAnsi="Times New Roman" w:cs="Times New Roman"/>
          <w:sz w:val="20"/>
          <w:szCs w:val="20"/>
        </w:rPr>
        <w:t xml:space="preserve"> como descartar corretamente embalagens de agrotóxicos. Produtor rural precisa dar destinação correta ao material, que pode passar por reciclagem. Globo Rural, 2018. Disponível em: &lt;</w:t>
      </w:r>
      <w:r w:rsidRPr="007B5D29">
        <w:rPr>
          <w:sz w:val="20"/>
          <w:szCs w:val="20"/>
        </w:rPr>
        <w:t xml:space="preserve"> </w:t>
      </w:r>
      <w:r w:rsidRPr="007B5D29">
        <w:rPr>
          <w:rFonts w:ascii="Times New Roman" w:hAnsi="Times New Roman" w:cs="Times New Roman"/>
          <w:sz w:val="20"/>
          <w:szCs w:val="20"/>
        </w:rPr>
        <w:lastRenderedPageBreak/>
        <w:t xml:space="preserve">https://revistagloborural.globo.com/ Noticias/Agricultura/noticia/2018/07/logistica-reversa-como-descartar-corretamente-embalagens-de-agrotoxicos.html&gt;. Acesso em: 30 nov. 2018 </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JÚNIOR, J; ALVES, M; GUEIROS, S. </w:t>
      </w:r>
      <w:r w:rsidRPr="000D241F">
        <w:rPr>
          <w:rFonts w:ascii="Times New Roman" w:hAnsi="Times New Roman" w:cs="Times New Roman"/>
          <w:b/>
          <w:sz w:val="20"/>
          <w:szCs w:val="20"/>
        </w:rPr>
        <w:t>Intoxicação por organofosforados</w:t>
      </w:r>
      <w:r w:rsidRPr="007B5D29">
        <w:rPr>
          <w:rFonts w:ascii="Times New Roman" w:hAnsi="Times New Roman" w:cs="Times New Roman"/>
          <w:sz w:val="20"/>
          <w:szCs w:val="20"/>
        </w:rPr>
        <w:t>: a propósito de 14 casos da unidade dos médicos especiais. 2. ed. [S.l.: s.n.], 1999. 88 p. v. 6. Disponível em: &lt;http://www.spmi.pt/revista/vol06/vol6_n2_1999_088-091.pdf&gt;. Acesso em: 17 ago. 2018.</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MAZZONETTO, F. </w:t>
      </w:r>
      <w:r w:rsidRPr="000D241F">
        <w:rPr>
          <w:rFonts w:ascii="Times New Roman" w:hAnsi="Times New Roman" w:cs="Times New Roman"/>
          <w:b/>
          <w:sz w:val="20"/>
          <w:szCs w:val="20"/>
        </w:rPr>
        <w:t>A importância do uso de EPIs na aplicação de defensivos agrícolas.</w:t>
      </w:r>
      <w:r w:rsidRPr="007B5D29">
        <w:rPr>
          <w:rFonts w:ascii="Times New Roman" w:hAnsi="Times New Roman" w:cs="Times New Roman"/>
          <w:sz w:val="20"/>
          <w:szCs w:val="20"/>
        </w:rPr>
        <w:t xml:space="preserve"> 2016. Disponível em: &lt;http://universidadebrasil.edu.br/portal/a-importancia-do-uso-de-epis-na-aplicacao-de-defensivos-agricolas/&gt;. Acesso em: 31 out. 2017.</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NOGUEIRA, V. B. M., DANTAS, R. T., </w:t>
      </w:r>
      <w:r w:rsidRPr="007B5D29">
        <w:rPr>
          <w:rFonts w:ascii="Times New Roman" w:hAnsi="Times New Roman" w:cs="Times New Roman"/>
          <w:b/>
          <w:sz w:val="20"/>
          <w:szCs w:val="20"/>
        </w:rPr>
        <w:t>Gestão Ambiental de embalagens vazias de agrotóxicos.</w:t>
      </w:r>
      <w:r w:rsidRPr="007B5D29">
        <w:rPr>
          <w:rFonts w:ascii="Times New Roman" w:hAnsi="Times New Roman" w:cs="Times New Roman"/>
          <w:sz w:val="20"/>
          <w:szCs w:val="20"/>
        </w:rPr>
        <w:t xml:space="preserve"> Revista Tema – Revista Eletrônica de Ciências, Vol. 14 - n. 20/21, jan./dez. 2013, p. 22-34, Campina Grande, 2013. Disponível em: &lt;http://revistatema.facisa.edu.br/ index.php/revistatema/article/viewFile/136/pdf&gt;. Acesso em: 30 nov. 2018.</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O’MALLEY, G</w:t>
      </w:r>
      <w:r w:rsidRPr="000D241F">
        <w:rPr>
          <w:rFonts w:ascii="Times New Roman" w:hAnsi="Times New Roman" w:cs="Times New Roman"/>
          <w:b/>
          <w:sz w:val="20"/>
          <w:szCs w:val="20"/>
        </w:rPr>
        <w:t>. Intoxicação por organofosforados e carbamatos.</w:t>
      </w:r>
      <w:r w:rsidRPr="007B5D29">
        <w:rPr>
          <w:rFonts w:ascii="Times New Roman" w:hAnsi="Times New Roman" w:cs="Times New Roman"/>
          <w:sz w:val="20"/>
          <w:szCs w:val="20"/>
        </w:rPr>
        <w:t xml:space="preserve"> 2018. Disponível em: &lt;http:///www.msdmanuals.com/pt-br/profissional/lesões-intoxicação/intoxicação/intoxicação-por-organofosfarados-e-carbamatos&gt;. Acesso em: 02 out. 2018. </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 xml:space="preserve">OPAS, </w:t>
      </w:r>
      <w:r w:rsidRPr="000D241F">
        <w:rPr>
          <w:rFonts w:ascii="Times New Roman" w:hAnsi="Times New Roman" w:cs="Times New Roman"/>
          <w:b/>
          <w:sz w:val="20"/>
          <w:szCs w:val="20"/>
        </w:rPr>
        <w:t xml:space="preserve">Organização Pan-americana de Saúde </w:t>
      </w:r>
      <w:r w:rsidR="00141B60" w:rsidRPr="000D241F">
        <w:rPr>
          <w:rFonts w:ascii="Times New Roman" w:hAnsi="Times New Roman" w:cs="Times New Roman"/>
          <w:b/>
          <w:i/>
          <w:sz w:val="20"/>
          <w:szCs w:val="20"/>
        </w:rPr>
        <w:t>et al.</w:t>
      </w:r>
      <w:r w:rsidRPr="000D241F">
        <w:rPr>
          <w:rFonts w:ascii="Times New Roman" w:hAnsi="Times New Roman" w:cs="Times New Roman"/>
          <w:b/>
          <w:sz w:val="20"/>
          <w:szCs w:val="20"/>
        </w:rPr>
        <w:t xml:space="preserve"> (Org.).</w:t>
      </w:r>
      <w:r w:rsidRPr="007B5D29">
        <w:rPr>
          <w:rFonts w:ascii="Times New Roman" w:hAnsi="Times New Roman" w:cs="Times New Roman"/>
          <w:sz w:val="20"/>
          <w:szCs w:val="20"/>
        </w:rPr>
        <w:t xml:space="preserve"> Manual de vigilância da saúde de populações expostas a agrotóxicos. 1. ed. Brasilia: [s.n.], 1996. 69 p. Disponível em: &lt;http://bvsms.saude.gov.br/bvs/publicacoes/livro2.pdf&gt;. Acesso em: 27 set. 2018.</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RIBAS, P</w:t>
      </w:r>
      <w:r w:rsidR="006541A0">
        <w:rPr>
          <w:rFonts w:ascii="Times New Roman" w:hAnsi="Times New Roman" w:cs="Times New Roman"/>
          <w:sz w:val="20"/>
          <w:szCs w:val="20"/>
        </w:rPr>
        <w:t>.</w:t>
      </w:r>
      <w:r w:rsidRPr="007B5D29">
        <w:rPr>
          <w:rFonts w:ascii="Times New Roman" w:hAnsi="Times New Roman" w:cs="Times New Roman"/>
          <w:sz w:val="20"/>
          <w:szCs w:val="20"/>
        </w:rPr>
        <w:t xml:space="preserve"> P</w:t>
      </w:r>
      <w:r w:rsidR="006541A0">
        <w:rPr>
          <w:rFonts w:ascii="Times New Roman" w:hAnsi="Times New Roman" w:cs="Times New Roman"/>
          <w:sz w:val="20"/>
          <w:szCs w:val="20"/>
        </w:rPr>
        <w:t>.</w:t>
      </w:r>
      <w:r w:rsidRPr="007B5D29">
        <w:rPr>
          <w:rFonts w:ascii="Times New Roman" w:hAnsi="Times New Roman" w:cs="Times New Roman"/>
          <w:sz w:val="20"/>
          <w:szCs w:val="20"/>
        </w:rPr>
        <w:t>; MATSUMURA, A</w:t>
      </w:r>
      <w:r w:rsidR="006541A0">
        <w:rPr>
          <w:rFonts w:ascii="Times New Roman" w:hAnsi="Times New Roman" w:cs="Times New Roman"/>
          <w:sz w:val="20"/>
          <w:szCs w:val="20"/>
        </w:rPr>
        <w:t>.</w:t>
      </w:r>
      <w:r w:rsidRPr="007B5D29">
        <w:rPr>
          <w:rFonts w:ascii="Times New Roman" w:hAnsi="Times New Roman" w:cs="Times New Roman"/>
          <w:sz w:val="20"/>
          <w:szCs w:val="20"/>
        </w:rPr>
        <w:t xml:space="preserve"> T. </w:t>
      </w:r>
      <w:r w:rsidRPr="006541A0">
        <w:rPr>
          <w:rFonts w:ascii="Times New Roman" w:hAnsi="Times New Roman" w:cs="Times New Roman"/>
          <w:b/>
          <w:sz w:val="20"/>
          <w:szCs w:val="20"/>
        </w:rPr>
        <w:t>A química dos agrotóxicos:</w:t>
      </w:r>
      <w:r w:rsidRPr="007B5D29">
        <w:rPr>
          <w:rFonts w:ascii="Times New Roman" w:hAnsi="Times New Roman" w:cs="Times New Roman"/>
          <w:sz w:val="20"/>
          <w:szCs w:val="20"/>
        </w:rPr>
        <w:t xml:space="preserve"> impactos sobre a saúde e meio ambiente. 14. ed. Novo Hamburgo: [s.n.], 2009. 150 p. v. 10. Disponível em: &lt;http://www.liberato.com.br/sites/default/files/arquivos/Revista_SIER/v.%2010%2C%20n.%2014%20%282009%29/3.%20A%20qu%EDmica%20dos%20agrot%F3xicos.pdf&gt;. Acesso em: 30 .maio 2017.</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REINATO, A. O. R.; GARCIA, R. B. G.; ZERBINATI, O. E.,</w:t>
      </w:r>
      <w:r w:rsidRPr="006541A0">
        <w:rPr>
          <w:rFonts w:ascii="Times New Roman" w:hAnsi="Times New Roman" w:cs="Times New Roman"/>
          <w:b/>
          <w:sz w:val="20"/>
          <w:szCs w:val="20"/>
        </w:rPr>
        <w:t xml:space="preserve"> A situação atual das embalagens vazias de agrotóxicos no Brasil.</w:t>
      </w:r>
      <w:r w:rsidRPr="007B5D29">
        <w:rPr>
          <w:rFonts w:ascii="Times New Roman" w:hAnsi="Times New Roman" w:cs="Times New Roman"/>
          <w:sz w:val="20"/>
          <w:szCs w:val="20"/>
        </w:rPr>
        <w:t xml:space="preserve"> Engenharia Ambiental - Espírito Santo do Pinhal, v. 9, n. 4, p. 079-094, out/dez 2012. Disponível em: &lt;</w:t>
      </w:r>
      <w:r w:rsidRPr="007B5D29">
        <w:rPr>
          <w:sz w:val="20"/>
          <w:szCs w:val="20"/>
        </w:rPr>
        <w:t xml:space="preserve"> </w:t>
      </w:r>
      <w:r w:rsidRPr="007B5D29">
        <w:rPr>
          <w:rFonts w:ascii="Times New Roman" w:hAnsi="Times New Roman" w:cs="Times New Roman"/>
          <w:sz w:val="20"/>
          <w:szCs w:val="20"/>
        </w:rPr>
        <w:t>http://ferramentas.unipinhal.edu.br/engenharia ambiental/include/getdoc.php?id=2374&amp;article=779&amp;mode=pdf&gt;. Acesso em: 03 dez. 2018.</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SILVA, J</w:t>
      </w:r>
      <w:r w:rsidR="006541A0">
        <w:rPr>
          <w:rFonts w:ascii="Times New Roman" w:hAnsi="Times New Roman" w:cs="Times New Roman"/>
          <w:sz w:val="20"/>
          <w:szCs w:val="20"/>
        </w:rPr>
        <w:t>. M.; SILVA, E. N.; FARIA, H. P.; PINHEIRO, T. M. M.</w:t>
      </w:r>
      <w:r w:rsidRPr="007B5D29">
        <w:rPr>
          <w:rFonts w:ascii="Times New Roman" w:hAnsi="Times New Roman" w:cs="Times New Roman"/>
          <w:sz w:val="20"/>
          <w:szCs w:val="20"/>
        </w:rPr>
        <w:t xml:space="preserve"> </w:t>
      </w:r>
      <w:r w:rsidRPr="006541A0">
        <w:rPr>
          <w:rFonts w:ascii="Times New Roman" w:hAnsi="Times New Roman" w:cs="Times New Roman"/>
          <w:b/>
          <w:sz w:val="20"/>
          <w:szCs w:val="20"/>
        </w:rPr>
        <w:t>Agrotóxico e trabalho:</w:t>
      </w:r>
      <w:r w:rsidRPr="007B5D29">
        <w:rPr>
          <w:rFonts w:ascii="Times New Roman" w:hAnsi="Times New Roman" w:cs="Times New Roman"/>
          <w:sz w:val="20"/>
          <w:szCs w:val="20"/>
        </w:rPr>
        <w:t xml:space="preserve"> uma combinação perigosa para a saúde do trabalhador rural. Minas Gerais: Scielo, 2005. v. 10. Disponível em: &lt;http://www.scielosp.org/article/csc/2005.v10n4/891-903/&gt;. Acesso em: 31 out. 2017.</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7B5D29">
      <w:pPr>
        <w:pStyle w:val="SemEspaamento"/>
        <w:rPr>
          <w:rFonts w:ascii="Times New Roman" w:hAnsi="Times New Roman" w:cs="Times New Roman"/>
          <w:sz w:val="20"/>
          <w:szCs w:val="20"/>
        </w:rPr>
      </w:pPr>
      <w:r w:rsidRPr="007B5D29">
        <w:rPr>
          <w:rFonts w:ascii="Times New Roman" w:hAnsi="Times New Roman" w:cs="Times New Roman"/>
          <w:sz w:val="20"/>
          <w:szCs w:val="20"/>
        </w:rPr>
        <w:t>SPADOTTO, C</w:t>
      </w:r>
      <w:r w:rsidR="006541A0">
        <w:rPr>
          <w:rFonts w:ascii="Times New Roman" w:hAnsi="Times New Roman" w:cs="Times New Roman"/>
          <w:sz w:val="20"/>
          <w:szCs w:val="20"/>
        </w:rPr>
        <w:t>.</w:t>
      </w:r>
      <w:r w:rsidRPr="007B5D29">
        <w:rPr>
          <w:rFonts w:ascii="Times New Roman" w:hAnsi="Times New Roman" w:cs="Times New Roman"/>
          <w:sz w:val="20"/>
          <w:szCs w:val="20"/>
        </w:rPr>
        <w:t xml:space="preserve"> A. </w:t>
      </w:r>
      <w:r w:rsidRPr="006541A0">
        <w:rPr>
          <w:rFonts w:ascii="Times New Roman" w:hAnsi="Times New Roman" w:cs="Times New Roman"/>
          <w:b/>
          <w:sz w:val="20"/>
          <w:szCs w:val="20"/>
        </w:rPr>
        <w:t>Monitoramento do risco ambiental de agrotóxicos:</w:t>
      </w:r>
      <w:r w:rsidRPr="007B5D29">
        <w:rPr>
          <w:rFonts w:ascii="Times New Roman" w:hAnsi="Times New Roman" w:cs="Times New Roman"/>
          <w:sz w:val="20"/>
          <w:szCs w:val="20"/>
        </w:rPr>
        <w:t xml:space="preserve"> princípios e recomendações /Claudio A. Spadotto... [et. al.] .-- Jaguariúna: Embrapa Meio Ambiente, 2004. 29 p.-- (Embrapa Meio Ambiente. Documentos, 42).</w:t>
      </w:r>
    </w:p>
    <w:p w:rsidR="00750CA9" w:rsidRPr="007B5D29" w:rsidRDefault="00750CA9" w:rsidP="007B5D29">
      <w:pPr>
        <w:pStyle w:val="SemEspaamento"/>
        <w:rPr>
          <w:rFonts w:ascii="Times New Roman" w:hAnsi="Times New Roman" w:cs="Times New Roman"/>
          <w:sz w:val="20"/>
          <w:szCs w:val="20"/>
        </w:rPr>
      </w:pPr>
    </w:p>
    <w:p w:rsidR="00750CA9" w:rsidRPr="007B5D29" w:rsidRDefault="00750CA9" w:rsidP="00D3297B">
      <w:pPr>
        <w:pStyle w:val="SemEspaamento"/>
        <w:rPr>
          <w:rFonts w:ascii="Times New Roman" w:hAnsi="Times New Roman" w:cs="Times New Roman"/>
          <w:sz w:val="20"/>
          <w:szCs w:val="20"/>
        </w:rPr>
      </w:pPr>
      <w:r w:rsidRPr="007B5D29">
        <w:rPr>
          <w:rFonts w:ascii="Times New Roman" w:hAnsi="Times New Roman" w:cs="Times New Roman"/>
          <w:sz w:val="20"/>
          <w:szCs w:val="20"/>
        </w:rPr>
        <w:t>VEIGA, M</w:t>
      </w:r>
      <w:r w:rsidR="00141B60" w:rsidRPr="007B5D29">
        <w:rPr>
          <w:rFonts w:ascii="Times New Roman" w:hAnsi="Times New Roman" w:cs="Times New Roman"/>
          <w:i/>
          <w:sz w:val="20"/>
          <w:szCs w:val="20"/>
        </w:rPr>
        <w:t>.</w:t>
      </w:r>
      <w:r w:rsidR="006541A0">
        <w:rPr>
          <w:rFonts w:ascii="Times New Roman" w:hAnsi="Times New Roman" w:cs="Times New Roman"/>
          <w:i/>
          <w:sz w:val="20"/>
          <w:szCs w:val="20"/>
        </w:rPr>
        <w:t xml:space="preserve"> </w:t>
      </w:r>
      <w:r w:rsidR="006541A0">
        <w:rPr>
          <w:rFonts w:ascii="Times New Roman" w:hAnsi="Times New Roman" w:cs="Times New Roman"/>
          <w:sz w:val="20"/>
          <w:szCs w:val="20"/>
        </w:rPr>
        <w:t>M.; DUARTE, F. J. C. M.; MEIRELLES, L. A.; GARRIGOU, A. BALDI, I.</w:t>
      </w:r>
      <w:r w:rsidRPr="007B5D29">
        <w:rPr>
          <w:rFonts w:ascii="Times New Roman" w:hAnsi="Times New Roman" w:cs="Times New Roman"/>
          <w:sz w:val="20"/>
          <w:szCs w:val="20"/>
        </w:rPr>
        <w:t xml:space="preserve"> </w:t>
      </w:r>
      <w:r w:rsidRPr="006541A0">
        <w:rPr>
          <w:rFonts w:ascii="Times New Roman" w:hAnsi="Times New Roman" w:cs="Times New Roman"/>
          <w:b/>
          <w:sz w:val="20"/>
          <w:szCs w:val="20"/>
        </w:rPr>
        <w:t>A contaminação por agrotóxicos e os Equipamentos de Proteção Individual.</w:t>
      </w:r>
      <w:r w:rsidRPr="007B5D29">
        <w:rPr>
          <w:rFonts w:ascii="Times New Roman" w:hAnsi="Times New Roman" w:cs="Times New Roman"/>
          <w:sz w:val="20"/>
          <w:szCs w:val="20"/>
        </w:rPr>
        <w:t xml:space="preserve"> 57. ed. São Paulo: Fundacentro, 2007. 67 p. v. 68. Disponível em: &lt;http://www.redalyc.org/html/1005/100515563008/&gt;. Acesso em: 31 out. 2017.</w:t>
      </w:r>
    </w:p>
    <w:p w:rsidR="00750CA9" w:rsidRPr="007B5D29" w:rsidRDefault="00750CA9" w:rsidP="00D3297B">
      <w:pPr>
        <w:pStyle w:val="SemEspaamento"/>
        <w:rPr>
          <w:rFonts w:ascii="Times New Roman" w:hAnsi="Times New Roman" w:cs="Times New Roman"/>
          <w:sz w:val="20"/>
          <w:szCs w:val="20"/>
        </w:rPr>
      </w:pPr>
    </w:p>
    <w:p w:rsidR="00DC6549" w:rsidRPr="00AF7966" w:rsidRDefault="00750CA9" w:rsidP="00D3297B">
      <w:pPr>
        <w:spacing w:after="0" w:line="240" w:lineRule="auto"/>
        <w:rPr>
          <w:rFonts w:ascii="Times New Roman" w:hAnsi="Times New Roman" w:cs="Times New Roman"/>
          <w:sz w:val="24"/>
          <w:szCs w:val="24"/>
        </w:rPr>
      </w:pPr>
      <w:r w:rsidRPr="007B5D29">
        <w:rPr>
          <w:rFonts w:ascii="Times New Roman" w:hAnsi="Times New Roman" w:cs="Times New Roman"/>
          <w:sz w:val="20"/>
          <w:szCs w:val="20"/>
        </w:rPr>
        <w:t xml:space="preserve">VIERO, C. M.; CAMPONOGARA, S.; CEZAR-VAZ, M. R.; COSTA, V. Z.; BECK, C. L. C. </w:t>
      </w:r>
      <w:r w:rsidRPr="007B5D29">
        <w:rPr>
          <w:rFonts w:ascii="Times New Roman" w:hAnsi="Times New Roman" w:cs="Times New Roman"/>
          <w:b/>
          <w:sz w:val="20"/>
          <w:szCs w:val="20"/>
        </w:rPr>
        <w:t>Sociedade de risco:</w:t>
      </w:r>
      <w:r w:rsidRPr="007B5D29">
        <w:rPr>
          <w:rFonts w:ascii="Times New Roman" w:hAnsi="Times New Roman" w:cs="Times New Roman"/>
          <w:sz w:val="20"/>
          <w:szCs w:val="20"/>
        </w:rPr>
        <w:t xml:space="preserve"> o uso dos agrotóxicos e implicações na saúde do trabalhador rural. Escola Anna Nery 20(1) Jan-Mar 2016; p. 99-105. Disponível em: &lt;http://</w:t>
      </w:r>
      <w:r w:rsidRPr="007B5D29">
        <w:rPr>
          <w:sz w:val="20"/>
          <w:szCs w:val="20"/>
        </w:rPr>
        <w:t xml:space="preserve"> </w:t>
      </w:r>
      <w:r w:rsidRPr="007B5D29">
        <w:rPr>
          <w:rFonts w:ascii="Times New Roman" w:hAnsi="Times New Roman" w:cs="Times New Roman"/>
          <w:sz w:val="20"/>
          <w:szCs w:val="20"/>
        </w:rPr>
        <w:t>http://www.scielo.br/pdf/ean/v20n1/1414-8145-ean-20-01-0099.pdf</w:t>
      </w:r>
      <w:r w:rsidR="00AF7966" w:rsidRPr="007B5D29">
        <w:rPr>
          <w:rFonts w:ascii="Times New Roman" w:hAnsi="Times New Roman" w:cs="Times New Roman"/>
          <w:sz w:val="20"/>
          <w:szCs w:val="20"/>
        </w:rPr>
        <w:t>&gt;. Acesso em: 27 nov. 2018.</w:t>
      </w:r>
    </w:p>
    <w:sectPr w:rsidR="00DC6549" w:rsidRPr="00AF7966" w:rsidSect="001F08EA">
      <w:headerReference w:type="even" r:id="rId17"/>
      <w:headerReference w:type="default" r:id="rId18"/>
      <w:footerReference w:type="even" r:id="rId19"/>
      <w:footerReference w:type="default" r:id="rId20"/>
      <w:headerReference w:type="first" r:id="rId21"/>
      <w:footerReference w:type="first" r:id="rId22"/>
      <w:pgSz w:w="11906" w:h="16838"/>
      <w:pgMar w:top="680" w:right="1418" w:bottom="680"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20" w:rsidRDefault="00F53D20" w:rsidP="00BB7B6D">
      <w:pPr>
        <w:spacing w:after="0" w:line="240" w:lineRule="auto"/>
      </w:pPr>
      <w:r>
        <w:separator/>
      </w:r>
    </w:p>
  </w:endnote>
  <w:endnote w:type="continuationSeparator" w:id="0">
    <w:p w:rsidR="00F53D20" w:rsidRDefault="00F53D20" w:rsidP="00BB7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ont293">
    <w:altName w:val="Times New Roman"/>
    <w:charset w:val="00"/>
    <w:family w:val="auto"/>
    <w:pitch w:val="variable"/>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B6D" w:rsidRPr="0037747E" w:rsidRDefault="00F5151F" w:rsidP="00BB7B6D">
    <w:pPr>
      <w:pStyle w:val="Rodap"/>
      <w:jc w:val="center"/>
      <w:rPr>
        <w:color w:val="595959" w:themeColor="text1" w:themeTint="A6"/>
        <w:sz w:val="20"/>
      </w:rPr>
    </w:pPr>
    <w:r w:rsidRPr="0037747E">
      <w:rPr>
        <w:rFonts w:ascii="Arial Rounded MT Bold" w:hAnsi="Arial Rounded MT Bold"/>
        <w:color w:val="595959" w:themeColor="text1" w:themeTint="A6"/>
        <w:sz w:val="18"/>
      </w:rPr>
      <w:t>25 A 27 DE JULHO DE 2019</w:t>
    </w:r>
    <w:r w:rsidRPr="0037747E">
      <w:rPr>
        <w:rFonts w:ascii="Arial Rounded MT Bold" w:hAnsi="Arial Rounded MT Bold"/>
        <w:color w:val="595959" w:themeColor="text1" w:themeTint="A6"/>
        <w:sz w:val="18"/>
      </w:rPr>
      <w:br/>
      <w:t>JUAZEIRO - BA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20" w:rsidRDefault="00F53D20" w:rsidP="00BB7B6D">
      <w:pPr>
        <w:spacing w:after="0" w:line="240" w:lineRule="auto"/>
      </w:pPr>
      <w:r>
        <w:separator/>
      </w:r>
    </w:p>
  </w:footnote>
  <w:footnote w:type="continuationSeparator" w:id="0">
    <w:p w:rsidR="00F53D20" w:rsidRDefault="00F53D20" w:rsidP="00BB7B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F5151F" w:rsidP="0037747E">
    <w:pPr>
      <w:ind w:left="1418"/>
      <w:jc w:val="right"/>
      <w:rPr>
        <w:rFonts w:ascii="Arial Rounded MT Bold" w:hAnsi="Arial Rounded MT Bold"/>
        <w:color w:val="595959" w:themeColor="text1" w:themeTint="A6"/>
        <w:sz w:val="18"/>
      </w:rPr>
    </w:pPr>
    <w:r>
      <w:rPr>
        <w:rFonts w:ascii="Arial Rounded MT Bold" w:hAnsi="Arial Rounded MT Bold"/>
        <w:noProof/>
        <w:sz w:val="24"/>
        <w:lang w:eastAsia="pt-BR"/>
      </w:rPr>
      <w:drawing>
        <wp:anchor distT="0" distB="0" distL="114300" distR="114300" simplePos="0" relativeHeight="251658240" behindDoc="0" locked="0" layoutInCell="1" allowOverlap="1">
          <wp:simplePos x="0" y="0"/>
          <wp:positionH relativeFrom="column">
            <wp:posOffset>-3810</wp:posOffset>
          </wp:positionH>
          <wp:positionV relativeFrom="paragraph">
            <wp:posOffset>147955</wp:posOffset>
          </wp:positionV>
          <wp:extent cx="971550" cy="942975"/>
          <wp:effectExtent l="0" t="0" r="0" b="9525"/>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rotWithShape="1">
                  <a:blip r:embed="rId1" cstate="print">
                    <a:extLst>
                      <a:ext uri="{28A0092B-C50C-407E-A947-70E740481C1C}">
                        <a14:useLocalDpi xmlns:a14="http://schemas.microsoft.com/office/drawing/2010/main" val="0"/>
                      </a:ext>
                    </a:extLst>
                  </a:blip>
                  <a:srcRect l="14943" t="7114" r="12476" b="22449"/>
                  <a:stretch/>
                </pic:blipFill>
                <pic:spPr bwMode="auto">
                  <a:xfrm>
                    <a:off x="0" y="0"/>
                    <a:ext cx="971550" cy="942975"/>
                  </a:xfrm>
                  <a:prstGeom prst="rect">
                    <a:avLst/>
                  </a:prstGeom>
                  <a:ln>
                    <a:noFill/>
                  </a:ln>
                  <a:extLst>
                    <a:ext uri="{53640926-AAD7-44D8-BBD7-CCE9431645EC}">
                      <a14:shadowObscured xmlns:a14="http://schemas.microsoft.com/office/drawing/2010/main"/>
                    </a:ext>
                  </a:extLst>
                </pic:spPr>
              </pic:pic>
            </a:graphicData>
          </a:graphic>
        </wp:anchor>
      </w:drawing>
    </w:r>
    <w:r w:rsidR="00BB7B6D">
      <w:rPr>
        <w:rFonts w:ascii="Arial Rounded MT Bold" w:hAnsi="Arial Rounded MT Bold"/>
        <w:sz w:val="24"/>
      </w:rPr>
      <w:br/>
    </w:r>
  </w:p>
  <w:p w:rsidR="0037747E" w:rsidRPr="0037747E" w:rsidRDefault="00F5151F" w:rsidP="0037747E">
    <w:pPr>
      <w:ind w:left="1418"/>
      <w:jc w:val="right"/>
      <w:rPr>
        <w:rFonts w:ascii="Arial Rounded MT Bold" w:hAnsi="Arial Rounded MT Bold"/>
        <w:sz w:val="8"/>
      </w:rPr>
    </w:pPr>
    <w:r w:rsidRPr="0037747E">
      <w:rPr>
        <w:rFonts w:ascii="Arial Rounded MT Bold" w:hAnsi="Arial Rounded MT Bold"/>
        <w:color w:val="595959" w:themeColor="text1" w:themeTint="A6"/>
        <w:sz w:val="18"/>
      </w:rPr>
      <w:t>IX SIMPÓSIO DE ENGENHARIA DE PRODUÇÃO DO VALE DO SÃO FRANCISCO</w:t>
    </w:r>
    <w:r w:rsidR="0037747E" w:rsidRPr="0037747E">
      <w:rPr>
        <w:rFonts w:ascii="Arial Rounded MT Bold" w:hAnsi="Arial Rounded MT Bold"/>
        <w:color w:val="595959" w:themeColor="text1" w:themeTint="A6"/>
        <w:sz w:val="18"/>
      </w:rPr>
      <w:br/>
    </w:r>
    <w:r w:rsidR="0037747E">
      <w:rPr>
        <w:rFonts w:ascii="Arial Rounded MT Bold" w:hAnsi="Arial Rounded MT Bold"/>
        <w:color w:val="595959" w:themeColor="text1" w:themeTint="A6"/>
        <w:sz w:val="10"/>
      </w:rPr>
      <w:t>“</w:t>
    </w:r>
    <w:r w:rsidR="0037747E" w:rsidRPr="0037747E">
      <w:rPr>
        <w:rFonts w:ascii="Arial Rounded MT Bold" w:hAnsi="Arial Rounded MT Bold"/>
        <w:bCs/>
        <w:sz w:val="14"/>
        <w:szCs w:val="29"/>
      </w:rPr>
      <w:t>Perspectivas para um Engenheiro no Vale do São Francisco: Contribuições e Oportunidades”</w:t>
    </w:r>
  </w:p>
  <w:p w:rsidR="0037747E" w:rsidRDefault="0037747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47E" w:rsidRDefault="0037747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F7917"/>
    <w:multiLevelType w:val="hybridMultilevel"/>
    <w:tmpl w:val="8904D086"/>
    <w:lvl w:ilvl="0" w:tplc="7A60142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B6D"/>
    <w:rsid w:val="0008762F"/>
    <w:rsid w:val="00087F7B"/>
    <w:rsid w:val="000C1D4D"/>
    <w:rsid w:val="000D241F"/>
    <w:rsid w:val="000E7E96"/>
    <w:rsid w:val="000F31DF"/>
    <w:rsid w:val="000F6770"/>
    <w:rsid w:val="00141B60"/>
    <w:rsid w:val="001858A6"/>
    <w:rsid w:val="001938D7"/>
    <w:rsid w:val="001F08EA"/>
    <w:rsid w:val="001F25D7"/>
    <w:rsid w:val="00253AEA"/>
    <w:rsid w:val="002F256D"/>
    <w:rsid w:val="002F54C4"/>
    <w:rsid w:val="00320598"/>
    <w:rsid w:val="00343C3D"/>
    <w:rsid w:val="003517E4"/>
    <w:rsid w:val="0037747E"/>
    <w:rsid w:val="003B0CA1"/>
    <w:rsid w:val="003B51A0"/>
    <w:rsid w:val="003C6E8A"/>
    <w:rsid w:val="003F79A0"/>
    <w:rsid w:val="00410FD7"/>
    <w:rsid w:val="00430B9E"/>
    <w:rsid w:val="00475FB1"/>
    <w:rsid w:val="00494A17"/>
    <w:rsid w:val="004C6FE0"/>
    <w:rsid w:val="0050362C"/>
    <w:rsid w:val="00513C38"/>
    <w:rsid w:val="0058542B"/>
    <w:rsid w:val="005858A0"/>
    <w:rsid w:val="005A467E"/>
    <w:rsid w:val="005D03DA"/>
    <w:rsid w:val="005F06CE"/>
    <w:rsid w:val="005F35A4"/>
    <w:rsid w:val="006178A7"/>
    <w:rsid w:val="006541A0"/>
    <w:rsid w:val="006861F2"/>
    <w:rsid w:val="00691C69"/>
    <w:rsid w:val="0070405F"/>
    <w:rsid w:val="00750CA9"/>
    <w:rsid w:val="00762197"/>
    <w:rsid w:val="007B5D29"/>
    <w:rsid w:val="007C05D6"/>
    <w:rsid w:val="007F1B6F"/>
    <w:rsid w:val="008213B9"/>
    <w:rsid w:val="00841652"/>
    <w:rsid w:val="00881BF0"/>
    <w:rsid w:val="00892472"/>
    <w:rsid w:val="008D75E6"/>
    <w:rsid w:val="00923020"/>
    <w:rsid w:val="00953537"/>
    <w:rsid w:val="00A35B75"/>
    <w:rsid w:val="00A45324"/>
    <w:rsid w:val="00A55284"/>
    <w:rsid w:val="00A75FA3"/>
    <w:rsid w:val="00A773D1"/>
    <w:rsid w:val="00A95265"/>
    <w:rsid w:val="00AF0125"/>
    <w:rsid w:val="00AF52BB"/>
    <w:rsid w:val="00AF7966"/>
    <w:rsid w:val="00B11D44"/>
    <w:rsid w:val="00B559DA"/>
    <w:rsid w:val="00B73D9C"/>
    <w:rsid w:val="00BB7B6D"/>
    <w:rsid w:val="00C05763"/>
    <w:rsid w:val="00C56C30"/>
    <w:rsid w:val="00C72485"/>
    <w:rsid w:val="00C85349"/>
    <w:rsid w:val="00CB6774"/>
    <w:rsid w:val="00CB6F85"/>
    <w:rsid w:val="00CD4A16"/>
    <w:rsid w:val="00D04B0D"/>
    <w:rsid w:val="00D3083D"/>
    <w:rsid w:val="00D3297B"/>
    <w:rsid w:val="00D36415"/>
    <w:rsid w:val="00DC6549"/>
    <w:rsid w:val="00DD4AAD"/>
    <w:rsid w:val="00DF7F0D"/>
    <w:rsid w:val="00E071A7"/>
    <w:rsid w:val="00E60D84"/>
    <w:rsid w:val="00EE75A3"/>
    <w:rsid w:val="00EF18CE"/>
    <w:rsid w:val="00F1331A"/>
    <w:rsid w:val="00F5151F"/>
    <w:rsid w:val="00F53D20"/>
    <w:rsid w:val="00FA4B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750CA9"/>
    <w:pPr>
      <w:keepNext/>
      <w:suppressAutoHyphens/>
      <w:spacing w:before="240" w:after="60"/>
      <w:outlineLvl w:val="0"/>
    </w:pPr>
    <w:rPr>
      <w:rFonts w:ascii="Cambria" w:eastAsia="Times New Roman" w:hAnsi="Cambria" w:cs="Times New Roman"/>
      <w:b/>
      <w:bCs/>
      <w:kern w:val="32"/>
      <w:sz w:val="32"/>
      <w:szCs w:val="32"/>
    </w:rPr>
  </w:style>
  <w:style w:type="paragraph" w:styleId="Ttulo2">
    <w:name w:val="heading 2"/>
    <w:basedOn w:val="Normal"/>
    <w:next w:val="Normal"/>
    <w:link w:val="Ttulo2Char"/>
    <w:uiPriority w:val="9"/>
    <w:semiHidden/>
    <w:unhideWhenUsed/>
    <w:qFormat/>
    <w:rsid w:val="002F25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7B6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7B6D"/>
  </w:style>
  <w:style w:type="paragraph" w:styleId="Rodap">
    <w:name w:val="footer"/>
    <w:basedOn w:val="Normal"/>
    <w:link w:val="RodapChar"/>
    <w:uiPriority w:val="99"/>
    <w:unhideWhenUsed/>
    <w:rsid w:val="00BB7B6D"/>
    <w:pPr>
      <w:tabs>
        <w:tab w:val="center" w:pos="4252"/>
        <w:tab w:val="right" w:pos="8504"/>
      </w:tabs>
      <w:spacing w:after="0" w:line="240" w:lineRule="auto"/>
    </w:pPr>
  </w:style>
  <w:style w:type="character" w:customStyle="1" w:styleId="RodapChar">
    <w:name w:val="Rodapé Char"/>
    <w:basedOn w:val="Fontepargpadro"/>
    <w:link w:val="Rodap"/>
    <w:uiPriority w:val="99"/>
    <w:rsid w:val="00BB7B6D"/>
  </w:style>
  <w:style w:type="paragraph" w:styleId="Textodebalo">
    <w:name w:val="Balloon Text"/>
    <w:basedOn w:val="Normal"/>
    <w:link w:val="TextodebaloChar"/>
    <w:uiPriority w:val="99"/>
    <w:semiHidden/>
    <w:unhideWhenUsed/>
    <w:rsid w:val="00BB7B6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B7B6D"/>
    <w:rPr>
      <w:rFonts w:ascii="Tahoma" w:hAnsi="Tahoma" w:cs="Tahoma"/>
      <w:sz w:val="16"/>
      <w:szCs w:val="16"/>
    </w:rPr>
  </w:style>
  <w:style w:type="character" w:customStyle="1" w:styleId="Ttulo1Char">
    <w:name w:val="Título 1 Char"/>
    <w:basedOn w:val="Fontepargpadro"/>
    <w:link w:val="Ttulo1"/>
    <w:uiPriority w:val="9"/>
    <w:rsid w:val="00750CA9"/>
    <w:rPr>
      <w:rFonts w:ascii="Cambria" w:eastAsia="Times New Roman" w:hAnsi="Cambria" w:cs="Times New Roman"/>
      <w:b/>
      <w:bCs/>
      <w:kern w:val="32"/>
      <w:sz w:val="32"/>
      <w:szCs w:val="32"/>
    </w:rPr>
  </w:style>
  <w:style w:type="paragraph" w:styleId="SemEspaamento">
    <w:name w:val="No Spacing"/>
    <w:uiPriority w:val="1"/>
    <w:qFormat/>
    <w:rsid w:val="00750CA9"/>
    <w:pPr>
      <w:suppressAutoHyphens/>
      <w:spacing w:after="0" w:line="240" w:lineRule="auto"/>
    </w:pPr>
    <w:rPr>
      <w:rFonts w:ascii="Calibri" w:eastAsia="Calibri" w:hAnsi="Calibri" w:cs="font293"/>
      <w:kern w:val="1"/>
    </w:rPr>
  </w:style>
  <w:style w:type="character" w:styleId="Hyperlink">
    <w:name w:val="Hyperlink"/>
    <w:uiPriority w:val="99"/>
    <w:unhideWhenUsed/>
    <w:rsid w:val="00750CA9"/>
    <w:rPr>
      <w:color w:val="0000FF"/>
      <w:u w:val="single"/>
    </w:rPr>
  </w:style>
  <w:style w:type="paragraph" w:styleId="Subttulo">
    <w:name w:val="Subtitle"/>
    <w:basedOn w:val="Normal"/>
    <w:next w:val="Normal"/>
    <w:link w:val="SubttuloChar"/>
    <w:uiPriority w:val="11"/>
    <w:qFormat/>
    <w:rsid w:val="00750CA9"/>
    <w:pPr>
      <w:suppressAutoHyphens/>
      <w:spacing w:after="60"/>
      <w:jc w:val="center"/>
      <w:outlineLvl w:val="1"/>
    </w:pPr>
    <w:rPr>
      <w:rFonts w:ascii="Cambria" w:eastAsia="Times New Roman" w:hAnsi="Cambria" w:cs="Times New Roman"/>
      <w:kern w:val="1"/>
      <w:sz w:val="24"/>
      <w:szCs w:val="24"/>
    </w:rPr>
  </w:style>
  <w:style w:type="character" w:customStyle="1" w:styleId="SubttuloChar">
    <w:name w:val="Subtítulo Char"/>
    <w:basedOn w:val="Fontepargpadro"/>
    <w:link w:val="Subttulo"/>
    <w:uiPriority w:val="11"/>
    <w:rsid w:val="00750CA9"/>
    <w:rPr>
      <w:rFonts w:ascii="Cambria" w:eastAsia="Times New Roman" w:hAnsi="Cambria" w:cs="Times New Roman"/>
      <w:kern w:val="1"/>
      <w:sz w:val="24"/>
      <w:szCs w:val="24"/>
    </w:rPr>
  </w:style>
  <w:style w:type="paragraph" w:styleId="Ttulo">
    <w:name w:val="Title"/>
    <w:basedOn w:val="Normal"/>
    <w:next w:val="Normal"/>
    <w:link w:val="TtuloChar"/>
    <w:uiPriority w:val="10"/>
    <w:qFormat/>
    <w:rsid w:val="00750CA9"/>
    <w:pPr>
      <w:suppressAutoHyphens/>
      <w:spacing w:before="240" w:after="60"/>
      <w:jc w:val="center"/>
      <w:outlineLvl w:val="0"/>
    </w:pPr>
    <w:rPr>
      <w:rFonts w:ascii="Cambria" w:eastAsia="Times New Roman" w:hAnsi="Cambria" w:cs="Times New Roman"/>
      <w:b/>
      <w:bCs/>
      <w:kern w:val="28"/>
      <w:sz w:val="32"/>
      <w:szCs w:val="32"/>
    </w:rPr>
  </w:style>
  <w:style w:type="character" w:customStyle="1" w:styleId="TtuloChar">
    <w:name w:val="Título Char"/>
    <w:basedOn w:val="Fontepargpadro"/>
    <w:link w:val="Ttulo"/>
    <w:uiPriority w:val="10"/>
    <w:rsid w:val="00750CA9"/>
    <w:rPr>
      <w:rFonts w:ascii="Cambria" w:eastAsia="Times New Roman" w:hAnsi="Cambria" w:cs="Times New Roman"/>
      <w:b/>
      <w:bCs/>
      <w:kern w:val="28"/>
      <w:sz w:val="32"/>
      <w:szCs w:val="32"/>
    </w:rPr>
  </w:style>
  <w:style w:type="paragraph" w:styleId="NormalWeb">
    <w:name w:val="Normal (Web)"/>
    <w:basedOn w:val="Normal"/>
    <w:uiPriority w:val="99"/>
    <w:semiHidden/>
    <w:unhideWhenUsed/>
    <w:rsid w:val="00750CA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750CA9"/>
    <w:rPr>
      <w:sz w:val="16"/>
      <w:szCs w:val="16"/>
    </w:rPr>
  </w:style>
  <w:style w:type="paragraph" w:styleId="Textodecomentrio">
    <w:name w:val="annotation text"/>
    <w:basedOn w:val="Normal"/>
    <w:link w:val="TextodecomentrioChar"/>
    <w:uiPriority w:val="99"/>
    <w:semiHidden/>
    <w:unhideWhenUsed/>
    <w:rsid w:val="00750CA9"/>
    <w:pPr>
      <w:suppressAutoHyphens/>
      <w:spacing w:line="240" w:lineRule="auto"/>
    </w:pPr>
    <w:rPr>
      <w:rFonts w:ascii="Calibri" w:eastAsia="Calibri" w:hAnsi="Calibri" w:cs="font293"/>
      <w:kern w:val="1"/>
      <w:sz w:val="20"/>
      <w:szCs w:val="20"/>
    </w:rPr>
  </w:style>
  <w:style w:type="character" w:customStyle="1" w:styleId="TextodecomentrioChar">
    <w:name w:val="Texto de comentário Char"/>
    <w:basedOn w:val="Fontepargpadro"/>
    <w:link w:val="Textodecomentrio"/>
    <w:uiPriority w:val="99"/>
    <w:semiHidden/>
    <w:rsid w:val="00750CA9"/>
    <w:rPr>
      <w:rFonts w:ascii="Calibri" w:eastAsia="Calibri" w:hAnsi="Calibri" w:cs="font293"/>
      <w:kern w:val="1"/>
      <w:sz w:val="20"/>
      <w:szCs w:val="20"/>
    </w:rPr>
  </w:style>
  <w:style w:type="character" w:customStyle="1" w:styleId="Ttulo2Char">
    <w:name w:val="Título 2 Char"/>
    <w:basedOn w:val="Fontepargpadro"/>
    <w:link w:val="Ttulo2"/>
    <w:uiPriority w:val="9"/>
    <w:semiHidden/>
    <w:rsid w:val="002F25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4496</Words>
  <Characters>24282</Characters>
  <Application>Microsoft Office Word</Application>
  <DocSecurity>0</DocSecurity>
  <Lines>202</Lines>
  <Paragraphs>57</Paragraphs>
  <ScaleCrop>false</ScaleCrop>
  <Company/>
  <LinksUpToDate>false</LinksUpToDate>
  <CharactersWithSpaces>28721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2019-06-09T22:37:00Z</dcterms:created>
  <dcterms:modified xsi:type="dcterms:W3CDTF">2019-06-18T16:46:00Z</dcterms:modified>
  <cp:version/>
</cp:coreProperties>
</file>