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ARÉA TEMÁTICA: ECOLOGIA (INVERTEBRADOS)</w:t>
      </w:r>
    </w:p>
    <w:p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SUBÁREA TEMÁTICA: ECOLOGIA DE COMUNIDADES</w:t>
      </w:r>
    </w:p>
    <w:p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INFLUÊNCIA DA ESTRUTURA DA VEGETAÇÃO NA DIVERSIDADE DE ARANHAS EM ÁREAS DE CERRADO NO SUL DO MARANHÃO</w:t>
      </w:r>
    </w:p>
    <w:p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Yasmin Rita Alves Aguiar de Paula</w:t>
      </w:r>
      <w:r>
        <w:rPr>
          <w:rFonts w:eastAsia="Times New Roman"/>
          <w:sz w:val="20"/>
          <w:szCs w:val="20"/>
        </w:rPr>
        <w:t>¹,</w:t>
      </w:r>
      <w:r>
        <w:rPr>
          <w:rFonts w:eastAsia="Times New Roman"/>
          <w:sz w:val="20"/>
          <w:szCs w:val="20"/>
          <w:lang w:val="pt-BR"/>
        </w:rPr>
        <w:t xml:space="preserve"> Carla Raissa Cardoso Figueredo¹</w:t>
      </w:r>
      <w:r>
        <w:rPr>
          <w:rFonts w:eastAsia="Times New Roman"/>
          <w:sz w:val="20"/>
          <w:szCs w:val="20"/>
        </w:rPr>
        <w:t xml:space="preserve">, </w:t>
      </w:r>
      <w:r>
        <w:rPr>
          <w:rFonts w:eastAsia="Times New Roman"/>
          <w:sz w:val="20"/>
          <w:szCs w:val="20"/>
          <w:lang w:val="pt-BR"/>
        </w:rPr>
        <w:t>Regiane Saturnino Ferreira²</w:t>
      </w:r>
    </w:p>
    <w:p>
      <w:pPr>
        <w:spacing w:line="240" w:lineRule="auto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¹ </w:t>
      </w:r>
      <w:bookmarkStart w:id="0" w:name="_Hlk142917636"/>
      <w:r>
        <w:rPr>
          <w:rFonts w:eastAsia="Times New Roman"/>
          <w:sz w:val="20"/>
          <w:szCs w:val="20"/>
        </w:rPr>
        <w:t xml:space="preserve">Universidade Federal </w:t>
      </w:r>
      <w:r>
        <w:rPr>
          <w:rFonts w:eastAsia="Times New Roman"/>
          <w:sz w:val="20"/>
          <w:szCs w:val="20"/>
          <w:lang w:val="pt-BR"/>
        </w:rPr>
        <w:t xml:space="preserve">do Piauí 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  <w:lang w:val="pt-BR"/>
        </w:rPr>
        <w:t>UFPI</w:t>
      </w:r>
      <w:r>
        <w:rPr>
          <w:rFonts w:eastAsia="Times New Roman"/>
          <w:sz w:val="20"/>
          <w:szCs w:val="20"/>
        </w:rPr>
        <w:t xml:space="preserve">), </w:t>
      </w:r>
      <w:r>
        <w:rPr>
          <w:rFonts w:eastAsia="Times New Roman"/>
          <w:iCs/>
          <w:sz w:val="20"/>
          <w:szCs w:val="20"/>
        </w:rPr>
        <w:t xml:space="preserve">Campus </w:t>
      </w:r>
      <w:r>
        <w:rPr>
          <w:rFonts w:eastAsia="Times New Roman"/>
          <w:iCs/>
          <w:sz w:val="20"/>
          <w:szCs w:val="20"/>
          <w:lang w:val="pt-BR"/>
        </w:rPr>
        <w:t>Amílcar Ferreira Sobral</w:t>
      </w:r>
      <w:r>
        <w:rPr>
          <w:rFonts w:eastAsia="Times New Roman"/>
          <w:iCs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E-mail: </w:t>
      </w:r>
      <w:r>
        <w:fldChar w:fldCharType="begin"/>
      </w:r>
      <w:r>
        <w:instrText xml:space="preserve"> HYPERLINK "mailto:yasmin.aguiaar@gmail.com" </w:instrText>
      </w:r>
      <w:r>
        <w:fldChar w:fldCharType="separate"/>
      </w:r>
      <w:r>
        <w:rPr>
          <w:rStyle w:val="11"/>
          <w:rFonts w:eastAsia="Times New Roman"/>
          <w:color w:val="auto"/>
          <w:sz w:val="20"/>
          <w:szCs w:val="20"/>
          <w:u w:val="none"/>
          <w:lang w:val="pt-BR"/>
        </w:rPr>
        <w:t>yasmin.aguiaar</w:t>
      </w:r>
      <w:r>
        <w:rPr>
          <w:rStyle w:val="11"/>
          <w:rFonts w:eastAsia="Times New Roman"/>
          <w:color w:val="auto"/>
          <w:sz w:val="20"/>
          <w:szCs w:val="20"/>
          <w:u w:val="none"/>
        </w:rPr>
        <w:t>@</w:t>
      </w:r>
      <w:r>
        <w:rPr>
          <w:rStyle w:val="11"/>
          <w:rFonts w:eastAsia="Times New Roman"/>
          <w:color w:val="auto"/>
          <w:sz w:val="20"/>
          <w:szCs w:val="20"/>
          <w:u w:val="none"/>
          <w:lang w:val="pt-BR"/>
        </w:rPr>
        <w:t>gmail.com</w:t>
      </w:r>
      <w:r>
        <w:rPr>
          <w:rStyle w:val="11"/>
          <w:rFonts w:eastAsia="Times New Roman"/>
          <w:color w:val="auto"/>
          <w:sz w:val="20"/>
          <w:szCs w:val="20"/>
          <w:u w:val="none"/>
          <w:lang w:val="pt-BR"/>
        </w:rPr>
        <w:fldChar w:fldCharType="end"/>
      </w:r>
      <w:bookmarkEnd w:id="0"/>
      <w:r>
        <w:rPr>
          <w:rFonts w:hint="eastAsia"/>
          <w:sz w:val="20"/>
          <w:szCs w:val="20"/>
          <w:lang w:eastAsia="zh-CN"/>
        </w:rPr>
        <w:t>;</w:t>
      </w:r>
      <w:r>
        <w:rPr>
          <w:sz w:val="20"/>
          <w:szCs w:val="20"/>
          <w:lang w:val="pt-BR" w:eastAsia="zh-CN"/>
        </w:rPr>
        <w:t xml:space="preserve"> </w:t>
      </w:r>
      <w:r>
        <w:rPr>
          <w:rFonts w:eastAsia="Times New Roman"/>
          <w:sz w:val="20"/>
          <w:szCs w:val="20"/>
        </w:rPr>
        <w:t>figueredo.carlacardoso@gmail.com</w:t>
      </w:r>
    </w:p>
    <w:p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² Universidade Estadual da Região Tocantina do Maranhão (UEMASUL), Campus Imperatriz. E-mail: regiane.saturnino@uemasul.edu.br</w:t>
      </w:r>
    </w:p>
    <w:p>
      <w:pPr>
        <w:spacing w:line="240" w:lineRule="auto"/>
        <w:rPr>
          <w:rFonts w:eastAsia="Times New Roman"/>
          <w:b/>
          <w:sz w:val="20"/>
          <w:szCs w:val="20"/>
        </w:rPr>
      </w:pPr>
    </w:p>
    <w:p>
      <w:pPr>
        <w:spacing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INTRODUÇÃO</w:t>
      </w:r>
    </w:p>
    <w:p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Considerado o segundo maior bioma da América do Sul, o Cerrado ocupa cerca de 2.036.448 km</w:t>
      </w:r>
      <w:r>
        <w:rPr>
          <w:sz w:val="20"/>
          <w:szCs w:val="20"/>
          <w:vertAlign w:val="superscript"/>
          <w:lang w:eastAsia="zh-CN"/>
        </w:rPr>
        <w:t>2</w:t>
      </w:r>
      <w:r>
        <w:rPr>
          <w:sz w:val="20"/>
          <w:szCs w:val="20"/>
          <w:lang w:eastAsia="zh-CN"/>
        </w:rPr>
        <w:t xml:space="preserve"> de território,</w:t>
      </w:r>
      <w:r>
        <w:rPr>
          <w:sz w:val="20"/>
          <w:szCs w:val="20"/>
          <w:lang w:val="pt-BR" w:eastAsia="zh-CN"/>
        </w:rPr>
        <w:t xml:space="preserve"> </w:t>
      </w:r>
      <w:r>
        <w:rPr>
          <w:sz w:val="20"/>
          <w:szCs w:val="20"/>
          <w:lang w:eastAsia="zh-CN"/>
        </w:rPr>
        <w:t>apresenta</w:t>
      </w:r>
      <w:r>
        <w:rPr>
          <w:sz w:val="20"/>
          <w:szCs w:val="20"/>
          <w:lang w:val="pt-BR" w:eastAsia="zh-CN"/>
        </w:rPr>
        <w:t>ndo</w:t>
      </w:r>
      <w:r>
        <w:rPr>
          <w:sz w:val="20"/>
          <w:szCs w:val="20"/>
          <w:lang w:eastAsia="zh-CN"/>
        </w:rPr>
        <w:t xml:space="preserve"> uma vasta riqueza em espécies, que perfazem cerca de 33% da biodiversidade nacional, sendo o Cerrado brasileiro classificado como a savana mais diversa do mundo (Ministério do Meio Ambiente, 2011). Es</w:t>
      </w:r>
      <w:r>
        <w:rPr>
          <w:sz w:val="20"/>
          <w:szCs w:val="20"/>
          <w:lang w:val="pt-BR" w:eastAsia="zh-CN"/>
        </w:rPr>
        <w:t>s</w:t>
      </w:r>
      <w:r>
        <w:rPr>
          <w:sz w:val="20"/>
          <w:szCs w:val="20"/>
          <w:lang w:eastAsia="zh-CN"/>
        </w:rPr>
        <w:t>e fato pode ser justificado pela heterogeneidade de habitats existentes nesse bioma, que apresenta diferentes formações vegetacionais, variando de campos limpos a matas ciliares (Ribeiro e Walter, 1998).</w:t>
      </w:r>
    </w:p>
    <w:p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>
        <w:rPr>
          <w:sz w:val="20"/>
          <w:szCs w:val="20"/>
          <w:lang w:val="pt-BR" w:eastAsia="zh-CN"/>
        </w:rPr>
        <w:t>Em vista disso, é esperado que o tipo e a estrutura da vegetação exerçam um papel fundamental na distribuição e abundância dos organismos dentro do bioma, uma vez que são responsáveis por determinar a quantidade e diversidade de presas, afetar interações ecológicas, como as taxas de predação e parasitismo e também estabelecer as condições microclimáticas do ambiente (Souza, 2007), que, consequentemente, afetam diretamente a fauna local.</w:t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</w:rPr>
        <w:t>Nes</w:t>
      </w:r>
      <w:r>
        <w:rPr>
          <w:rFonts w:eastAsia="Times New Roman"/>
          <w:sz w:val="20"/>
          <w:szCs w:val="20"/>
          <w:lang w:val="pt-BR"/>
        </w:rPr>
        <w:t>s</w:t>
      </w:r>
      <w:r>
        <w:rPr>
          <w:rFonts w:eastAsia="Times New Roman"/>
          <w:sz w:val="20"/>
          <w:szCs w:val="20"/>
        </w:rPr>
        <w:t xml:space="preserve">e contexto, </w:t>
      </w:r>
      <w:r>
        <w:rPr>
          <w:rFonts w:eastAsia="Times New Roman"/>
          <w:sz w:val="20"/>
          <w:szCs w:val="20"/>
          <w:lang w:val="pt-BR"/>
        </w:rPr>
        <w:t xml:space="preserve">as </w:t>
      </w:r>
      <w:r>
        <w:rPr>
          <w:rFonts w:eastAsia="Times New Roman"/>
          <w:sz w:val="20"/>
          <w:szCs w:val="20"/>
        </w:rPr>
        <w:t xml:space="preserve">aranhas são consideradas como </w:t>
      </w:r>
      <w:r>
        <w:rPr>
          <w:rFonts w:eastAsia="Times New Roman"/>
          <w:sz w:val="20"/>
          <w:szCs w:val="20"/>
          <w:lang w:val="pt-BR"/>
        </w:rPr>
        <w:t>ótimos modelos para estudos ecológicos, pois são organismos de fácil amostragem, grande abundância, ampla distribuição, altamente diversas na região Neotropical, ocorrem ao longo de todo ano e possuem uma estreita relação com a estrutura da vegetação e do habitat em que se encontram (Santos et al., 2007). Como habitam desde a serapilheira até o dossel da floresta, elas ocupam os mais diferentes microhabitats e utilizam variadas estratégias de forrageamento (Foelix, 2011). Dessa forma, é possível que distintos grupos de aranhas estejam relacionados a diferentes aspectos do ambiente.</w:t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Portanto, mudanças estruturais na vegetação podem resultar em variações na composição das comunidades locais (Jimenéz-Valverde e Lobo, 2007), e compreender como elas ocorrem pode possibilitar prever padrões de mudanças nas comunidades biológicas ocasionadas por efeitos antrópicos, assim como avaliar o impacto da perda de espécies e dos serviços ambientais associados a elas (Uetz, 1991). </w:t>
      </w:r>
      <w:r>
        <w:rPr>
          <w:rFonts w:eastAsia="Times New Roman"/>
          <w:sz w:val="20"/>
          <w:szCs w:val="20"/>
        </w:rPr>
        <w:t xml:space="preserve">Sendo assim, considerando os diferentes mosaicos de vegetação existentes </w:t>
      </w:r>
      <w:r>
        <w:rPr>
          <w:rFonts w:eastAsia="Times New Roman"/>
          <w:sz w:val="20"/>
          <w:szCs w:val="20"/>
          <w:lang w:val="pt-BR"/>
        </w:rPr>
        <w:t>no bioma</w:t>
      </w:r>
      <w:r>
        <w:rPr>
          <w:rFonts w:eastAsia="Times New Roman"/>
          <w:sz w:val="20"/>
          <w:szCs w:val="20"/>
        </w:rPr>
        <w:t>, o presente trabalho visa investigar a relação entre a estrutura da vegetação e a diversidade de aranhas em</w:t>
      </w:r>
      <w:r>
        <w:rPr>
          <w:rFonts w:eastAsia="Times New Roman"/>
          <w:sz w:val="20"/>
          <w:szCs w:val="20"/>
          <w:lang w:val="pt-BR"/>
        </w:rPr>
        <w:t xml:space="preserve"> diferentes</w:t>
      </w:r>
      <w:r>
        <w:rPr>
          <w:rFonts w:eastAsia="Times New Roman"/>
          <w:sz w:val="20"/>
          <w:szCs w:val="20"/>
        </w:rPr>
        <w:t xml:space="preserve"> áreas de Cerrado no sul do Maranhão</w:t>
      </w:r>
      <w:r>
        <w:rPr>
          <w:rFonts w:eastAsia="Times New Roman"/>
          <w:sz w:val="20"/>
          <w:szCs w:val="20"/>
          <w:lang w:val="pt-BR"/>
        </w:rPr>
        <w:t>.</w:t>
      </w:r>
    </w:p>
    <w:p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</w:rPr>
        <w:t>MATERIAL E MÉTODOS</w:t>
      </w:r>
    </w:p>
    <w:p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  <w:r>
        <w:rPr>
          <w:rFonts w:eastAsia="Times New Roman"/>
          <w:sz w:val="20"/>
          <w:szCs w:val="20"/>
        </w:rPr>
        <w:t>A área de estudo foi delimitada pelo P</w:t>
      </w:r>
      <w:r>
        <w:rPr>
          <w:rFonts w:eastAsia="Times New Roman"/>
          <w:sz w:val="20"/>
          <w:szCs w:val="20"/>
          <w:lang w:val="pt-BR"/>
        </w:rPr>
        <w:t xml:space="preserve">arque </w:t>
      </w:r>
      <w:r>
        <w:rPr>
          <w:rFonts w:eastAsia="Times New Roman"/>
          <w:sz w:val="20"/>
          <w:szCs w:val="20"/>
        </w:rPr>
        <w:t>N</w:t>
      </w:r>
      <w:r>
        <w:rPr>
          <w:rFonts w:eastAsia="Times New Roman"/>
          <w:sz w:val="20"/>
          <w:szCs w:val="20"/>
          <w:lang w:val="pt-BR"/>
        </w:rPr>
        <w:t xml:space="preserve">acional da </w:t>
      </w:r>
      <w:r>
        <w:rPr>
          <w:rFonts w:eastAsia="Times New Roman"/>
          <w:sz w:val="20"/>
          <w:szCs w:val="20"/>
        </w:rPr>
        <w:t>C</w:t>
      </w:r>
      <w:r>
        <w:rPr>
          <w:rFonts w:eastAsia="Times New Roman"/>
          <w:sz w:val="20"/>
          <w:szCs w:val="20"/>
          <w:lang w:val="pt-BR"/>
        </w:rPr>
        <w:t xml:space="preserve">hapada das </w:t>
      </w:r>
      <w:r>
        <w:rPr>
          <w:rFonts w:eastAsia="Times New Roman"/>
          <w:sz w:val="20"/>
          <w:szCs w:val="20"/>
        </w:rPr>
        <w:t>M</w:t>
      </w:r>
      <w:r>
        <w:rPr>
          <w:rFonts w:eastAsia="Times New Roman"/>
          <w:sz w:val="20"/>
          <w:szCs w:val="20"/>
          <w:lang w:val="pt-BR"/>
        </w:rPr>
        <w:t>esas</w:t>
      </w:r>
      <w:r>
        <w:rPr>
          <w:rFonts w:eastAsia="Times New Roman"/>
          <w:sz w:val="20"/>
          <w:szCs w:val="20"/>
        </w:rPr>
        <w:t xml:space="preserve">, que ocupa uma área de 160.046.000 ha e está localizado no sul do estado do Maranhão, </w:t>
      </w:r>
      <w:r>
        <w:rPr>
          <w:rFonts w:cs="Times New Roman"/>
          <w:sz w:val="20"/>
          <w:szCs w:val="20"/>
        </w:rPr>
        <w:t>(entre as coordenadas 7º19’0’’S e 47º20’06’’O)</w:t>
      </w:r>
      <w:r>
        <w:rPr>
          <w:rFonts w:eastAsia="Times New Roman"/>
          <w:sz w:val="20"/>
          <w:szCs w:val="20"/>
        </w:rPr>
        <w:t xml:space="preserve"> (M</w:t>
      </w:r>
      <w:r>
        <w:rPr>
          <w:rFonts w:eastAsia="Times New Roman"/>
          <w:sz w:val="20"/>
          <w:szCs w:val="20"/>
          <w:lang w:val="pt-BR"/>
        </w:rPr>
        <w:t>inistério do Meio Ambiente</w:t>
      </w:r>
      <w:r>
        <w:rPr>
          <w:rFonts w:eastAsia="Times New Roman"/>
          <w:sz w:val="20"/>
          <w:szCs w:val="20"/>
        </w:rPr>
        <w:t>, 2007). Foram amostrados catorze pontos de coleta, cada um composto de quatro parcelas de 30x10</w:t>
      </w:r>
      <w:r>
        <w:rPr>
          <w:rFonts w:eastAsia="Times New Roman"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</w:rPr>
        <w:t>m, demarcadas paralelamente entre si, totalizando a obtenção de 4 amostras por ponto e 56 ao total.</w:t>
      </w:r>
      <w:r>
        <w:t xml:space="preserve"> </w:t>
      </w:r>
      <w:r>
        <w:rPr>
          <w:rFonts w:eastAsia="Times New Roman"/>
          <w:sz w:val="20"/>
          <w:szCs w:val="20"/>
        </w:rPr>
        <w:t xml:space="preserve">O número de parcelas tem por objetivo aumentar a representatividade biológica do ponto amostral, assim as amostras obtidas em cada parcela por ponto, </w:t>
      </w:r>
      <w:r>
        <w:rPr>
          <w:rFonts w:eastAsia="Times New Roman"/>
          <w:sz w:val="20"/>
          <w:szCs w:val="20"/>
          <w:lang w:val="pt-BR"/>
        </w:rPr>
        <w:t>foram</w:t>
      </w:r>
      <w:r>
        <w:rPr>
          <w:rFonts w:eastAsia="Times New Roman"/>
          <w:sz w:val="20"/>
          <w:szCs w:val="20"/>
        </w:rPr>
        <w:t xml:space="preserve"> unidas nas análises ecológicas, a fim de evitar as pseudoréplicas.</w:t>
      </w:r>
    </w:p>
    <w:p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>
        <w:rPr>
          <w:sz w:val="20"/>
          <w:szCs w:val="20"/>
          <w:lang w:val="pt-BR" w:eastAsia="zh-CN"/>
        </w:rPr>
        <w:t>Os pontos de coleta foram distribuídos em diferentes áreas de Cerrado, caracterizadas por formações savânicas (FS) e formações florestais (FF), sendo amostrados sete pontos para cada tipo de formação. Estes, foram distribuídos a uma distância de pelo menos 1 km entre si, a fim de garantir a independência entre os pontos amostrais, seguindo critérios de logística, uma vez que existem muitas áreas de difícil acesso na área de estudo.</w:t>
      </w:r>
    </w:p>
    <w:p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>
        <w:rPr>
          <w:sz w:val="20"/>
          <w:szCs w:val="20"/>
          <w:lang w:val="pt-BR" w:eastAsia="zh-CN"/>
        </w:rPr>
        <w:t>As coletas foram realizadas entre os meses de abril e junho do ano de 2022, utilizando-se da técnica de coleta manual com auxílio de batedores de vegetação. As aranhas coletadas foram mantidas em potes contendo álcool 80% até o processamento e identificação posterior. As mesmas foram identificadas ao nível de família com o uso de uma chave de identificação. Por último, foi feita a identificação específica das aranhas adultas com base em bibliografia recente. Quando não foi possível alcançar a identificação específica, o material foi morfotipado no nível mais preciso possível.</w:t>
      </w:r>
    </w:p>
    <w:p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>
        <w:rPr>
          <w:sz w:val="20"/>
          <w:szCs w:val="20"/>
          <w:lang w:val="pt-BR" w:eastAsia="zh-CN"/>
        </w:rPr>
        <w:t xml:space="preserve">As medidas de estrutura da vegetação foram tomadas em cada ponto de coleta a partir de adaptações do método proposto por Marsden </w:t>
      </w:r>
      <w:r>
        <w:rPr>
          <w:i/>
          <w:iCs/>
          <w:sz w:val="20"/>
          <w:szCs w:val="20"/>
          <w:lang w:val="pt-BR" w:eastAsia="zh-CN"/>
        </w:rPr>
        <w:t>et al</w:t>
      </w:r>
      <w:r>
        <w:rPr>
          <w:sz w:val="20"/>
          <w:szCs w:val="20"/>
          <w:lang w:val="pt-BR" w:eastAsia="zh-CN"/>
        </w:rPr>
        <w:t>. (2002), que mede a densidade da vegetação de sub-bosque com o uso de imagens digitais. Foram obtidas fotografias em todas as direções dos pontos cardeais, sendo duas fotos por direção, oito por parcela e 32 por ponto. Para mensuração da área obstruída foram feitos os cálculos de pixels referentes a porcentagem da área aberta e subtraído por 100, obtendo-se assim a porcentagem de área obstruída.</w:t>
      </w:r>
    </w:p>
    <w:p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>
        <w:rPr>
          <w:sz w:val="20"/>
          <w:szCs w:val="20"/>
          <w:lang w:val="pt-BR" w:eastAsia="zh-CN"/>
        </w:rPr>
        <w:t>Para verificar a influência da estrutura da vegetação sobre os parâmetros da comunidade de aranhas foi realizada Análise de Regressão Múltipla.</w:t>
      </w:r>
      <w:r>
        <w:t xml:space="preserve"> </w:t>
      </w:r>
      <w:r>
        <w:rPr>
          <w:sz w:val="20"/>
          <w:szCs w:val="20"/>
          <w:lang w:val="pt-BR" w:eastAsia="zh-CN"/>
        </w:rPr>
        <w:t>Para representar graficamente a relação de similaridade na composição da comunidade entre os pontos amostrados foi realizado o NMDS (Escalonamento Multidimensional Não-Métrico), com o índice de Bray-Curtis.</w:t>
      </w:r>
    </w:p>
    <w:p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RESULTADOS E DISCUSSÃO</w:t>
      </w:r>
    </w:p>
    <w:p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>
        <w:rPr>
          <w:rFonts w:eastAsia="Times New Roman"/>
          <w:sz w:val="20"/>
          <w:szCs w:val="20"/>
        </w:rPr>
        <w:t xml:space="preserve">Foram obtidas 56 amostras, contendo 3.200 espécimes, sendo 281 (8,8%) adultos e 2.919 (91,2%) jovens, distribuídos em 24 famílias. Dentre as famílias obtidas, as que apresentaram maior abundância, respectivamente, foram Theridiidae (n=612), Salticidae (n=599), Thomisidae (n=559), Araneidae (n=543) e Anyphaenidae (n=361). A respeito dos adultos, foram identificadas 157 espécies/morfoespécies, sendo que as mais abundantes foram </w:t>
      </w:r>
      <w:r>
        <w:rPr>
          <w:rFonts w:eastAsia="Times New Roman"/>
          <w:i/>
          <w:iCs/>
          <w:sz w:val="20"/>
          <w:szCs w:val="20"/>
        </w:rPr>
        <w:t>Achaearanea</w:t>
      </w:r>
      <w:r>
        <w:rPr>
          <w:rFonts w:eastAsia="Times New Roman"/>
          <w:sz w:val="20"/>
          <w:szCs w:val="20"/>
        </w:rPr>
        <w:t xml:space="preserve"> sp.1 (14 indivíduos), </w:t>
      </w:r>
      <w:r>
        <w:rPr>
          <w:rFonts w:eastAsia="Times New Roman"/>
          <w:i/>
          <w:iCs/>
          <w:sz w:val="20"/>
          <w:szCs w:val="20"/>
        </w:rPr>
        <w:t>Dipoena</w:t>
      </w:r>
      <w:r>
        <w:rPr>
          <w:rFonts w:eastAsia="Times New Roman"/>
          <w:sz w:val="20"/>
          <w:szCs w:val="20"/>
        </w:rPr>
        <w:t xml:space="preserve"> sp.4 (11 indivíduos), </w:t>
      </w:r>
      <w:r>
        <w:rPr>
          <w:rFonts w:eastAsia="Times New Roman"/>
          <w:i/>
          <w:iCs/>
          <w:sz w:val="20"/>
          <w:szCs w:val="20"/>
        </w:rPr>
        <w:t>Dipoena</w:t>
      </w:r>
      <w:r>
        <w:rPr>
          <w:rFonts w:eastAsia="Times New Roman"/>
          <w:sz w:val="20"/>
          <w:szCs w:val="20"/>
        </w:rPr>
        <w:t xml:space="preserve"> sp.10 e sp.11 (8 indivíduos) e </w:t>
      </w:r>
      <w:r>
        <w:rPr>
          <w:rFonts w:eastAsia="Times New Roman"/>
          <w:i/>
          <w:iCs/>
          <w:sz w:val="20"/>
          <w:szCs w:val="20"/>
        </w:rPr>
        <w:t>Episinus</w:t>
      </w:r>
      <w:r>
        <w:rPr>
          <w:rFonts w:eastAsia="Times New Roman"/>
          <w:sz w:val="20"/>
          <w:szCs w:val="20"/>
        </w:rPr>
        <w:t xml:space="preserve"> sp.1 (7 indivíduos)</w:t>
      </w:r>
      <w:r>
        <w:rPr>
          <w:rFonts w:eastAsia="Times New Roman"/>
          <w:sz w:val="20"/>
          <w:szCs w:val="20"/>
          <w:lang w:val="pt-BR"/>
        </w:rPr>
        <w:t>.</w:t>
      </w:r>
    </w:p>
    <w:p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  <w:r>
        <w:rPr>
          <w:rFonts w:eastAsia="Times New Roman"/>
          <w:sz w:val="20"/>
          <w:szCs w:val="20"/>
        </w:rPr>
        <w:t>A abundância de Theridiidae, Salticidade e Araneidae condizem com o esperado para amostragens de aranhas arborícolas a partir do batedor de vegetação, tendo em vista que são famílias de larga distribuição e riqueza em espécies, amplamente amostradas pelo método de coleta utilizado (Cajaiba et al</w:t>
      </w:r>
      <w:r>
        <w:rPr>
          <w:rFonts w:eastAsia="Times New Roman"/>
          <w:i/>
          <w:iCs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>, 2014). Todavia, Thomisidae e Anyphaenidae, não são, em geral, as mais abundantes em inventários como estes</w:t>
      </w:r>
      <w:r>
        <w:rPr>
          <w:rFonts w:eastAsia="Times New Roman"/>
          <w:sz w:val="20"/>
          <w:szCs w:val="20"/>
          <w:lang w:val="pt-BR"/>
        </w:rPr>
        <w:t xml:space="preserve"> (ex. Bonaldo e Dias, 2010)</w:t>
      </w:r>
      <w:r>
        <w:rPr>
          <w:rFonts w:eastAsia="Times New Roman"/>
          <w:sz w:val="20"/>
          <w:szCs w:val="20"/>
        </w:rPr>
        <w:t>. Tal fator pode estar fortemente relacionado ao tipo de vegetação presente no bioma amostrado, que parece apresentar uma composição diferente.</w:t>
      </w:r>
    </w:p>
    <w:p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Sobre as diferentes formações vegetais amostradas, as áreas caracterizadas por formações florestais (1.953 indivíduos; 61%) apresentaram maior abundância que as áreas de formações savânicas (1.247 indivíduos; 39%), o mesmo foi observado quanto a riqueza em espécies, onde as FF contaram com 104 espécies e as FS com 57 espécies</w:t>
      </w:r>
      <w:r>
        <w:rPr>
          <w:sz w:val="20"/>
          <w:szCs w:val="20"/>
          <w:lang w:val="pt-BR" w:eastAsia="zh-CN"/>
        </w:rPr>
        <w:t>. Desta forma</w:t>
      </w:r>
      <w:r>
        <w:rPr>
          <w:sz w:val="20"/>
          <w:szCs w:val="20"/>
          <w:lang w:eastAsia="zh-CN"/>
        </w:rPr>
        <w:t>, fazendo uma comparação entre os valores absolutos obtidos nos dois ambientes, é possível notar que nas formações florestais foi registrada uma maior diversidade de espécies.</w:t>
      </w:r>
    </w:p>
    <w:p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Souza (2007) afirma que a abundância de aranhas em um determinado ambiente, está bastante relacionada à estrutura da vegetação e os tipos de recursos presentes no mesmo</w:t>
      </w:r>
      <w:r>
        <w:rPr>
          <w:sz w:val="20"/>
          <w:szCs w:val="20"/>
          <w:lang w:val="pt-BR" w:eastAsia="zh-CN"/>
        </w:rPr>
        <w:t>. L</w:t>
      </w:r>
      <w:r>
        <w:rPr>
          <w:sz w:val="20"/>
          <w:szCs w:val="20"/>
          <w:lang w:eastAsia="zh-CN"/>
        </w:rPr>
        <w:t>ogo, considerando que as fitofisionomias florestais apresentam uma maior densidade de plantas, com variados tamanhos e ramificações, disponibilizando uma série de possíveis microhabitats para estes organismos, é esperado que a fauna de aranhas nestes ambientes seja maior e também mais diversa</w:t>
      </w:r>
      <w:r>
        <w:rPr>
          <w:sz w:val="20"/>
          <w:szCs w:val="20"/>
          <w:lang w:val="pt-BR" w:eastAsia="zh-CN"/>
        </w:rPr>
        <w:t xml:space="preserve"> (Souza, 2007)</w:t>
      </w:r>
      <w:r>
        <w:rPr>
          <w:sz w:val="20"/>
          <w:szCs w:val="20"/>
          <w:lang w:eastAsia="zh-CN"/>
        </w:rPr>
        <w:t>.</w:t>
      </w:r>
    </w:p>
    <w:p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Dentre o número de espécies/morfoespécies exclusivas entre as áreas de amostragem, das 157 espécies/morfoespécies, 153 ocorreram em apenas uma das áreas, sendo 100 nas formações florestais e 53 nas formações savânicas. Somente quatro espécies/morfoespécies foram compartilhadas entre as duas áreas, </w:t>
      </w:r>
      <w:r>
        <w:rPr>
          <w:sz w:val="20"/>
          <w:szCs w:val="20"/>
          <w:lang w:val="pt-BR" w:eastAsia="zh-CN"/>
        </w:rPr>
        <w:t xml:space="preserve">correspondendo a apenas </w:t>
      </w:r>
      <w:r>
        <w:rPr>
          <w:sz w:val="20"/>
          <w:szCs w:val="20"/>
          <w:lang w:eastAsia="zh-CN"/>
        </w:rPr>
        <w:t>6% da araneofauna amostrada na área de estudo.</w:t>
      </w:r>
      <w:r>
        <w:rPr>
          <w:sz w:val="20"/>
          <w:szCs w:val="20"/>
          <w:lang w:val="pt-BR" w:eastAsia="zh-CN"/>
        </w:rPr>
        <w:t xml:space="preserve"> Somado a isso, o primeiro eixo do escalonamento multidimensional não-métrico foi o mais representativo da comunidade, 25%, stress 0,48 (Fig. 1 a), captando a maior parte da variação e separando bem as comunidades presentes nos dois ambientes, afirmando-se assim que existe um</w:t>
      </w:r>
      <w:r>
        <w:rPr>
          <w:sz w:val="20"/>
          <w:szCs w:val="20"/>
          <w:lang w:eastAsia="zh-CN"/>
        </w:rPr>
        <w:t xml:space="preserve">a diferença na composição da comunidade de aranhas </w:t>
      </w:r>
      <w:r>
        <w:rPr>
          <w:sz w:val="20"/>
          <w:szCs w:val="20"/>
          <w:lang w:val="pt-BR" w:eastAsia="zh-CN"/>
        </w:rPr>
        <w:t>de ambos</w:t>
      </w:r>
      <w:r>
        <w:rPr>
          <w:rFonts w:hint="eastAsia"/>
          <w:sz w:val="20"/>
          <w:szCs w:val="20"/>
          <w:lang w:eastAsia="zh-CN"/>
        </w:rPr>
        <w:t>.</w:t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A </w:t>
      </w:r>
      <w:r>
        <w:rPr>
          <w:rFonts w:eastAsia="Times New Roman"/>
          <w:sz w:val="20"/>
          <w:szCs w:val="20"/>
          <w:lang w:val="pt-BR"/>
        </w:rPr>
        <w:t>densidade</w:t>
      </w:r>
      <w:r>
        <w:rPr>
          <w:rFonts w:eastAsia="Times New Roman"/>
          <w:sz w:val="20"/>
          <w:szCs w:val="20"/>
        </w:rPr>
        <w:t xml:space="preserve"> da vegetação </w:t>
      </w:r>
      <w:r>
        <w:rPr>
          <w:rFonts w:eastAsia="Times New Roman"/>
          <w:sz w:val="20"/>
          <w:szCs w:val="20"/>
          <w:lang w:val="pt-BR"/>
        </w:rPr>
        <w:t>apresentou</w:t>
      </w:r>
      <w:r>
        <w:rPr>
          <w:rFonts w:eastAsia="Times New Roman"/>
          <w:sz w:val="20"/>
          <w:szCs w:val="20"/>
        </w:rPr>
        <w:t xml:space="preserve"> efeitos significativos sobre a</w:t>
      </w:r>
      <w:r>
        <w:rPr>
          <w:rFonts w:eastAsia="Times New Roman"/>
          <w:sz w:val="20"/>
          <w:szCs w:val="20"/>
          <w:lang w:val="pt-BR"/>
        </w:rPr>
        <w:t xml:space="preserve"> abundância (r² = 0.47042; t = 4.4054; p = 0.001054) e</w:t>
      </w:r>
      <w:r>
        <w:rPr>
          <w:rFonts w:eastAsia="Times New Roman"/>
          <w:sz w:val="20"/>
          <w:szCs w:val="20"/>
        </w:rPr>
        <w:t xml:space="preserve"> riqueza</w:t>
      </w:r>
      <w:r>
        <w:rPr>
          <w:rFonts w:eastAsia="Times New Roman"/>
          <w:sz w:val="20"/>
          <w:szCs w:val="20"/>
          <w:lang w:val="pt-BR"/>
        </w:rPr>
        <w:t xml:space="preserve"> em espécies (r² = 0.38551; t = 3.8542; p = 0.00268)</w:t>
      </w:r>
      <w:r>
        <w:rPr>
          <w:rFonts w:eastAsia="Times New Roman"/>
          <w:sz w:val="20"/>
          <w:szCs w:val="20"/>
        </w:rPr>
        <w:t xml:space="preserve"> de aranhas</w:t>
      </w:r>
      <w:r>
        <w:rPr>
          <w:rFonts w:eastAsia="Times New Roman"/>
          <w:sz w:val="20"/>
          <w:szCs w:val="20"/>
          <w:lang w:val="pt-BR"/>
        </w:rPr>
        <w:t xml:space="preserve"> (Fig. 1 b e c)</w:t>
      </w:r>
      <w:r>
        <w:rPr>
          <w:rFonts w:eastAsia="Times New Roman"/>
          <w:sz w:val="20"/>
          <w:szCs w:val="20"/>
        </w:rPr>
        <w:t>, demonstrando que quanto maior essa variável, há um aumento da riqueza em espécies e abundância de indivíduos.</w:t>
      </w:r>
      <w:r>
        <w:t xml:space="preserve"> </w:t>
      </w:r>
      <w:r>
        <w:rPr>
          <w:rFonts w:eastAsia="Times New Roman"/>
          <w:sz w:val="20"/>
          <w:szCs w:val="20"/>
        </w:rPr>
        <w:t>Além disso, os pontos que apresenta</w:t>
      </w:r>
      <w:r>
        <w:rPr>
          <w:rFonts w:eastAsia="Times New Roman"/>
          <w:sz w:val="20"/>
          <w:szCs w:val="20"/>
          <w:lang w:val="pt-BR"/>
        </w:rPr>
        <w:t>ra</w:t>
      </w:r>
      <w:r>
        <w:rPr>
          <w:rFonts w:eastAsia="Times New Roman"/>
          <w:sz w:val="20"/>
          <w:szCs w:val="20"/>
        </w:rPr>
        <w:t>m maior obstrução da vegetação são justamente os pontos representados por formações florestais, que como já observado anteriormente, por apresentarem plantas com uma maior variedade de estruturas, tamanhos e formas, espera-se que consequentemente sustentem uma maior abundância e diversidade de espécies</w:t>
      </w:r>
      <w:r>
        <w:rPr>
          <w:rFonts w:eastAsia="Times New Roman"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</w:rPr>
        <w:t>(Souza, 2007).</w:t>
      </w:r>
    </w:p>
    <w:p>
      <w:pPr>
        <w:spacing w:line="240" w:lineRule="auto"/>
        <w:ind w:firstLine="0"/>
        <w:jc w:val="center"/>
        <w:rPr>
          <w:sz w:val="20"/>
          <w:szCs w:val="20"/>
          <w:lang w:eastAsia="zh-CN"/>
        </w:rPr>
      </w:pPr>
      <w:bookmarkStart w:id="4" w:name="_GoBack"/>
      <w:r>
        <w:rPr>
          <w:sz w:val="20"/>
          <w:szCs w:val="20"/>
          <w:lang w:eastAsia="zh-CN"/>
        </w:rPr>
        <w:drawing>
          <wp:inline distT="0" distB="0" distL="0" distR="0">
            <wp:extent cx="5172075" cy="1544320"/>
            <wp:effectExtent l="0" t="0" r="9525" b="1016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</w:p>
    <w:p>
      <w:pPr>
        <w:spacing w:line="240" w:lineRule="auto"/>
        <w:jc w:val="center"/>
        <w:rPr>
          <w:sz w:val="20"/>
          <w:szCs w:val="20"/>
          <w:lang w:eastAsia="zh-CN"/>
        </w:rPr>
      </w:pPr>
      <w:r>
        <w:rPr>
          <w:rFonts w:eastAsia="Times New Roman"/>
          <w:sz w:val="20"/>
          <w:szCs w:val="20"/>
        </w:rPr>
        <w:t xml:space="preserve">Figura </w:t>
      </w:r>
      <w:r>
        <w:rPr>
          <w:sz w:val="20"/>
          <w:szCs w:val="20"/>
          <w:lang w:val="pt-BR" w:eastAsia="zh-CN"/>
        </w:rPr>
        <w:t>1</w:t>
      </w:r>
      <w:r>
        <w:rPr>
          <w:rFonts w:eastAsia="Times New Roman"/>
          <w:sz w:val="20"/>
          <w:szCs w:val="20"/>
        </w:rPr>
        <w:t xml:space="preserve">. </w:t>
      </w:r>
      <w:r>
        <w:rPr>
          <w:rFonts w:eastAsia="Times New Roman"/>
          <w:sz w:val="20"/>
          <w:szCs w:val="20"/>
          <w:lang w:val="pt-BR"/>
        </w:rPr>
        <w:t xml:space="preserve">(A) </w:t>
      </w:r>
      <w:r>
        <w:rPr>
          <w:rFonts w:eastAsia="Times New Roman"/>
          <w:sz w:val="20"/>
          <w:szCs w:val="20"/>
        </w:rPr>
        <w:t>Eixos do escalonamento multidimensional não-métrico representando a comunidade de aranhas arborícolas em cada um dos pontos de amostragem.</w:t>
      </w:r>
      <w:r>
        <w:rPr>
          <w:rFonts w:eastAsia="Times New Roman"/>
          <w:sz w:val="20"/>
          <w:szCs w:val="20"/>
          <w:lang w:val="pt-BR"/>
        </w:rPr>
        <w:t xml:space="preserve"> (B) </w:t>
      </w:r>
      <w:r>
        <w:rPr>
          <w:rFonts w:eastAsia="Times New Roman"/>
          <w:sz w:val="20"/>
          <w:szCs w:val="20"/>
        </w:rPr>
        <w:t xml:space="preserve">Relação entre </w:t>
      </w:r>
      <w:r>
        <w:rPr>
          <w:rFonts w:eastAsia="Times New Roman"/>
          <w:sz w:val="20"/>
          <w:szCs w:val="20"/>
          <w:lang w:val="pt-BR"/>
        </w:rPr>
        <w:t>a obstrução da vegetação e os parâmetros de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  <w:lang w:val="pt-BR"/>
        </w:rPr>
        <w:t xml:space="preserve">abundância </w:t>
      </w:r>
      <w:r>
        <w:rPr>
          <w:rFonts w:eastAsia="Times New Roman"/>
          <w:sz w:val="20"/>
          <w:szCs w:val="20"/>
        </w:rPr>
        <w:t xml:space="preserve">e (B) </w:t>
      </w:r>
      <w:r>
        <w:rPr>
          <w:rFonts w:eastAsia="Times New Roman"/>
          <w:sz w:val="20"/>
          <w:szCs w:val="20"/>
          <w:lang w:val="pt-BR"/>
        </w:rPr>
        <w:t>riqueza em espécies de aranhas</w:t>
      </w:r>
      <w:r>
        <w:rPr>
          <w:rFonts w:eastAsia="Times New Roman"/>
          <w:sz w:val="20"/>
          <w:szCs w:val="20"/>
        </w:rPr>
        <w:t>. Os círculos vermelhos correspondem às formações savânicas e os pretos às formações florestais.</w:t>
      </w:r>
    </w:p>
    <w:p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CONCLUSÕES</w:t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Diante do exposto, pode-se concluir que</w:t>
      </w:r>
      <w:r>
        <w:rPr>
          <w:rFonts w:eastAsia="Times New Roman"/>
          <w:sz w:val="20"/>
          <w:szCs w:val="20"/>
        </w:rPr>
        <w:t xml:space="preserve"> este trabalho representa um importante </w:t>
      </w:r>
      <w:r>
        <w:rPr>
          <w:rFonts w:eastAsia="Times New Roman"/>
          <w:sz w:val="20"/>
          <w:szCs w:val="20"/>
          <w:lang w:val="pt-BR"/>
        </w:rPr>
        <w:t>avanço</w:t>
      </w:r>
      <w:r>
        <w:rPr>
          <w:rFonts w:eastAsia="Times New Roman"/>
          <w:sz w:val="20"/>
          <w:szCs w:val="20"/>
        </w:rPr>
        <w:t xml:space="preserve"> no conhecimento sobre a </w:t>
      </w:r>
      <w:r>
        <w:rPr>
          <w:rFonts w:eastAsia="Times New Roman"/>
          <w:sz w:val="20"/>
          <w:szCs w:val="20"/>
          <w:lang w:val="pt-BR"/>
        </w:rPr>
        <w:t>araneofauna do Cerrado maranhense e sua relação com a estrutura da vegetação, reforçando a importância desse fator na distribuição e abundância desses organismos.</w:t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Além disso,</w:t>
      </w:r>
      <w:r>
        <w:t xml:space="preserve"> </w:t>
      </w:r>
      <w:r>
        <w:rPr>
          <w:rFonts w:eastAsia="Times New Roman"/>
          <w:sz w:val="20"/>
          <w:szCs w:val="20"/>
          <w:lang w:val="pt-BR"/>
        </w:rPr>
        <w:t>os resultados deste estudo fornecem uma importante base de informações que pode auxiliar na formulação de futuras ações e planos de conservação para o grupo na região.</w:t>
      </w:r>
    </w:p>
    <w:p>
      <w:pPr>
        <w:spacing w:line="240" w:lineRule="auto"/>
        <w:ind w:firstLine="72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  <w:lang w:val="pt-BR"/>
        </w:rPr>
        <w:t>Por fim, destaca-se também a necessidade da realização de mais estudos no bioma, tendo em vista que as amostragens realizadas revelaram um grande potencial de espécies para a área amostrada.</w:t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</w:p>
    <w:p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REFERÊNCIAS </w:t>
      </w:r>
    </w:p>
    <w:p>
      <w:pPr>
        <w:tabs>
          <w:tab w:val="left" w:pos="1418"/>
        </w:tabs>
        <w:spacing w:line="240" w:lineRule="auto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Bonaldo, A.B.</w:t>
      </w:r>
      <w:r>
        <w:rPr>
          <w:sz w:val="20"/>
          <w:szCs w:val="20"/>
          <w:lang w:val="pt-BR" w:eastAsia="zh-CN"/>
        </w:rPr>
        <w:t>;</w:t>
      </w:r>
      <w:r>
        <w:rPr>
          <w:sz w:val="20"/>
          <w:szCs w:val="20"/>
          <w:lang w:eastAsia="zh-CN"/>
        </w:rPr>
        <w:t xml:space="preserve"> S.C.</w:t>
      </w:r>
      <w:r>
        <w:rPr>
          <w:sz w:val="20"/>
          <w:szCs w:val="20"/>
          <w:lang w:val="pt-BR" w:eastAsia="zh-CN"/>
        </w:rPr>
        <w:t xml:space="preserve"> </w:t>
      </w:r>
      <w:r>
        <w:rPr>
          <w:sz w:val="20"/>
          <w:szCs w:val="20"/>
          <w:lang w:eastAsia="zh-CN"/>
        </w:rPr>
        <w:t>Dias</w:t>
      </w:r>
      <w:r>
        <w:rPr>
          <w:sz w:val="20"/>
          <w:szCs w:val="20"/>
          <w:lang w:val="pt-BR" w:eastAsia="zh-CN"/>
        </w:rPr>
        <w:t>.</w:t>
      </w:r>
      <w:r>
        <w:rPr>
          <w:sz w:val="20"/>
          <w:szCs w:val="20"/>
          <w:lang w:eastAsia="zh-CN"/>
        </w:rPr>
        <w:t xml:space="preserve"> 2010. A structured inventory of spiders (Arachnida, Araneae) in natural and artificial forest gaps at Porto Urucu, Western Brazilian Amazonia. Acta Amazonica, 40, 357-372.</w:t>
      </w:r>
    </w:p>
    <w:p>
      <w:pPr>
        <w:tabs>
          <w:tab w:val="left" w:pos="1418"/>
        </w:tabs>
        <w:spacing w:line="240" w:lineRule="auto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Cajaiba, R.L.</w:t>
      </w:r>
      <w:r>
        <w:rPr>
          <w:sz w:val="20"/>
          <w:szCs w:val="20"/>
          <w:lang w:val="pt-BR" w:eastAsia="zh-CN"/>
        </w:rPr>
        <w:t xml:space="preserve">; </w:t>
      </w:r>
      <w:r>
        <w:rPr>
          <w:sz w:val="20"/>
          <w:szCs w:val="20"/>
          <w:lang w:eastAsia="zh-CN"/>
        </w:rPr>
        <w:t>L.J. Paix</w:t>
      </w:r>
      <w:r>
        <w:rPr>
          <w:sz w:val="20"/>
          <w:szCs w:val="20"/>
          <w:lang w:val="pt-BR" w:eastAsia="zh-CN"/>
        </w:rPr>
        <w:t xml:space="preserve">ão; </w:t>
      </w:r>
      <w:r>
        <w:rPr>
          <w:sz w:val="20"/>
          <w:szCs w:val="20"/>
          <w:lang w:eastAsia="zh-CN"/>
        </w:rPr>
        <w:t>S.M. Santos</w:t>
      </w:r>
      <w:r>
        <w:rPr>
          <w:sz w:val="20"/>
          <w:szCs w:val="20"/>
          <w:lang w:val="pt-BR" w:eastAsia="zh-CN"/>
        </w:rPr>
        <w:t>;</w:t>
      </w:r>
      <w:r>
        <w:rPr>
          <w:sz w:val="20"/>
          <w:szCs w:val="20"/>
          <w:lang w:eastAsia="zh-CN"/>
        </w:rPr>
        <w:t xml:space="preserve"> I.M. Barbosa &amp; W.B. Silva</w:t>
      </w:r>
      <w:r>
        <w:rPr>
          <w:sz w:val="20"/>
          <w:szCs w:val="20"/>
          <w:lang w:val="pt-BR" w:eastAsia="zh-CN"/>
        </w:rPr>
        <w:t>.</w:t>
      </w:r>
      <w:r>
        <w:rPr>
          <w:sz w:val="20"/>
          <w:szCs w:val="20"/>
          <w:lang w:eastAsia="zh-CN"/>
        </w:rPr>
        <w:t xml:space="preserve"> 2014. Inventário de araneofauna (Arachnida, Araneae) coletadas em pastagens no município de Uruará, Pará, Brasil. Biota Amazônia, 4(4), 98-101.</w:t>
      </w:r>
    </w:p>
    <w:p>
      <w:pPr>
        <w:tabs>
          <w:tab w:val="left" w:pos="1418"/>
        </w:tabs>
        <w:spacing w:line="240" w:lineRule="auto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Foelix, R.F. </w:t>
      </w:r>
      <w:r>
        <w:rPr>
          <w:sz w:val="20"/>
          <w:szCs w:val="20"/>
          <w:lang w:val="en-GB" w:eastAsia="zh-CN"/>
        </w:rPr>
        <w:t xml:space="preserve">2011. </w:t>
      </w:r>
      <w:r>
        <w:rPr>
          <w:sz w:val="20"/>
          <w:szCs w:val="20"/>
          <w:lang w:eastAsia="zh-CN"/>
        </w:rPr>
        <w:t>Biology of spiders. New York</w:t>
      </w:r>
      <w:r>
        <w:rPr>
          <w:sz w:val="20"/>
          <w:szCs w:val="20"/>
          <w:lang w:val="en-GB" w:eastAsia="zh-CN"/>
        </w:rPr>
        <w:t>,</w:t>
      </w:r>
      <w:r>
        <w:rPr>
          <w:sz w:val="20"/>
          <w:szCs w:val="20"/>
          <w:lang w:eastAsia="zh-CN"/>
        </w:rPr>
        <w:t xml:space="preserve"> Oxford University Press, VIII</w:t>
      </w:r>
      <w:r>
        <w:rPr>
          <w:sz w:val="20"/>
          <w:szCs w:val="20"/>
          <w:lang w:val="en-GB" w:eastAsia="zh-CN"/>
        </w:rPr>
        <w:t>+419p</w:t>
      </w:r>
      <w:r>
        <w:rPr>
          <w:sz w:val="20"/>
          <w:szCs w:val="20"/>
          <w:lang w:eastAsia="zh-CN"/>
        </w:rPr>
        <w:t>.</w:t>
      </w:r>
    </w:p>
    <w:p>
      <w:pPr>
        <w:tabs>
          <w:tab w:val="left" w:pos="1418"/>
        </w:tabs>
        <w:spacing w:line="240" w:lineRule="auto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Jiménez</w:t>
      </w:r>
      <w:r>
        <w:rPr>
          <w:rFonts w:hint="eastAsia"/>
          <w:sz w:val="20"/>
          <w:szCs w:val="20"/>
          <w:lang w:eastAsia="zh-CN"/>
        </w:rPr>
        <w:t>-</w:t>
      </w:r>
      <w:r>
        <w:rPr>
          <w:sz w:val="20"/>
          <w:szCs w:val="20"/>
          <w:lang w:eastAsia="zh-CN"/>
        </w:rPr>
        <w:t>Valverde, A</w:t>
      </w:r>
      <w:r>
        <w:rPr>
          <w:sz w:val="20"/>
          <w:szCs w:val="20"/>
          <w:lang w:val="pt-BR" w:eastAsia="zh-CN"/>
        </w:rPr>
        <w:t>.</w:t>
      </w:r>
      <w:r>
        <w:rPr>
          <w:sz w:val="20"/>
          <w:szCs w:val="20"/>
          <w:lang w:eastAsia="zh-CN"/>
        </w:rPr>
        <w:t xml:space="preserve">; </w:t>
      </w:r>
      <w:r>
        <w:rPr>
          <w:sz w:val="20"/>
          <w:szCs w:val="20"/>
          <w:lang w:val="pt-BR" w:eastAsia="zh-CN"/>
        </w:rPr>
        <w:t xml:space="preserve">J.M., </w:t>
      </w:r>
      <w:r>
        <w:rPr>
          <w:sz w:val="20"/>
          <w:szCs w:val="20"/>
          <w:lang w:eastAsia="zh-CN"/>
        </w:rPr>
        <w:t>Lobo</w:t>
      </w:r>
      <w:r>
        <w:rPr>
          <w:rFonts w:hint="eastAsia"/>
          <w:sz w:val="20"/>
          <w:szCs w:val="20"/>
          <w:lang w:eastAsia="zh-CN"/>
        </w:rPr>
        <w:t>.</w:t>
      </w:r>
      <w:r>
        <w:rPr>
          <w:sz w:val="20"/>
          <w:szCs w:val="20"/>
          <w:lang w:val="pt-BR" w:eastAsia="zh-CN"/>
        </w:rPr>
        <w:t xml:space="preserve"> 2007.</w:t>
      </w:r>
      <w:r>
        <w:rPr>
          <w:rFonts w:hint="eastAsia"/>
          <w:sz w:val="20"/>
          <w:szCs w:val="20"/>
          <w:lang w:eastAsia="zh-CN"/>
        </w:rPr>
        <w:t xml:space="preserve"> Determinants of local spider (Araneidae and Thomisidae) species richness on a regional scale: climate and altitude vs. habitat structure. Ecological Entomology,</w:t>
      </w:r>
      <w:r>
        <w:rPr>
          <w:sz w:val="20"/>
          <w:szCs w:val="20"/>
          <w:lang w:val="pt-BR"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>32</w:t>
      </w:r>
      <w:r>
        <w:rPr>
          <w:sz w:val="20"/>
          <w:szCs w:val="20"/>
          <w:lang w:val="pt-BR" w:eastAsia="zh-CN"/>
        </w:rPr>
        <w:t>(</w:t>
      </w:r>
      <w:r>
        <w:rPr>
          <w:rFonts w:hint="eastAsia"/>
          <w:sz w:val="20"/>
          <w:szCs w:val="20"/>
          <w:lang w:eastAsia="zh-CN"/>
        </w:rPr>
        <w:t>1</w:t>
      </w:r>
      <w:r>
        <w:rPr>
          <w:sz w:val="20"/>
          <w:szCs w:val="20"/>
          <w:lang w:val="pt-BR" w:eastAsia="zh-CN"/>
        </w:rPr>
        <w:t>)</w:t>
      </w:r>
      <w:r>
        <w:rPr>
          <w:rFonts w:hint="eastAsia"/>
          <w:sz w:val="20"/>
          <w:szCs w:val="20"/>
          <w:lang w:eastAsia="zh-CN"/>
        </w:rPr>
        <w:t>,</w:t>
      </w:r>
      <w:r>
        <w:rPr>
          <w:sz w:val="20"/>
          <w:szCs w:val="20"/>
          <w:lang w:val="pt-BR"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>113-122.</w:t>
      </w:r>
      <w:r>
        <w:rPr>
          <w:sz w:val="20"/>
          <w:szCs w:val="20"/>
          <w:lang w:eastAsia="zh-CN"/>
        </w:rPr>
        <w:t xml:space="preserve">World Spider Catalog. </w:t>
      </w:r>
      <w:r>
        <w:rPr>
          <w:sz w:val="20"/>
          <w:szCs w:val="20"/>
          <w:lang w:val="en-GB" w:eastAsia="zh-CN"/>
        </w:rPr>
        <w:t xml:space="preserve">2022. </w:t>
      </w:r>
      <w:r>
        <w:rPr>
          <w:sz w:val="20"/>
          <w:szCs w:val="20"/>
          <w:lang w:eastAsia="zh-CN"/>
        </w:rPr>
        <w:t>World Spider Catalog</w:t>
      </w:r>
      <w:r>
        <w:rPr>
          <w:sz w:val="20"/>
          <w:szCs w:val="20"/>
          <w:lang w:val="en-GB" w:eastAsia="zh-CN"/>
        </w:rPr>
        <w:t xml:space="preserve"> </w:t>
      </w:r>
      <w:r>
        <w:rPr>
          <w:sz w:val="20"/>
          <w:szCs w:val="20"/>
          <w:lang w:eastAsia="zh-CN"/>
        </w:rPr>
        <w:t xml:space="preserve">Version 23.0. Natural History Museum Bern. Disponível em: </w:t>
      </w:r>
      <w:r>
        <w:fldChar w:fldCharType="begin"/>
      </w:r>
      <w:r>
        <w:instrText xml:space="preserve"> HYPERLINK "http://wsc.nmbe.ch" </w:instrText>
      </w:r>
      <w:r>
        <w:fldChar w:fldCharType="separate"/>
      </w:r>
      <w:r>
        <w:rPr>
          <w:rStyle w:val="11"/>
          <w:color w:val="auto"/>
          <w:sz w:val="20"/>
          <w:szCs w:val="20"/>
          <w:u w:val="none"/>
          <w:lang w:eastAsia="zh-CN"/>
        </w:rPr>
        <w:t>http://wsc.nmbe.ch</w:t>
      </w:r>
      <w:r>
        <w:rPr>
          <w:rStyle w:val="11"/>
          <w:color w:val="auto"/>
          <w:sz w:val="20"/>
          <w:szCs w:val="20"/>
          <w:u w:val="none"/>
          <w:lang w:eastAsia="zh-CN"/>
        </w:rPr>
        <w:fldChar w:fldCharType="end"/>
      </w:r>
      <w:r>
        <w:rPr>
          <w:sz w:val="20"/>
          <w:szCs w:val="20"/>
          <w:lang w:val="pt-BR" w:eastAsia="zh-CN"/>
        </w:rPr>
        <w:t xml:space="preserve"> [</w:t>
      </w:r>
      <w:r>
        <w:rPr>
          <w:sz w:val="20"/>
          <w:szCs w:val="20"/>
          <w:lang w:eastAsia="zh-CN"/>
        </w:rPr>
        <w:t>20 de maio de 2022</w:t>
      </w:r>
      <w:r>
        <w:rPr>
          <w:sz w:val="20"/>
          <w:szCs w:val="20"/>
          <w:lang w:val="pt-BR" w:eastAsia="zh-CN"/>
        </w:rPr>
        <w:t>]</w:t>
      </w:r>
      <w:r>
        <w:rPr>
          <w:sz w:val="20"/>
          <w:szCs w:val="20"/>
          <w:lang w:eastAsia="zh-CN"/>
        </w:rPr>
        <w:t>.</w:t>
      </w:r>
    </w:p>
    <w:p>
      <w:pPr>
        <w:tabs>
          <w:tab w:val="left" w:pos="1418"/>
        </w:tabs>
        <w:spacing w:line="240" w:lineRule="auto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Marsden, S.J.</w:t>
      </w:r>
      <w:r>
        <w:rPr>
          <w:sz w:val="20"/>
          <w:szCs w:val="20"/>
          <w:lang w:val="en-GB" w:eastAsia="zh-CN"/>
        </w:rPr>
        <w:t>; A.H. Fielding; C. Mead &amp; M.Z. Hussin</w:t>
      </w:r>
      <w:r>
        <w:rPr>
          <w:sz w:val="20"/>
          <w:szCs w:val="20"/>
          <w:lang w:eastAsia="zh-CN"/>
        </w:rPr>
        <w:t xml:space="preserve">. </w:t>
      </w:r>
      <w:r>
        <w:rPr>
          <w:sz w:val="20"/>
          <w:szCs w:val="20"/>
          <w:lang w:val="en-GB" w:eastAsia="zh-CN"/>
        </w:rPr>
        <w:t xml:space="preserve">2002. </w:t>
      </w:r>
      <w:r>
        <w:rPr>
          <w:sz w:val="20"/>
          <w:szCs w:val="20"/>
          <w:lang w:eastAsia="zh-CN"/>
        </w:rPr>
        <w:t>A technique for measuring the density and complexity of understorey vegetation in tropical forests. Forest Ecology and Management, 165(1-3), 117-123.</w:t>
      </w:r>
    </w:p>
    <w:p>
      <w:pPr>
        <w:tabs>
          <w:tab w:val="left" w:pos="1418"/>
        </w:tabs>
        <w:spacing w:line="240" w:lineRule="auto"/>
        <w:jc w:val="both"/>
        <w:rPr>
          <w:sz w:val="20"/>
          <w:szCs w:val="20"/>
          <w:lang w:eastAsia="zh-CN"/>
        </w:rPr>
      </w:pPr>
      <w:bookmarkStart w:id="1" w:name="_Hlk141998326"/>
      <w:r>
        <w:rPr>
          <w:sz w:val="20"/>
          <w:szCs w:val="20"/>
          <w:lang w:eastAsia="zh-CN"/>
        </w:rPr>
        <w:t>Ministério do Meio Ambiente</w:t>
      </w:r>
      <w:bookmarkEnd w:id="1"/>
      <w:r>
        <w:rPr>
          <w:sz w:val="20"/>
          <w:szCs w:val="20"/>
          <w:lang w:eastAsia="zh-CN"/>
        </w:rPr>
        <w:t>.</w:t>
      </w:r>
      <w:r>
        <w:rPr>
          <w:sz w:val="20"/>
          <w:szCs w:val="20"/>
          <w:lang w:val="pt-BR" w:eastAsia="zh-CN"/>
        </w:rPr>
        <w:t xml:space="preserve"> 2007. </w:t>
      </w:r>
      <w:r>
        <w:rPr>
          <w:sz w:val="20"/>
          <w:szCs w:val="20"/>
          <w:lang w:eastAsia="zh-CN"/>
        </w:rPr>
        <w:t>Plano operativo de prevenção e combate aos incêndios florestais do Parque Nacional da Chapada das Mesa</w:t>
      </w:r>
      <w:r>
        <w:rPr>
          <w:sz w:val="20"/>
          <w:szCs w:val="20"/>
          <w:lang w:val="pt-BR" w:eastAsia="zh-CN"/>
        </w:rPr>
        <w:t>s. Carolina,</w:t>
      </w:r>
      <w:r>
        <w:t xml:space="preserve"> </w:t>
      </w:r>
      <w:r>
        <w:rPr>
          <w:sz w:val="20"/>
          <w:szCs w:val="20"/>
          <w:lang w:val="pt-BR" w:eastAsia="zh-CN"/>
        </w:rPr>
        <w:t>Ministério do Meio Ambiente,</w:t>
      </w:r>
      <w:r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val="pt-BR" w:eastAsia="zh-CN"/>
        </w:rPr>
        <w:t>18p</w:t>
      </w:r>
      <w:r>
        <w:rPr>
          <w:sz w:val="20"/>
          <w:szCs w:val="20"/>
          <w:lang w:eastAsia="zh-CN"/>
        </w:rPr>
        <w:t>.</w:t>
      </w:r>
    </w:p>
    <w:p>
      <w:pPr>
        <w:tabs>
          <w:tab w:val="left" w:pos="1418"/>
        </w:tabs>
        <w:spacing w:line="240" w:lineRule="auto"/>
        <w:jc w:val="both"/>
        <w:rPr>
          <w:sz w:val="20"/>
          <w:szCs w:val="20"/>
          <w:lang w:eastAsia="zh-CN"/>
        </w:rPr>
      </w:pPr>
      <w:bookmarkStart w:id="2" w:name="_Hlk141998219"/>
      <w:r>
        <w:rPr>
          <w:sz w:val="20"/>
          <w:szCs w:val="20"/>
          <w:lang w:eastAsia="zh-CN"/>
        </w:rPr>
        <w:t>Ministério do Meio Ambiente</w:t>
      </w:r>
      <w:bookmarkEnd w:id="2"/>
      <w:r>
        <w:rPr>
          <w:sz w:val="20"/>
          <w:szCs w:val="20"/>
          <w:lang w:eastAsia="zh-CN"/>
        </w:rPr>
        <w:t xml:space="preserve">. </w:t>
      </w:r>
      <w:r>
        <w:rPr>
          <w:sz w:val="20"/>
          <w:szCs w:val="20"/>
          <w:lang w:val="pt-BR" w:eastAsia="zh-CN"/>
        </w:rPr>
        <w:t xml:space="preserve">2011. </w:t>
      </w:r>
      <w:r>
        <w:rPr>
          <w:sz w:val="20"/>
          <w:szCs w:val="20"/>
          <w:lang w:eastAsia="zh-CN"/>
        </w:rPr>
        <w:t>Plano de ação para prevenção e controle do desmatamento e das queimadas: cerrado</w:t>
      </w:r>
      <w:r>
        <w:rPr>
          <w:sz w:val="20"/>
          <w:szCs w:val="20"/>
          <w:lang w:val="pt-BR" w:eastAsia="zh-CN"/>
        </w:rPr>
        <w:t>.</w:t>
      </w:r>
      <w:r>
        <w:rPr>
          <w:sz w:val="20"/>
          <w:szCs w:val="20"/>
          <w:lang w:eastAsia="zh-CN"/>
        </w:rPr>
        <w:t xml:space="preserve"> Brasília</w:t>
      </w:r>
      <w:r>
        <w:rPr>
          <w:sz w:val="20"/>
          <w:szCs w:val="20"/>
          <w:lang w:val="pt-BR" w:eastAsia="zh-CN"/>
        </w:rPr>
        <w:t>,</w:t>
      </w:r>
      <w:r>
        <w:rPr>
          <w:sz w:val="20"/>
          <w:szCs w:val="20"/>
          <w:lang w:eastAsia="zh-CN"/>
        </w:rPr>
        <w:t xml:space="preserve"> Ministério do Meio Ambiente, 200p.</w:t>
      </w:r>
    </w:p>
    <w:p>
      <w:pPr>
        <w:spacing w:line="240" w:lineRule="auto"/>
        <w:jc w:val="both"/>
        <w:rPr>
          <w:sz w:val="20"/>
          <w:szCs w:val="20"/>
          <w:lang w:val="pt-BR" w:eastAsia="zh-CN"/>
        </w:rPr>
      </w:pPr>
      <w:r>
        <w:rPr>
          <w:sz w:val="20"/>
          <w:szCs w:val="20"/>
        </w:rPr>
        <w:t>Ribeiro, J.F.</w:t>
      </w:r>
      <w:r>
        <w:rPr>
          <w:sz w:val="20"/>
          <w:szCs w:val="20"/>
          <w:lang w:val="pt-BR"/>
        </w:rPr>
        <w:t xml:space="preserve"> &amp;</w:t>
      </w:r>
      <w:r>
        <w:rPr>
          <w:sz w:val="20"/>
          <w:szCs w:val="20"/>
        </w:rPr>
        <w:t xml:space="preserve"> B.M.T</w:t>
      </w:r>
      <w:r>
        <w:rPr>
          <w:sz w:val="20"/>
          <w:szCs w:val="20"/>
          <w:lang w:val="pt-BR"/>
        </w:rPr>
        <w:t>.</w:t>
      </w:r>
      <w:r>
        <w:rPr>
          <w:sz w:val="20"/>
          <w:szCs w:val="20"/>
        </w:rPr>
        <w:t xml:space="preserve"> Walter. </w:t>
      </w:r>
      <w:r>
        <w:rPr>
          <w:sz w:val="20"/>
          <w:szCs w:val="20"/>
          <w:lang w:val="pt-BR"/>
        </w:rPr>
        <w:t xml:space="preserve">1998. </w:t>
      </w:r>
      <w:r>
        <w:rPr>
          <w:sz w:val="20"/>
          <w:szCs w:val="20"/>
        </w:rPr>
        <w:t>Fitofisionomias do bioma cerrado</w:t>
      </w:r>
      <w:r>
        <w:rPr>
          <w:sz w:val="20"/>
          <w:szCs w:val="20"/>
          <w:lang w:val="pt-BR"/>
        </w:rPr>
        <w:t xml:space="preserve">, </w:t>
      </w:r>
      <w:r>
        <w:rPr>
          <w:sz w:val="20"/>
          <w:szCs w:val="20"/>
        </w:rPr>
        <w:t>p. 89-166. In: S.M.</w:t>
      </w:r>
      <w:r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</w:rPr>
        <w:t xml:space="preserve">Sano </w:t>
      </w:r>
      <w:r>
        <w:rPr>
          <w:sz w:val="20"/>
          <w:szCs w:val="20"/>
          <w:lang w:val="pt-BR"/>
        </w:rPr>
        <w:t>&amp;</w:t>
      </w:r>
      <w:r>
        <w:rPr>
          <w:sz w:val="20"/>
          <w:szCs w:val="20"/>
        </w:rPr>
        <w:t xml:space="preserve"> S.P.</w:t>
      </w:r>
      <w:r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</w:rPr>
        <w:t>Almeida (Ed.). Cerrado: ambiente e flora. Brasília</w:t>
      </w:r>
      <w:r>
        <w:rPr>
          <w:sz w:val="20"/>
          <w:szCs w:val="20"/>
          <w:lang w:val="pt-BR"/>
        </w:rPr>
        <w:t>,</w:t>
      </w:r>
      <w:r>
        <w:rPr>
          <w:sz w:val="20"/>
          <w:szCs w:val="20"/>
        </w:rPr>
        <w:t xml:space="preserve"> Editora da UnB</w:t>
      </w:r>
      <w:r>
        <w:rPr>
          <w:sz w:val="20"/>
          <w:szCs w:val="20"/>
          <w:lang w:val="pt-BR"/>
        </w:rPr>
        <w:t>.</w:t>
      </w:r>
    </w:p>
    <w:p>
      <w:pPr>
        <w:tabs>
          <w:tab w:val="left" w:pos="1418"/>
        </w:tabs>
        <w:spacing w:line="240" w:lineRule="auto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Santos, A.J.; A.D. Brescovit</w:t>
      </w:r>
      <w:r>
        <w:rPr>
          <w:sz w:val="20"/>
          <w:szCs w:val="20"/>
          <w:lang w:val="pt-BR" w:eastAsia="zh-CN"/>
        </w:rPr>
        <w:t xml:space="preserve"> &amp; </w:t>
      </w:r>
      <w:r>
        <w:rPr>
          <w:sz w:val="20"/>
          <w:szCs w:val="20"/>
          <w:lang w:eastAsia="zh-CN"/>
        </w:rPr>
        <w:t>H.F. Japyassú</w:t>
      </w:r>
      <w:r>
        <w:rPr>
          <w:sz w:val="20"/>
          <w:szCs w:val="20"/>
          <w:lang w:val="pt-BR" w:eastAsia="zh-CN"/>
        </w:rPr>
        <w:t>. 2007.</w:t>
      </w:r>
      <w:r>
        <w:rPr>
          <w:sz w:val="20"/>
          <w:szCs w:val="20"/>
          <w:lang w:eastAsia="zh-CN"/>
        </w:rPr>
        <w:t xml:space="preserve"> Diversidade de aranhas: sistemática, ecologia e inventários de fauna</w:t>
      </w:r>
      <w:r>
        <w:rPr>
          <w:sz w:val="20"/>
          <w:szCs w:val="20"/>
          <w:lang w:val="pt-BR" w:eastAsia="zh-CN"/>
        </w:rPr>
        <w:t>,</w:t>
      </w:r>
      <w:r>
        <w:rPr>
          <w:sz w:val="20"/>
          <w:szCs w:val="20"/>
          <w:lang w:eastAsia="zh-CN"/>
        </w:rPr>
        <w:t xml:space="preserve"> p. 1-23. In: M.O. Gonzaga; A.J. Santos &amp; H.F. Japyassú (Org.). Ecologia e Comportamento de Aranhas. Rio de Janeir</w:t>
      </w:r>
      <w:r>
        <w:rPr>
          <w:sz w:val="20"/>
          <w:szCs w:val="20"/>
          <w:lang w:val="pt-BR" w:eastAsia="zh-CN"/>
        </w:rPr>
        <w:t>o,</w:t>
      </w:r>
      <w:r>
        <w:rPr>
          <w:sz w:val="20"/>
          <w:szCs w:val="20"/>
          <w:lang w:eastAsia="zh-CN"/>
        </w:rPr>
        <w:t xml:space="preserve"> Editora Interciência. 2007,</w:t>
      </w:r>
      <w:r>
        <w:rPr>
          <w:sz w:val="20"/>
          <w:szCs w:val="20"/>
          <w:lang w:val="pt-BR" w:eastAsia="zh-CN"/>
        </w:rPr>
        <w:t xml:space="preserve"> X+400p</w:t>
      </w:r>
      <w:r>
        <w:rPr>
          <w:sz w:val="20"/>
          <w:szCs w:val="20"/>
          <w:lang w:eastAsia="zh-CN"/>
        </w:rPr>
        <w:t>.</w:t>
      </w:r>
    </w:p>
    <w:p>
      <w:pPr>
        <w:tabs>
          <w:tab w:val="left" w:pos="1418"/>
        </w:tabs>
        <w:spacing w:line="240" w:lineRule="auto"/>
        <w:jc w:val="both"/>
        <w:rPr>
          <w:sz w:val="20"/>
          <w:szCs w:val="20"/>
          <w:lang w:eastAsia="zh-CN"/>
        </w:rPr>
      </w:pPr>
      <w:r>
        <w:rPr>
          <w:sz w:val="20"/>
          <w:szCs w:val="20"/>
        </w:rPr>
        <w:t>Souza, A.L.T.</w:t>
      </w:r>
      <w:r>
        <w:rPr>
          <w:sz w:val="20"/>
          <w:szCs w:val="20"/>
          <w:lang w:val="pt-BR"/>
        </w:rPr>
        <w:t xml:space="preserve"> 2007. </w:t>
      </w:r>
      <w:r>
        <w:rPr>
          <w:sz w:val="20"/>
          <w:szCs w:val="20"/>
        </w:rPr>
        <w:t>Influência da estrutura do habitat na abundância e diversidade de aranhas</w:t>
      </w:r>
      <w:r>
        <w:rPr>
          <w:sz w:val="20"/>
          <w:szCs w:val="20"/>
          <w:lang w:val="pt-BR"/>
        </w:rPr>
        <w:t>,</w:t>
      </w:r>
      <w:r>
        <w:rPr>
          <w:sz w:val="20"/>
          <w:szCs w:val="20"/>
        </w:rPr>
        <w:t xml:space="preserve"> p. 25-43. </w:t>
      </w:r>
      <w:bookmarkStart w:id="3" w:name="_Hlk141996621"/>
      <w:r>
        <w:rPr>
          <w:sz w:val="20"/>
          <w:szCs w:val="20"/>
          <w:lang w:eastAsia="zh-CN"/>
        </w:rPr>
        <w:t>In: M.O.</w:t>
      </w:r>
      <w:r>
        <w:rPr>
          <w:sz w:val="20"/>
          <w:szCs w:val="20"/>
          <w:lang w:val="pt-BR" w:eastAsia="zh-CN"/>
        </w:rPr>
        <w:t xml:space="preserve"> </w:t>
      </w:r>
      <w:r>
        <w:rPr>
          <w:sz w:val="20"/>
          <w:szCs w:val="20"/>
          <w:lang w:eastAsia="zh-CN"/>
        </w:rPr>
        <w:t>Gonzaga; A.J. Santos</w:t>
      </w:r>
      <w:r>
        <w:rPr>
          <w:sz w:val="20"/>
          <w:szCs w:val="20"/>
          <w:lang w:val="pt-BR" w:eastAsia="zh-CN"/>
        </w:rPr>
        <w:t xml:space="preserve"> &amp;</w:t>
      </w:r>
      <w:r>
        <w:rPr>
          <w:sz w:val="20"/>
          <w:szCs w:val="20"/>
          <w:lang w:eastAsia="zh-CN"/>
        </w:rPr>
        <w:t xml:space="preserve"> H.F</w:t>
      </w:r>
      <w:r>
        <w:rPr>
          <w:sz w:val="20"/>
          <w:szCs w:val="20"/>
          <w:lang w:val="pt-BR" w:eastAsia="zh-CN"/>
        </w:rPr>
        <w:t>.</w:t>
      </w:r>
      <w:r>
        <w:rPr>
          <w:sz w:val="20"/>
          <w:szCs w:val="20"/>
          <w:lang w:eastAsia="zh-CN"/>
        </w:rPr>
        <w:t xml:space="preserve"> Japyassú (Org.). </w:t>
      </w:r>
      <w:r>
        <w:rPr>
          <w:sz w:val="20"/>
          <w:szCs w:val="20"/>
        </w:rPr>
        <w:t>Ecologia e Comportamento de Aranhas</w:t>
      </w:r>
      <w:bookmarkEnd w:id="3"/>
      <w:r>
        <w:rPr>
          <w:sz w:val="20"/>
          <w:szCs w:val="20"/>
        </w:rPr>
        <w:t>. Rio de Janeiro</w:t>
      </w:r>
      <w:r>
        <w:rPr>
          <w:sz w:val="20"/>
          <w:szCs w:val="20"/>
          <w:lang w:val="pt-BR"/>
        </w:rPr>
        <w:t>,</w:t>
      </w:r>
      <w:r>
        <w:rPr>
          <w:sz w:val="20"/>
          <w:szCs w:val="20"/>
        </w:rPr>
        <w:t xml:space="preserve"> Interciência,</w:t>
      </w:r>
      <w:r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 w:eastAsia="zh-CN"/>
        </w:rPr>
        <w:t>X+400p</w:t>
      </w:r>
      <w:r>
        <w:rPr>
          <w:sz w:val="20"/>
          <w:szCs w:val="20"/>
        </w:rPr>
        <w:t>.</w:t>
      </w:r>
    </w:p>
    <w:p>
      <w:pPr>
        <w:tabs>
          <w:tab w:val="left" w:pos="1418"/>
        </w:tabs>
        <w:spacing w:line="240" w:lineRule="auto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Uetz, G.W. </w:t>
      </w:r>
      <w:r>
        <w:rPr>
          <w:sz w:val="20"/>
          <w:szCs w:val="20"/>
          <w:lang w:val="en-GB" w:eastAsia="zh-CN"/>
        </w:rPr>
        <w:t xml:space="preserve">1991. </w:t>
      </w:r>
      <w:r>
        <w:rPr>
          <w:sz w:val="20"/>
          <w:szCs w:val="20"/>
          <w:lang w:eastAsia="zh-CN"/>
        </w:rPr>
        <w:t>Habitat structure and spider foraging</w:t>
      </w:r>
      <w:r>
        <w:rPr>
          <w:sz w:val="20"/>
          <w:szCs w:val="20"/>
          <w:lang w:val="en-GB" w:eastAsia="zh-CN"/>
        </w:rPr>
        <w:t>,</w:t>
      </w:r>
      <w:r>
        <w:rPr>
          <w:sz w:val="20"/>
          <w:szCs w:val="20"/>
          <w:lang w:eastAsia="zh-CN"/>
        </w:rPr>
        <w:t xml:space="preserve"> p. 325-348. In:</w:t>
      </w:r>
      <w:r>
        <w:t xml:space="preserve"> </w:t>
      </w:r>
      <w:r>
        <w:rPr>
          <w:sz w:val="20"/>
          <w:szCs w:val="20"/>
          <w:lang w:eastAsia="zh-CN"/>
        </w:rPr>
        <w:t>E.D.</w:t>
      </w:r>
      <w:r>
        <w:rPr>
          <w:sz w:val="20"/>
          <w:szCs w:val="20"/>
          <w:lang w:val="en-GB" w:eastAsia="zh-CN"/>
        </w:rPr>
        <w:t xml:space="preserve"> </w:t>
      </w:r>
      <w:r>
        <w:rPr>
          <w:sz w:val="20"/>
          <w:szCs w:val="20"/>
          <w:lang w:eastAsia="zh-CN"/>
        </w:rPr>
        <w:t>McCoy</w:t>
      </w:r>
      <w:r>
        <w:rPr>
          <w:sz w:val="20"/>
          <w:szCs w:val="20"/>
          <w:lang w:val="en-GB" w:eastAsia="zh-CN"/>
        </w:rPr>
        <w:t xml:space="preserve">; </w:t>
      </w:r>
      <w:r>
        <w:rPr>
          <w:sz w:val="20"/>
          <w:szCs w:val="20"/>
          <w:lang w:eastAsia="zh-CN"/>
        </w:rPr>
        <w:t>S.S.</w:t>
      </w:r>
      <w:r>
        <w:rPr>
          <w:sz w:val="20"/>
          <w:szCs w:val="20"/>
          <w:lang w:val="en-GB" w:eastAsia="zh-CN"/>
        </w:rPr>
        <w:t xml:space="preserve"> </w:t>
      </w:r>
      <w:r>
        <w:rPr>
          <w:sz w:val="20"/>
          <w:szCs w:val="20"/>
          <w:lang w:eastAsia="zh-CN"/>
        </w:rPr>
        <w:t>Bell</w:t>
      </w:r>
      <w:r>
        <w:rPr>
          <w:sz w:val="20"/>
          <w:szCs w:val="20"/>
          <w:lang w:val="en-GB" w:eastAsia="zh-CN"/>
        </w:rPr>
        <w:t xml:space="preserve"> &amp; </w:t>
      </w:r>
      <w:r>
        <w:rPr>
          <w:sz w:val="20"/>
          <w:szCs w:val="20"/>
          <w:lang w:eastAsia="zh-CN"/>
        </w:rPr>
        <w:t>H.R. Mushinsky</w:t>
      </w:r>
      <w:r>
        <w:rPr>
          <w:sz w:val="20"/>
          <w:szCs w:val="20"/>
          <w:lang w:val="en-GB" w:eastAsia="zh-CN"/>
        </w:rPr>
        <w:t xml:space="preserve"> </w:t>
      </w:r>
      <w:r>
        <w:rPr>
          <w:sz w:val="20"/>
          <w:szCs w:val="20"/>
        </w:rPr>
        <w:t xml:space="preserve">(Ed.). </w:t>
      </w:r>
      <w:r>
        <w:rPr>
          <w:sz w:val="20"/>
          <w:szCs w:val="20"/>
          <w:lang w:eastAsia="zh-CN"/>
        </w:rPr>
        <w:t>Habitat structure</w:t>
      </w:r>
      <w:r>
        <w:rPr>
          <w:sz w:val="20"/>
          <w:szCs w:val="20"/>
          <w:lang w:val="en-GB" w:eastAsia="zh-CN"/>
        </w:rPr>
        <w:t>,</w:t>
      </w:r>
      <w:r>
        <w:rPr>
          <w:sz w:val="20"/>
          <w:szCs w:val="20"/>
          <w:lang w:eastAsia="zh-CN"/>
        </w:rPr>
        <w:t xml:space="preserve"> Springer, Dordrecht</w:t>
      </w:r>
      <w:r>
        <w:rPr>
          <w:sz w:val="20"/>
          <w:szCs w:val="20"/>
          <w:lang w:val="en-GB" w:eastAsia="zh-CN"/>
        </w:rPr>
        <w:t>.</w:t>
      </w:r>
    </w:p>
    <w:sectPr>
      <w:headerReference r:id="rId5" w:type="default"/>
      <w:pgSz w:w="11909" w:h="16834"/>
      <w:pgMar w:top="2540" w:right="1440" w:bottom="1440" w:left="1440" w:header="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hAnsi="Calibri" w:eastAsia="Calibri" w:cs="Calibri"/>
        <w:color w:val="FFFFFF"/>
        <w:lang w:val="pt-BR" w:bidi="hi-IN"/>
      </w:rPr>
      <w:drawing>
        <wp:inline distT="0" distB="0" distL="114300" distR="114300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eastAsia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removePersonalInformation/>
  <w:trackRevisions w:val="1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C8"/>
    <w:rsid w:val="000020D5"/>
    <w:rsid w:val="00005654"/>
    <w:rsid w:val="00012E18"/>
    <w:rsid w:val="00086195"/>
    <w:rsid w:val="000E6B69"/>
    <w:rsid w:val="0013471A"/>
    <w:rsid w:val="001814E4"/>
    <w:rsid w:val="001D450D"/>
    <w:rsid w:val="001E0F03"/>
    <w:rsid w:val="001F7B3F"/>
    <w:rsid w:val="0023490C"/>
    <w:rsid w:val="002B58E4"/>
    <w:rsid w:val="00305495"/>
    <w:rsid w:val="00317AFF"/>
    <w:rsid w:val="00372D8A"/>
    <w:rsid w:val="003A4951"/>
    <w:rsid w:val="003D253B"/>
    <w:rsid w:val="00432CC7"/>
    <w:rsid w:val="004B544B"/>
    <w:rsid w:val="004C4CBA"/>
    <w:rsid w:val="004F387D"/>
    <w:rsid w:val="00502FF8"/>
    <w:rsid w:val="00506582"/>
    <w:rsid w:val="0050689A"/>
    <w:rsid w:val="00541AB1"/>
    <w:rsid w:val="00561D37"/>
    <w:rsid w:val="0059366C"/>
    <w:rsid w:val="005C77C5"/>
    <w:rsid w:val="006223FC"/>
    <w:rsid w:val="00624580"/>
    <w:rsid w:val="0066601B"/>
    <w:rsid w:val="006D35D3"/>
    <w:rsid w:val="0070613C"/>
    <w:rsid w:val="00756A84"/>
    <w:rsid w:val="007944D9"/>
    <w:rsid w:val="007D3D9D"/>
    <w:rsid w:val="007D4E70"/>
    <w:rsid w:val="007D6C15"/>
    <w:rsid w:val="0082511D"/>
    <w:rsid w:val="008B74A9"/>
    <w:rsid w:val="008C0E63"/>
    <w:rsid w:val="008E3266"/>
    <w:rsid w:val="008E39D0"/>
    <w:rsid w:val="00910870"/>
    <w:rsid w:val="00923B2A"/>
    <w:rsid w:val="009E33C1"/>
    <w:rsid w:val="00A458C1"/>
    <w:rsid w:val="00A64FE8"/>
    <w:rsid w:val="00A74E17"/>
    <w:rsid w:val="00A827F2"/>
    <w:rsid w:val="00A85C0A"/>
    <w:rsid w:val="00B07D67"/>
    <w:rsid w:val="00B43FBE"/>
    <w:rsid w:val="00B555C8"/>
    <w:rsid w:val="00B81CED"/>
    <w:rsid w:val="00BB2DD5"/>
    <w:rsid w:val="00BF29D8"/>
    <w:rsid w:val="00BF68E6"/>
    <w:rsid w:val="00C81A66"/>
    <w:rsid w:val="00CA0EEC"/>
    <w:rsid w:val="00CE6EE9"/>
    <w:rsid w:val="00D205F7"/>
    <w:rsid w:val="00D4260A"/>
    <w:rsid w:val="00D44AA2"/>
    <w:rsid w:val="00DA0858"/>
    <w:rsid w:val="00DD1A67"/>
    <w:rsid w:val="00DD6DCE"/>
    <w:rsid w:val="00DE37DA"/>
    <w:rsid w:val="00DE761B"/>
    <w:rsid w:val="00E1011C"/>
    <w:rsid w:val="00E36DE1"/>
    <w:rsid w:val="00EF5B98"/>
    <w:rsid w:val="00EF6C20"/>
    <w:rsid w:val="00F14273"/>
    <w:rsid w:val="00F15190"/>
    <w:rsid w:val="00F37A70"/>
    <w:rsid w:val="00F5407F"/>
    <w:rsid w:val="00F77EF1"/>
    <w:rsid w:val="00F9349C"/>
    <w:rsid w:val="00FB4393"/>
    <w:rsid w:val="00FC6916"/>
    <w:rsid w:val="00FE4A51"/>
    <w:rsid w:val="06AB2D99"/>
    <w:rsid w:val="0A2F1F5A"/>
    <w:rsid w:val="0CB662BA"/>
    <w:rsid w:val="167B494E"/>
    <w:rsid w:val="1CA26503"/>
    <w:rsid w:val="1F2C3C5E"/>
    <w:rsid w:val="251A3BA0"/>
    <w:rsid w:val="2C86179B"/>
    <w:rsid w:val="30B874AF"/>
    <w:rsid w:val="34C11F07"/>
    <w:rsid w:val="3533180D"/>
    <w:rsid w:val="371A057C"/>
    <w:rsid w:val="3CF24186"/>
    <w:rsid w:val="3E300685"/>
    <w:rsid w:val="499E328F"/>
    <w:rsid w:val="4AE65A17"/>
    <w:rsid w:val="51B931DE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cs="Arial" w:eastAsiaTheme="minorEastAsia"/>
      <w:sz w:val="22"/>
      <w:szCs w:val="22"/>
      <w:lang w:val="zh-CN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8"/>
    <w:qFormat/>
    <w:uiPriority w:val="0"/>
    <w:rPr>
      <w:sz w:val="16"/>
      <w:szCs w:val="16"/>
    </w:rPr>
  </w:style>
  <w:style w:type="character" w:styleId="11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annotation text"/>
    <w:basedOn w:val="1"/>
    <w:link w:val="22"/>
    <w:qFormat/>
    <w:uiPriority w:val="0"/>
    <w:pPr>
      <w:spacing w:line="240" w:lineRule="auto"/>
    </w:pPr>
    <w:rPr>
      <w:sz w:val="20"/>
      <w:szCs w:val="20"/>
    </w:rPr>
  </w:style>
  <w:style w:type="paragraph" w:styleId="13">
    <w:name w:val="Title"/>
    <w:basedOn w:val="1"/>
    <w:next w:val="1"/>
    <w:qFormat/>
    <w:uiPriority w:val="0"/>
    <w:pPr>
      <w:keepNext/>
      <w:keepLines/>
      <w:spacing w:after="60"/>
    </w:pPr>
    <w:rPr>
      <w:sz w:val="52"/>
      <w:szCs w:val="52"/>
    </w:rPr>
  </w:style>
  <w:style w:type="paragraph" w:styleId="14">
    <w:name w:val="header"/>
    <w:basedOn w:val="1"/>
    <w:link w:val="20"/>
    <w:qFormat/>
    <w:uiPriority w:val="0"/>
    <w:pPr>
      <w:tabs>
        <w:tab w:val="center" w:pos="4252"/>
        <w:tab w:val="right" w:pos="8504"/>
      </w:tabs>
      <w:spacing w:line="240" w:lineRule="auto"/>
    </w:pPr>
  </w:style>
  <w:style w:type="paragraph" w:styleId="15">
    <w:name w:val="annotation subject"/>
    <w:basedOn w:val="12"/>
    <w:next w:val="12"/>
    <w:link w:val="23"/>
    <w:uiPriority w:val="0"/>
    <w:rPr>
      <w:b/>
      <w:bCs/>
    </w:rPr>
  </w:style>
  <w:style w:type="paragraph" w:styleId="16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7">
    <w:name w:val="Balloon Text"/>
    <w:basedOn w:val="1"/>
    <w:link w:val="24"/>
    <w:qFormat/>
    <w:uiPriority w:val="0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18">
    <w:name w:val="Subtitle"/>
    <w:basedOn w:val="1"/>
    <w:next w:val="1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Cabeçalho Char"/>
    <w:basedOn w:val="8"/>
    <w:link w:val="14"/>
    <w:uiPriority w:val="0"/>
    <w:rPr>
      <w:sz w:val="22"/>
      <w:szCs w:val="22"/>
      <w:lang w:val="zh-CN"/>
    </w:rPr>
  </w:style>
  <w:style w:type="character" w:customStyle="1" w:styleId="21">
    <w:name w:val="Menção Pendente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Texto de comentário Char"/>
    <w:basedOn w:val="8"/>
    <w:link w:val="12"/>
    <w:uiPriority w:val="0"/>
    <w:rPr>
      <w:lang w:val="zh-CN"/>
    </w:rPr>
  </w:style>
  <w:style w:type="character" w:customStyle="1" w:styleId="23">
    <w:name w:val="Assunto do comentário Char"/>
    <w:basedOn w:val="22"/>
    <w:link w:val="15"/>
    <w:qFormat/>
    <w:uiPriority w:val="0"/>
    <w:rPr>
      <w:b/>
      <w:bCs/>
      <w:lang w:val="zh-CN"/>
    </w:rPr>
  </w:style>
  <w:style w:type="character" w:customStyle="1" w:styleId="24">
    <w:name w:val="Texto de balão Char"/>
    <w:basedOn w:val="8"/>
    <w:link w:val="17"/>
    <w:qFormat/>
    <w:uiPriority w:val="0"/>
    <w:rPr>
      <w:rFonts w:ascii="Segoe UI" w:hAnsi="Segoe UI" w:cs="Segoe UI"/>
      <w:sz w:val="18"/>
      <w:szCs w:val="18"/>
      <w:lang w:val="zh-CN"/>
    </w:rPr>
  </w:style>
  <w:style w:type="character" w:customStyle="1" w:styleId="25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paragraph" w:customStyle="1" w:styleId="26">
    <w:name w:val="Revision"/>
    <w:hidden/>
    <w:unhideWhenUsed/>
    <w:qFormat/>
    <w:uiPriority w:val="99"/>
    <w:rPr>
      <w:rFonts w:ascii="Arial" w:hAnsi="Arial" w:cs="Arial" w:eastAsiaTheme="minorEastAsia"/>
      <w:sz w:val="22"/>
      <w:szCs w:val="22"/>
      <w:lang w:val="zh-CN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6B99C-A9BC-447F-9380-8B53056D86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2647</Words>
  <Characters>14296</Characters>
  <Lines>119</Lines>
  <Paragraphs>33</Paragraphs>
  <TotalTime>0</TotalTime>
  <ScaleCrop>false</ScaleCrop>
  <LinksUpToDate>false</LinksUpToDate>
  <CharactersWithSpaces>16910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2023-09-15T19:43:00Z</dcterms:created>
  <dcterms:modified xsi:type="dcterms:W3CDTF">2023-10-03T19:01:34Z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155C25E197A940FBBA9B579B10310867_12</vt:lpwstr>
  </property>
</Properties>
</file>