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O CICLO DE VIDA DOS CONTEÚDOS DIGITAIS: UMA ABORDAGEM CONCEITUAL</w:t>
      </w:r>
      <w:r w:rsidDel="00000000" w:rsidR="00000000" w:rsidRPr="00000000">
        <w:rPr>
          <w:rtl w:val="0"/>
        </w:rPr>
      </w:r>
    </w:p>
    <w:p w:rsidR="00000000" w:rsidDel="00000000" w:rsidP="00000000" w:rsidRDefault="00000000" w:rsidRPr="00000000" w14:paraId="00000002">
      <w:pPr>
        <w:spacing w:after="12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THE LIFE CYCLE OF DIGITAL CONTENT: A CONCEPTUAL APPROACH</w:t>
      </w:r>
      <w:r w:rsidDel="00000000" w:rsidR="00000000" w:rsidRPr="00000000">
        <w:rPr>
          <w:rtl w:val="0"/>
        </w:rPr>
      </w:r>
    </w:p>
    <w:p w:rsidR="00000000" w:rsidDel="00000000" w:rsidP="00000000" w:rsidRDefault="00000000" w:rsidRPr="00000000" w14:paraId="00000003">
      <w:pPr>
        <w:spacing w:after="12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rtl w:val="0"/>
        </w:rPr>
        <w:t xml:space="preserve">TIMES NEW ROMAN, 11 PT, BOLD</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VERSION</w:t>
      </w:r>
    </w:p>
    <w:p w:rsidR="00000000" w:rsidDel="00000000" w:rsidP="00000000" w:rsidRDefault="00000000" w:rsidRPr="00000000" w14:paraId="00000006">
      <w:pPr>
        <w:spacing w:after="0" w:line="240" w:lineRule="auto"/>
        <w:jc w:val="center"/>
        <w:rPr>
          <w:rFonts w:ascii="Times New Roman" w:cs="Times New Roman" w:eastAsia="Times New Roman" w:hAnsi="Times New Roman"/>
          <w:color w:val="ff0000"/>
          <w:sz w:val="20"/>
          <w:szCs w:val="20"/>
          <w:highlight w:val="yellow"/>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Universidade de São Paulo, Faculdade de Comunicação e Artes, PPGCI, São Paulo</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ORCID: 0009-0003-6405-0816</w:t>
      </w:r>
    </w:p>
    <w:p w:rsidR="00000000" w:rsidDel="00000000" w:rsidP="00000000" w:rsidRDefault="00000000" w:rsidRPr="00000000" w14:paraId="00000009">
      <w:pPr>
        <w:spacing w:after="120" w:line="240" w:lineRule="auto"/>
        <w:jc w:val="center"/>
        <w:rPr>
          <w:rFonts w:ascii="Times New Roman" w:cs="Times New Roman" w:eastAsia="Times New Roman" w:hAnsi="Times New Roman"/>
          <w:b w:val="1"/>
          <w:color w:val="ff0000"/>
          <w:highlight w:val="yellow"/>
        </w:rPr>
      </w:pPr>
      <w:r w:rsidDel="00000000" w:rsidR="00000000" w:rsidRPr="00000000">
        <w:rPr>
          <w:rtl w:val="0"/>
        </w:rPr>
      </w:r>
    </w:p>
    <w:p w:rsidR="00000000" w:rsidDel="00000000" w:rsidP="00000000" w:rsidRDefault="00000000" w:rsidRPr="00000000" w14:paraId="0000000A">
      <w:pPr>
        <w:spacing w:after="0" w:line="240" w:lineRule="auto"/>
        <w:jc w:val="left"/>
        <w:rPr>
          <w:color w:val="000000"/>
          <w:u w:val="none"/>
        </w:rPr>
      </w:pP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rtl w:val="0"/>
        </w:rPr>
      </w:r>
    </w:p>
    <w:p w:rsidR="00000000" w:rsidDel="00000000" w:rsidP="00000000" w:rsidRDefault="00000000" w:rsidRPr="00000000" w14:paraId="0000000C">
      <w:pPr>
        <w:spacing w:after="120" w:before="12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D">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artigo discute o ciclo de vida dos conteúdos digitais, explorando suas etapas, desafios e soluções voltadas à gestão e preservação da informação digital. O objetivo é compreender como as organizações podem estruturar processos eficientes para criação, organização, armazenamento, distribuição, uso e descarte de conteúdos. A metodologia adotada é de base teórico-conceitual, com foco em modelos de gerenciamento de conteúdo e estratégias de preservação digital de longo prazo. Apontam-se como resultados a importância da interoperabilidade, do uso de metadados, da automação e do armazenamento inteligente. Conclui-se que a integração entre sistemas de gestão e políticas de preservação é essencial para garantir o acesso contínuo, a integridade e a reutilização do conhecimento digital, especialmente diante da crescente produção de dados e da obsolescência tecnológica.</w:t>
      </w:r>
    </w:p>
    <w:p w:rsidR="00000000" w:rsidDel="00000000" w:rsidP="00000000" w:rsidRDefault="00000000" w:rsidRPr="00000000" w14:paraId="0000000E">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20" w:before="12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ciclo de vida, conteúdos digitais, preservação e curadoria.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120" w:before="12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12">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article discusses the life cycle of digital content, exploring its stages, challenges and solutions for the management and preservation of digital information. The aim is to understand how organizations can structure efficient processes for creating, organizing, storing, distributing, using and disposing of content. The methodology adopted is theoretical and conceptual, focusing on content management models and long-term digital preservation strategies. The results show the importance of interoperability, the use of metadata, automation and intelligent storage. The conclusion is that integration between management systems and preservation policies is essential to guarantee continuous access, integrity and reuse of digital knowledge, especially in the face of growing data production and technological obsolescence.</w:t>
      </w:r>
    </w:p>
    <w:p w:rsidR="00000000" w:rsidDel="00000000" w:rsidP="00000000" w:rsidRDefault="00000000" w:rsidRPr="00000000" w14:paraId="00000013">
      <w:pPr>
        <w:spacing w:after="120" w:before="120" w:line="3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120" w:before="12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life cycle, digital content, preservation and curation.</w:t>
      </w:r>
    </w:p>
    <w:p w:rsidR="00000000" w:rsidDel="00000000" w:rsidP="00000000" w:rsidRDefault="00000000" w:rsidRPr="00000000" w14:paraId="00000015">
      <w:pPr>
        <w:spacing w:after="120" w:before="12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120" w:before="12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120" w:before="120" w:line="300" w:lineRule="auto"/>
        <w:rPr>
          <w:rFonts w:ascii="Times New Roman" w:cs="Times New Roman" w:eastAsia="Times New Roman" w:hAnsi="Times New Roman"/>
        </w:rPr>
      </w:pPr>
      <w:r w:rsidDel="00000000" w:rsidR="00000000" w:rsidRPr="00000000">
        <w:rPr>
          <w:rtl w:val="0"/>
        </w:rPr>
      </w:r>
    </w:p>
    <w:tbl>
      <w:tblPr>
        <w:tblStyle w:val="Table1"/>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gridSpan w:val="3"/>
          </w:tcPr>
          <w:p w:rsidR="00000000" w:rsidDel="00000000" w:rsidP="00000000" w:rsidRDefault="00000000" w:rsidRPr="00000000" w14:paraId="000000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PAPER INFORMATION</w:t>
            </w:r>
          </w:p>
        </w:tc>
      </w:tr>
      <w:tr>
        <w:trPr>
          <w:cantSplit w:val="0"/>
          <w:tblHeader w:val="0"/>
        </w:trPr>
        <w:tc>
          <w:tcPr>
            <w:vAlign w:val="center"/>
          </w:tcPr>
          <w:p w:rsidR="00000000" w:rsidDel="00000000" w:rsidP="00000000" w:rsidRDefault="00000000" w:rsidRPr="00000000" w14:paraId="0000001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Participation Type</w:t>
            </w:r>
          </w:p>
          <w:p w:rsidR="00000000" w:rsidDel="00000000" w:rsidP="00000000" w:rsidRDefault="00000000" w:rsidRPr="00000000" w14:paraId="0000001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 or In-person)</w:t>
            </w:r>
          </w:p>
        </w:tc>
        <w:tc>
          <w:tcPr>
            <w:vAlign w:val="center"/>
          </w:tcPr>
          <w:p w:rsidR="00000000" w:rsidDel="00000000" w:rsidP="00000000" w:rsidRDefault="00000000" w:rsidRPr="00000000" w14:paraId="0000001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Field of Study</w:t>
            </w:r>
          </w:p>
        </w:tc>
        <w:tc>
          <w:tcPr>
            <w:vAlign w:val="center"/>
          </w:tcPr>
          <w:p w:rsidR="00000000" w:rsidDel="00000000" w:rsidP="00000000" w:rsidRDefault="00000000" w:rsidRPr="00000000" w14:paraId="0000001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Presentation Language</w:t>
            </w:r>
          </w:p>
        </w:tc>
      </w:tr>
      <w:tr>
        <w:trPr>
          <w:cantSplit w:val="0"/>
          <w:tblHeader w:val="0"/>
        </w:trPr>
        <w:tc>
          <w:tcPr>
            <w:vAlign w:val="center"/>
          </w:tcPr>
          <w:p w:rsidR="00000000" w:rsidDel="00000000" w:rsidP="00000000" w:rsidRDefault="00000000" w:rsidRPr="00000000" w14:paraId="0000001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c>
          <w:tcPr/>
          <w:p w:rsidR="00000000" w:rsidDel="00000000" w:rsidP="00000000" w:rsidRDefault="00000000" w:rsidRPr="00000000" w14:paraId="0000002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Information Science</w:t>
            </w:r>
          </w:p>
        </w:tc>
        <w:tc>
          <w:tcPr/>
          <w:p w:rsidR="00000000" w:rsidDel="00000000" w:rsidP="00000000" w:rsidRDefault="00000000" w:rsidRPr="00000000" w14:paraId="000000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Português BR</w:t>
            </w:r>
          </w:p>
        </w:tc>
      </w:tr>
    </w:tbl>
    <w:p w:rsidR="00000000" w:rsidDel="00000000" w:rsidP="00000000" w:rsidRDefault="00000000" w:rsidRPr="00000000" w14:paraId="00000022">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