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60" w:lineRule="auto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CONSCIÊNCIA LÚDICA: O BRINCAR E O PROFESSOR DA EDUCAÇÃO INFANTIL </w:t>
      </w:r>
    </w:p>
    <w:p w:rsidR="00000000" w:rsidDel="00000000" w:rsidP="00000000" w:rsidRDefault="00000000" w:rsidRPr="00000000" w14:paraId="00000003">
      <w:pPr>
        <w:spacing w:after="0" w:line="240" w:lineRule="auto"/>
        <w:jc w:val="righ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Autores</w:t>
      </w:r>
    </w:p>
    <w:p w:rsidR="00000000" w:rsidDel="00000000" w:rsidP="00000000" w:rsidRDefault="00000000" w:rsidRPr="00000000" w14:paraId="00000004">
      <w:pPr>
        <w:spacing w:after="0" w:line="240" w:lineRule="auto"/>
        <w:jc w:val="righ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E-mail</w:t>
      </w:r>
    </w:p>
    <w:p w:rsidR="00000000" w:rsidDel="00000000" w:rsidP="00000000" w:rsidRDefault="00000000" w:rsidRPr="00000000" w14:paraId="00000005">
      <w:pPr>
        <w:spacing w:after="0" w:line="240" w:lineRule="auto"/>
        <w:jc w:val="right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Co-autores</w:t>
      </w:r>
    </w:p>
    <w:p w:rsidR="00000000" w:rsidDel="00000000" w:rsidP="00000000" w:rsidRDefault="00000000" w:rsidRPr="00000000" w14:paraId="00000006">
      <w:pPr>
        <w:spacing w:after="0" w:line="240" w:lineRule="auto"/>
        <w:jc w:val="righ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INTRODUÇÃO</w:t>
      </w:r>
    </w:p>
    <w:p w:rsidR="00000000" w:rsidDel="00000000" w:rsidP="00000000" w:rsidRDefault="00000000" w:rsidRPr="00000000" w14:paraId="00000009">
      <w:pPr>
        <w:spacing w:after="0" w:line="360" w:lineRule="auto"/>
        <w:ind w:firstLine="709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360" w:lineRule="auto"/>
        <w:ind w:left="0"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Ainda hoje, muitos (as) professores(as) ainda enfrentam desafios para reconhecer as brincadeiras como práticas fundamentais para o desenvolvimento infantil. Em função disso, tais momentos lúdicos muitas vezes são vistos como perda de tempo, sendo excluídos do planejamento pedagógico e tratados como atividades irrelevantes. Nesse cenário, percepções como estas limitam o acesso das crianças a experiências que deveriam ser compreendidas como parte essencial de seus direitos.</w:t>
      </w:r>
    </w:p>
    <w:p w:rsidR="00000000" w:rsidDel="00000000" w:rsidP="00000000" w:rsidRDefault="00000000" w:rsidRPr="00000000" w14:paraId="0000000B">
      <w:pPr>
        <w:spacing w:after="0" w:line="360" w:lineRule="auto"/>
        <w:ind w:left="0"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É nesse contexto que se insere o projeto de pesquisa interinstitucional “Baú Brincante: o potencial dos materiais não estruturados para o brincar livre das crianças da Educação Infantil”, desenvolvido pela Universidade Estadual do Sudoeste da Bahia (UESB), em parceria com a Universidade Federal da Bahia (UFBA). A proposta parte da disponibilização de um baú contendo diversos objetos, considerados materiais não estruturados, com o intuito de potencializar nas crianças a criação de contextos próprios por meio da imaginação, da curiosidade e da espontaneidade.</w:t>
      </w:r>
    </w:p>
    <w:p w:rsidR="00000000" w:rsidDel="00000000" w:rsidP="00000000" w:rsidRDefault="00000000" w:rsidRPr="00000000" w14:paraId="0000000C">
      <w:pPr>
        <w:spacing w:after="0" w:line="360" w:lineRule="auto"/>
        <w:ind w:left="0"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objetivo central desta pesquisa é compreender como o Baú Brincante tem contribuído para a construção da consciência lúdica entre professores(as) da Educação Infantil. A investigação parte da seguinte questão norteadora: de que forma o Baú Brincante está contribuindo para a consciência lúdica de professores(as) da Educação Infantil?</w:t>
      </w:r>
    </w:p>
    <w:p w:rsidR="00000000" w:rsidDel="00000000" w:rsidP="00000000" w:rsidRDefault="00000000" w:rsidRPr="00000000" w14:paraId="0000000D">
      <w:pPr>
        <w:spacing w:after="0" w:line="360" w:lineRule="auto"/>
        <w:ind w:left="0"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Assim, o percurso metodológico adotado baseia-se nos princípios da pesquisa qualitativa bibliográfica e também da observação. Nesse caso, apoia-se nos aportes teóricos de autores como Friedmann (2012), Winnicott (1982) e Kishimoto (2001), que ressaltam a relevância do brincar para o desenvolvimento integral das crianças. A pesquisa está sendo realizada na cidade de Jequié, BA (Brasil), com crianças de 0 a 3 anos matriculadas em uma creche pública do município.</w:t>
      </w:r>
    </w:p>
    <w:p w:rsidR="00000000" w:rsidDel="00000000" w:rsidP="00000000" w:rsidRDefault="00000000" w:rsidRPr="00000000" w14:paraId="0000000E">
      <w:pPr>
        <w:spacing w:after="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 ATUAÇÃO DO PROFESSOR SOBRE O BRINCAR INFANTIL</w:t>
      </w:r>
    </w:p>
    <w:p w:rsidR="00000000" w:rsidDel="00000000" w:rsidP="00000000" w:rsidRDefault="00000000" w:rsidRPr="00000000" w14:paraId="00000010">
      <w:pPr>
        <w:spacing w:after="0" w:line="360" w:lineRule="auto"/>
        <w:ind w:left="0"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Quando o professor proporcionar a experiência lúdica à criança, o mesmo estará construindo um espaço de narrativa e de experiências, estabelecendo uma relação outra com a linguagem, a cultura e a história, que auxilia o sujeito a (re) pensar e (re) construir suas práticas, seus saberes e seu conhecimento. Aprender, descobrir e construir fazem parte do mesmo processo (Kishimoto, 2008, p.672).  As inter-relações se fazem presentes. Aprendemos na troca de saberes, numa relação a dois, a três, ou seja, as crianças em suas relações com o professor, ou entre seus pares constroem conhecimentos construindo-se subjetivamente ao mesmo tempo. Assim sendo, o ato de brincar proporciona, tanto às crianças quanto aos adultos, que estes interliguem as coisas entre si, e, ao relacioná-las, construam o conhecimento (Cardoso, 2008).  </w:t>
      </w:r>
    </w:p>
    <w:p w:rsidR="00000000" w:rsidDel="00000000" w:rsidP="00000000" w:rsidRDefault="00000000" w:rsidRPr="00000000" w14:paraId="00000011">
      <w:pPr>
        <w:spacing w:after="0" w:line="360" w:lineRule="auto"/>
        <w:ind w:left="0"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 acordo com Cardoso (2008), é necessário que o professor de educação infantil insira o brincar em um projeto, o que supõe intencionalidade, ou seja, ter objetivo e consciência da importância de sua ação em relação ao desenvolvimento e à aprendizagem infantil. No entanto, é preciso rejeitar ao controle e a centralização e onisciência do que ocorre com as crianças em sala de aula.  Pois, conforme Winnicott (1982, p. 163), “a criança adquire experiência brincando”. Nesse caso, ao pensar sobre o pleno exercício da infância, é necessário, primeiramente, entender esse ato como essencial para sua construção humana.</w:t>
      </w:r>
    </w:p>
    <w:p w:rsidR="00000000" w:rsidDel="00000000" w:rsidP="00000000" w:rsidRDefault="00000000" w:rsidRPr="00000000" w14:paraId="00000012">
      <w:pPr>
        <w:spacing w:after="0" w:line="360" w:lineRule="auto"/>
        <w:ind w:left="0"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Entendemos também faz-se urgente que o professor veja o brincar como uma ação experiencial no cotidiano da educação infantil, como diz Luckesi (2000, p.39) “que ele tenha o desejo de agir de uma forma adequada, na perspectiva de dançar com o educando a dança energética da vida”.  Assim, as brincadeiras funcionam como um dispositivo que potencializa o entendimento do mundo pelas crianças.</w:t>
      </w:r>
    </w:p>
    <w:p w:rsidR="00000000" w:rsidDel="00000000" w:rsidP="00000000" w:rsidRDefault="00000000" w:rsidRPr="00000000" w14:paraId="00000013">
      <w:pPr>
        <w:spacing w:after="0" w:line="360" w:lineRule="auto"/>
        <w:ind w:left="0"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Nesse sentido, diferentemente do adulto, que enxerga a vida por meio de lentes mais complexas, a criança amplia e constrói seu pensamento através das brincadeiras. Para Friedmann (2012, p. 12), “quem não brinca cresce amarrado. Quem brinca experimenta o mergulho profundo na alma das coisas. E se torna livre para criar soluções, inovar caminhos, inventar o futuro.” Dessa forma, a brincadeira se configura como uma fonte rica de experiências fundamentais para o desenvolvimento da criança junto com seus pares. </w:t>
      </w:r>
    </w:p>
    <w:p w:rsidR="00000000" w:rsidDel="00000000" w:rsidP="00000000" w:rsidRDefault="00000000" w:rsidRPr="00000000" w14:paraId="00000014">
      <w:pPr>
        <w:spacing w:after="0" w:line="360" w:lineRule="auto"/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jc w:val="both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O ENVOLVIMENTO DOS PROFESSORES(AS) NO BRINCAR LIVRE DAS CRIANÇAS </w:t>
      </w:r>
    </w:p>
    <w:p w:rsidR="00000000" w:rsidDel="00000000" w:rsidP="00000000" w:rsidRDefault="00000000" w:rsidRPr="00000000" w14:paraId="00000016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</w:t>
      </w:r>
    </w:p>
    <w:p w:rsidR="00000000" w:rsidDel="00000000" w:rsidP="00000000" w:rsidRDefault="00000000" w:rsidRPr="00000000" w14:paraId="00000017">
      <w:pPr>
        <w:spacing w:after="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 início da pesquisa, percebemos certa resistência por parte dos(as) professores(as). Por se tratar de uma escola com moldes mais tradicionais, o ato de brincar ainda era considerado, por muitos docentes, como uma perda de tempo. Dessa forma, iniciar a pesquisa na instituição foi um desafio, especialmente pela falta de interesse e entusiasmo por parte de gestores e educadores.</w:t>
      </w:r>
    </w:p>
    <w:p w:rsidR="00000000" w:rsidDel="00000000" w:rsidP="00000000" w:rsidRDefault="00000000" w:rsidRPr="00000000" w14:paraId="00000018">
      <w:pPr>
        <w:spacing w:after="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Sobre isso, Kishimoto (2001, p. 122) lamenta ao afirmar que “um professor que não sabe e/ou não gosta de brincar dificilmente desenvolverá a capacidade lúdica dos seus alunos. Ele parte do princípio de que brincar é bobagem, perda de tempo”. Nesse sentido, o Baú Brincante busca reafirmar a importância do brincar livre na infância, oferecendo oportunidades para que professores e professoras da Educação Infantil desenvolvam uma consciência lúdica e compreendam que as brincadeiras são potências para múltiplas aprendizagens.</w:t>
      </w:r>
    </w:p>
    <w:p w:rsidR="00000000" w:rsidDel="00000000" w:rsidP="00000000" w:rsidRDefault="00000000" w:rsidRPr="00000000" w14:paraId="00000019">
      <w:pPr>
        <w:spacing w:after="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Durante os momentos de brincadeira, os(as) professores(as) não podem interferir diretamente no brincar das crianças, justamente para que o processo criativo seja genuinamente conduzido por elas. No entanto, é possível que participem, desde que convidados pelas próprias crianças, o que, de fato, aconteceu com bastante frequência. Conforme as Figuras 1 e 2 – abaixo:</w:t>
      </w:r>
    </w:p>
    <w:p w:rsidR="00000000" w:rsidDel="00000000" w:rsidP="00000000" w:rsidRDefault="00000000" w:rsidRPr="00000000" w14:paraId="0000001A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Figuras 1 e 2 – Crianças convidando/ ou pedindo ajuda das professoras </w:t>
      </w:r>
    </w:p>
    <w:p w:rsidR="00000000" w:rsidDel="00000000" w:rsidP="00000000" w:rsidRDefault="00000000" w:rsidRPr="00000000" w14:paraId="0000001C">
      <w:pPr>
        <w:spacing w:after="0"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057400" cy="264604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646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057400" cy="257175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6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Fonte: Acervo da pesquisadora 2024</w:t>
      </w:r>
    </w:p>
    <w:p w:rsidR="00000000" w:rsidDel="00000000" w:rsidP="00000000" w:rsidRDefault="00000000" w:rsidRPr="00000000" w14:paraId="0000001E">
      <w:pPr>
        <w:spacing w:after="0" w:line="360" w:lineRule="auto"/>
        <w:ind w:left="0"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Era comum observar as crianças pedindo ajuda para vestir uma roupa ou segurar algum dos objetos disponibilizados, o que favoreceu o engajamento de muitos professores nas brincadeiras que estavam sendo construídas. Dessa forma, começamos a perceber que o brincar livre proporciona momentos de troca genuína entre crianças e professores, momentos esses que, até então, não recebiam a devida atenção no cotidiano da instituição.</w:t>
      </w:r>
    </w:p>
    <w:p w:rsidR="00000000" w:rsidDel="00000000" w:rsidP="00000000" w:rsidRDefault="00000000" w:rsidRPr="00000000" w14:paraId="0000001F">
      <w:pPr>
        <w:spacing w:after="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CONCLUSÃO</w:t>
      </w:r>
    </w:p>
    <w:p w:rsidR="00000000" w:rsidDel="00000000" w:rsidP="00000000" w:rsidRDefault="00000000" w:rsidRPr="00000000" w14:paraId="00000021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360" w:lineRule="auto"/>
        <w:ind w:left="0"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Por fim, observa-se que, com intervenções formativas adequadas, é possível mostrar para professores da Educação Infantil a importância do brincar na infância e seus benefícios para o desenvolvimento cognitivo e social nessa etapa inicial da vida. Sendo assim, cabe aos professores compreenderem o brincar livre como um exercício natural e necessário na infância, e, assim, proporcionar espaços e contextos para que as crianças tenham oportunidades de brincar e criar suas próprias brincadeiras.</w:t>
      </w:r>
    </w:p>
    <w:p w:rsidR="00000000" w:rsidDel="00000000" w:rsidP="00000000" w:rsidRDefault="00000000" w:rsidRPr="00000000" w14:paraId="00000023">
      <w:pPr>
        <w:spacing w:after="0" w:line="360" w:lineRule="auto"/>
        <w:ind w:left="0"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Além disso, atividades brincantes podem ser utilizadas como ferramenta pedagógica ao proporcionar experiências que envolvam autonomia, autoconhecimento e aprendizagens, por meio de brincadeiras que despertem o interesse e o envolvimento das crianças.</w:t>
      </w:r>
    </w:p>
    <w:p w:rsidR="00000000" w:rsidDel="00000000" w:rsidP="00000000" w:rsidRDefault="00000000" w:rsidRPr="00000000" w14:paraId="00000024">
      <w:pPr>
        <w:spacing w:after="0" w:line="360" w:lineRule="auto"/>
        <w:ind w:firstLine="708.6614173228347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36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REFERÊNCIAS </w:t>
      </w:r>
    </w:p>
    <w:p w:rsidR="00000000" w:rsidDel="00000000" w:rsidP="00000000" w:rsidRDefault="00000000" w:rsidRPr="00000000" w14:paraId="00000026">
      <w:pPr>
        <w:tabs>
          <w:tab w:val="left" w:leader="none" w:pos="0"/>
        </w:tabs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CARDOSO, M. C.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Baú de memórias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representações de ludicidade de professores de educação infantil. 2008. 170f. Dissertação (Mestrado em Educação) – Universidade Federal da Bahia Programa Faculdade de educação, Salvador, BR-BA, 2008.</w:t>
      </w:r>
    </w:p>
    <w:p w:rsidR="00000000" w:rsidDel="00000000" w:rsidP="00000000" w:rsidRDefault="00000000" w:rsidRPr="00000000" w14:paraId="00000027">
      <w:pPr>
        <w:spacing w:after="0" w:line="360" w:lineRule="auto"/>
        <w:jc w:val="both"/>
        <w:rPr>
          <w:rFonts w:ascii="Arial" w:cs="Arial" w:eastAsia="Arial" w:hAnsi="Arial"/>
        </w:rPr>
      </w:pPr>
      <w:bookmarkStart w:colFirst="0" w:colLast="0" w:name="_l1ltuommzhmh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FRIEDMANN, Adriana.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O brincar na Educação Infantil: </w:t>
      </w:r>
      <w:r w:rsidDel="00000000" w:rsidR="00000000" w:rsidRPr="00000000">
        <w:rPr>
          <w:rFonts w:ascii="Arial" w:cs="Arial" w:eastAsia="Arial" w:hAnsi="Arial"/>
          <w:rtl w:val="0"/>
        </w:rPr>
        <w:t xml:space="preserve">observação, adequação e inclusão. São Paulo, SP: Moderna, 2012.</w:t>
      </w:r>
    </w:p>
    <w:p w:rsidR="00000000" w:rsidDel="00000000" w:rsidP="00000000" w:rsidRDefault="00000000" w:rsidRPr="00000000" w14:paraId="00000028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KISHIMOTO, Tizuco Morchida.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Jogo, brinquedo, brincadeira e a educação.</w:t>
      </w:r>
      <w:r w:rsidDel="00000000" w:rsidR="00000000" w:rsidRPr="00000000">
        <w:rPr>
          <w:rFonts w:ascii="Arial" w:cs="Arial" w:eastAsia="Arial" w:hAnsi="Arial"/>
          <w:rtl w:val="0"/>
        </w:rPr>
        <w:t xml:space="preserve"> 7 ed. São Paulo: Cortez, 2001.</w:t>
      </w:r>
    </w:p>
    <w:p w:rsidR="00000000" w:rsidDel="00000000" w:rsidP="00000000" w:rsidRDefault="00000000" w:rsidRPr="00000000" w14:paraId="0000002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KISHIMOTO, Tizuco Morchida. Processo de ensinar e aprender: lugares e culturas na Educação Infantil In: TRAVERSINI, C...  [et al.] (Org.).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Trajetória e processos de ensinar e aprender: práticas e didáticas</w:t>
      </w:r>
      <w:r w:rsidDel="00000000" w:rsidR="00000000" w:rsidRPr="00000000">
        <w:rPr>
          <w:rFonts w:ascii="Arial" w:cs="Arial" w:eastAsia="Arial" w:hAnsi="Arial"/>
          <w:rtl w:val="0"/>
        </w:rPr>
        <w:t xml:space="preserve">: livro 2-Porto Alegre: EDIPUCRS, 2008.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LUCKESI, C. C. Educação, ludidade e prevenção das neuroses futuras: uma proposta pedagógica a partir da Biossíntese. In. LUCKESI, C. C.(Org.)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Educação e Ludicidade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, Coletânea Ludopedagogia Ensaios 01. Salvador: FACED/UFBA. Programa de Pós-Graduação em Educação, 2000.</w:t>
      </w:r>
    </w:p>
    <w:p w:rsidR="00000000" w:rsidDel="00000000" w:rsidP="00000000" w:rsidRDefault="00000000" w:rsidRPr="00000000" w14:paraId="0000002B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WINNICOTT D.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O brincar e a realidade.</w:t>
      </w:r>
      <w:r w:rsidDel="00000000" w:rsidR="00000000" w:rsidRPr="00000000">
        <w:rPr>
          <w:rFonts w:ascii="Arial" w:cs="Arial" w:eastAsia="Arial" w:hAnsi="Arial"/>
          <w:rtl w:val="0"/>
        </w:rPr>
        <w:t xml:space="preserve"> Imago, 1982.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701" w:top="1701" w:left="1700.7874015748032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left="-1560" w:firstLine="0"/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7736637" cy="382179"/>
          <wp:effectExtent b="0" l="0" r="0" t="0"/>
          <wp:docPr descr="Texto&#10;&#10;O conteúdo gerado por IA pode estar incorreto." id="4" name="image4.png"/>
          <a:graphic>
            <a:graphicData uri="http://schemas.openxmlformats.org/drawingml/2006/picture">
              <pic:pic>
                <pic:nvPicPr>
                  <pic:cNvPr descr="Texto&#10;&#10;O conteúdo gerado por IA pode estar incorreto." id="0" name="image4.png"/>
                  <pic:cNvPicPr preferRelativeResize="0"/>
                </pic:nvPicPr>
                <pic:blipFill>
                  <a:blip r:embed="rId1"/>
                  <a:srcRect b="34637" l="0" r="-1" t="56468"/>
                  <a:stretch>
                    <a:fillRect/>
                  </a:stretch>
                </pic:blipFill>
                <pic:spPr>
                  <a:xfrm>
                    <a:off x="0" y="0"/>
                    <a:ext cx="7736637" cy="3821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right="2267"/>
      <w:jc w:val="center"/>
      <w:rPr>
        <w:rFonts w:ascii="Arial" w:cs="Arial" w:eastAsia="Arial" w:hAnsi="Arial"/>
        <w:b w:val="1"/>
        <w:color w:val="0a3041"/>
      </w:rPr>
    </w:pPr>
    <w:r w:rsidDel="00000000" w:rsidR="00000000" w:rsidRPr="00000000">
      <w:rPr>
        <w:rFonts w:ascii="Arial" w:cs="Arial" w:eastAsia="Arial" w:hAnsi="Arial"/>
        <w:b w:val="1"/>
        <w:color w:val="0a3041"/>
        <w:sz w:val="28"/>
        <w:szCs w:val="28"/>
        <w:rtl w:val="0"/>
      </w:rPr>
      <w:t xml:space="preserve">XXII ENCONTRO NACIONAL DA ANFOPE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3809917</wp:posOffset>
          </wp:positionH>
          <wp:positionV relativeFrom="paragraph">
            <wp:posOffset>-322985</wp:posOffset>
          </wp:positionV>
          <wp:extent cx="2571357" cy="121934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2271" r="8356" t="16783"/>
                  <a:stretch>
                    <a:fillRect/>
                  </a:stretch>
                </pic:blipFill>
                <pic:spPr>
                  <a:xfrm>
                    <a:off x="0" y="0"/>
                    <a:ext cx="2571357" cy="121934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right="2267"/>
      <w:jc w:val="center"/>
      <w:rPr>
        <w:rFonts w:ascii="Arial" w:cs="Arial" w:eastAsia="Arial" w:hAnsi="Arial"/>
        <w:color w:val="0a3041"/>
      </w:rPr>
    </w:pPr>
    <w:r w:rsidDel="00000000" w:rsidR="00000000" w:rsidRPr="00000000">
      <w:rPr>
        <w:rFonts w:ascii="Arial" w:cs="Arial" w:eastAsia="Arial" w:hAnsi="Arial"/>
        <w:color w:val="0a3041"/>
        <w:rtl w:val="0"/>
      </w:rPr>
      <w:t xml:space="preserve">39 anos da carta de Goiânia: momento de celebrar conquistas e enfrentando os desafios </w:t>
    </w:r>
  </w:p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right="2267"/>
      <w:jc w:val="center"/>
      <w:rPr>
        <w:rFonts w:ascii="Arial" w:cs="Arial" w:eastAsia="Arial" w:hAnsi="Arial"/>
        <w:color w:val="0a3041"/>
      </w:rPr>
    </w:pPr>
    <w:r w:rsidDel="00000000" w:rsidR="00000000" w:rsidRPr="00000000">
      <w:rPr>
        <w:rFonts w:ascii="Arial" w:cs="Arial" w:eastAsia="Arial" w:hAnsi="Arial"/>
        <w:color w:val="0a3041"/>
        <w:rtl w:val="0"/>
      </w:rPr>
      <w:t xml:space="preserve">Reunião da Associação Nacional pela Formação dos Profissionais da Educação - ANFOPE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pt-BR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