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162A0" w:rsidRDefault="00000000">
      <w:pPr>
        <w:widowControl w:val="0"/>
        <w:pBdr>
          <w:top w:val="nil"/>
          <w:left w:val="nil"/>
          <w:bottom w:val="nil"/>
          <w:right w:val="nil"/>
          <w:between w:val="nil"/>
        </w:pBdr>
        <w:spacing w:after="0" w:line="276" w:lineRule="auto"/>
      </w:pPr>
      <w:r>
        <w:pict w14:anchorId="58D3F5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0pt;height:50pt;z-index:251657728;visibility:hidden">
            <v:path o:extrusionok="t"/>
            <o:lock v:ext="edit" selection="t"/>
          </v:shape>
        </w:pict>
      </w:r>
    </w:p>
    <w:p w14:paraId="00000004" w14:textId="77777777" w:rsidR="007162A0" w:rsidRDefault="00000000">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Technical and Economic Feasibility Study of Castor Bean Biorefinery</w:t>
      </w:r>
    </w:p>
    <w:p w14:paraId="07376699" w14:textId="41D8FC32" w:rsidR="00940ED4" w:rsidRPr="00940ED4" w:rsidRDefault="00353F0F" w:rsidP="00353F0F">
      <w:pPr>
        <w:pBdr>
          <w:top w:val="nil"/>
          <w:left w:val="nil"/>
          <w:bottom w:val="nil"/>
          <w:right w:val="nil"/>
          <w:between w:val="nil"/>
        </w:pBdr>
        <w:spacing w:after="0"/>
        <w:jc w:val="center"/>
        <w:rPr>
          <w:rFonts w:ascii="Times New Roman" w:eastAsia="Times New Roman" w:hAnsi="Times New Roman" w:cs="Times New Roman"/>
          <w:b/>
          <w:color w:val="000000"/>
          <w:sz w:val="20"/>
          <w:szCs w:val="20"/>
          <w:lang w:val="pt-BR"/>
        </w:rPr>
      </w:pPr>
      <w:r w:rsidRPr="00940ED4">
        <w:rPr>
          <w:rFonts w:ascii="Times New Roman" w:eastAsia="Times New Roman" w:hAnsi="Times New Roman" w:cs="Times New Roman"/>
          <w:b/>
          <w:sz w:val="20"/>
          <w:szCs w:val="20"/>
          <w:lang w:val="pt-BR"/>
        </w:rPr>
        <w:t>Pedro Henrique Cruz de Souza</w:t>
      </w:r>
      <w:r w:rsidRPr="00940ED4">
        <w:rPr>
          <w:rFonts w:ascii="Times New Roman" w:eastAsia="Times New Roman" w:hAnsi="Times New Roman" w:cs="Times New Roman"/>
          <w:b/>
          <w:color w:val="000000"/>
          <w:sz w:val="20"/>
          <w:szCs w:val="20"/>
          <w:vertAlign w:val="superscript"/>
          <w:lang w:val="pt-BR"/>
        </w:rPr>
        <w:t>1</w:t>
      </w:r>
      <w:r>
        <w:rPr>
          <w:rFonts w:ascii="Times New Roman" w:eastAsia="Times New Roman" w:hAnsi="Times New Roman" w:cs="Times New Roman"/>
          <w:b/>
          <w:color w:val="000000"/>
          <w:sz w:val="20"/>
          <w:szCs w:val="20"/>
          <w:vertAlign w:val="superscript"/>
          <w:lang w:val="pt-BR"/>
        </w:rPr>
        <w:t>*</w:t>
      </w:r>
      <w:r w:rsidRPr="00940ED4">
        <w:rPr>
          <w:rFonts w:ascii="Times New Roman" w:eastAsia="Times New Roman" w:hAnsi="Times New Roman" w:cs="Times New Roman"/>
          <w:b/>
          <w:color w:val="000000"/>
          <w:sz w:val="20"/>
          <w:szCs w:val="20"/>
          <w:lang w:val="pt-BR"/>
        </w:rPr>
        <w:t>,</w:t>
      </w:r>
      <w:r w:rsidRPr="00940ED4">
        <w:rPr>
          <w:rFonts w:ascii="Times New Roman" w:eastAsia="Times New Roman" w:hAnsi="Times New Roman" w:cs="Times New Roman"/>
          <w:b/>
          <w:sz w:val="20"/>
          <w:szCs w:val="20"/>
          <w:lang w:val="pt-BR"/>
        </w:rPr>
        <w:t xml:space="preserve"> </w:t>
      </w:r>
      <w:r w:rsidR="00000000" w:rsidRPr="00940ED4">
        <w:rPr>
          <w:rFonts w:ascii="Times New Roman" w:eastAsia="Times New Roman" w:hAnsi="Times New Roman" w:cs="Times New Roman"/>
          <w:b/>
          <w:sz w:val="20"/>
          <w:szCs w:val="20"/>
          <w:lang w:val="pt-BR"/>
        </w:rPr>
        <w:t>Julia Gimenez Iervolino</w:t>
      </w:r>
      <w:r w:rsidR="00000000" w:rsidRPr="00940ED4">
        <w:rPr>
          <w:rFonts w:ascii="Times New Roman" w:eastAsia="Times New Roman" w:hAnsi="Times New Roman" w:cs="Times New Roman"/>
          <w:b/>
          <w:color w:val="000000"/>
          <w:sz w:val="20"/>
          <w:szCs w:val="20"/>
          <w:vertAlign w:val="superscript"/>
          <w:lang w:val="pt-BR"/>
        </w:rPr>
        <w:t>1</w:t>
      </w:r>
      <w:r w:rsidR="00000000" w:rsidRPr="00940ED4">
        <w:rPr>
          <w:rFonts w:ascii="Times New Roman" w:eastAsia="Times New Roman" w:hAnsi="Times New Roman" w:cs="Times New Roman"/>
          <w:b/>
          <w:color w:val="000000"/>
          <w:sz w:val="20"/>
          <w:szCs w:val="20"/>
          <w:lang w:val="pt-BR"/>
        </w:rPr>
        <w:t>,</w:t>
      </w:r>
      <w:r w:rsidR="00000000" w:rsidRPr="00940ED4">
        <w:rPr>
          <w:rFonts w:ascii="Times New Roman" w:eastAsia="Times New Roman" w:hAnsi="Times New Roman" w:cs="Times New Roman"/>
          <w:b/>
          <w:sz w:val="20"/>
          <w:szCs w:val="20"/>
          <w:lang w:val="pt-BR"/>
        </w:rPr>
        <w:t xml:space="preserve"> Luiza Vasconcelos Santos</w:t>
      </w:r>
      <w:r w:rsidR="00000000" w:rsidRPr="00940ED4">
        <w:rPr>
          <w:rFonts w:ascii="Times New Roman" w:eastAsia="Times New Roman" w:hAnsi="Times New Roman" w:cs="Times New Roman"/>
          <w:b/>
          <w:color w:val="000000"/>
          <w:sz w:val="20"/>
          <w:szCs w:val="20"/>
          <w:vertAlign w:val="superscript"/>
          <w:lang w:val="pt-BR"/>
        </w:rPr>
        <w:t>1</w:t>
      </w:r>
      <w:r w:rsidR="00000000" w:rsidRPr="00940ED4">
        <w:rPr>
          <w:rFonts w:ascii="Times New Roman" w:eastAsia="Times New Roman" w:hAnsi="Times New Roman" w:cs="Times New Roman"/>
          <w:b/>
          <w:color w:val="000000"/>
          <w:sz w:val="20"/>
          <w:szCs w:val="20"/>
          <w:lang w:val="pt-BR"/>
        </w:rPr>
        <w:t xml:space="preserve">, </w:t>
      </w:r>
      <w:r w:rsidR="00940ED4">
        <w:rPr>
          <w:rFonts w:ascii="Times New Roman" w:eastAsia="Times New Roman" w:hAnsi="Times New Roman" w:cs="Times New Roman"/>
          <w:b/>
          <w:sz w:val="20"/>
          <w:szCs w:val="20"/>
          <w:lang w:val="pt-BR"/>
        </w:rPr>
        <w:t>Artur Santos Bispo</w:t>
      </w:r>
      <w:r w:rsidR="00940ED4" w:rsidRPr="00940ED4">
        <w:rPr>
          <w:rFonts w:ascii="Times New Roman" w:eastAsia="Times New Roman" w:hAnsi="Times New Roman" w:cs="Times New Roman"/>
          <w:b/>
          <w:color w:val="000000"/>
          <w:sz w:val="20"/>
          <w:szCs w:val="20"/>
          <w:vertAlign w:val="superscript"/>
          <w:lang w:val="pt-BR"/>
        </w:rPr>
        <w:t>1</w:t>
      </w:r>
      <w:r w:rsidR="00940ED4" w:rsidRPr="00940ED4">
        <w:rPr>
          <w:rFonts w:ascii="Times New Roman" w:eastAsia="Times New Roman" w:hAnsi="Times New Roman" w:cs="Times New Roman"/>
          <w:b/>
          <w:color w:val="000000"/>
          <w:sz w:val="20"/>
          <w:szCs w:val="20"/>
          <w:lang w:val="pt-BR"/>
        </w:rPr>
        <w:t xml:space="preserve">, </w:t>
      </w:r>
      <w:r w:rsidR="00940ED4">
        <w:rPr>
          <w:rFonts w:ascii="Times New Roman" w:eastAsia="Times New Roman" w:hAnsi="Times New Roman" w:cs="Times New Roman"/>
          <w:b/>
          <w:sz w:val="20"/>
          <w:szCs w:val="20"/>
          <w:lang w:val="pt-BR"/>
        </w:rPr>
        <w:t>Gustavo de Souza dos Santos</w:t>
      </w:r>
      <w:r w:rsidR="00940ED4" w:rsidRPr="00940ED4">
        <w:rPr>
          <w:rFonts w:ascii="Times New Roman" w:eastAsia="Times New Roman" w:hAnsi="Times New Roman" w:cs="Times New Roman"/>
          <w:b/>
          <w:color w:val="000000"/>
          <w:sz w:val="20"/>
          <w:szCs w:val="20"/>
          <w:vertAlign w:val="superscript"/>
          <w:lang w:val="pt-BR"/>
        </w:rPr>
        <w:t>1</w:t>
      </w:r>
      <w:r w:rsidR="00940ED4" w:rsidRPr="00940ED4">
        <w:rPr>
          <w:rFonts w:ascii="Times New Roman" w:eastAsia="Times New Roman" w:hAnsi="Times New Roman" w:cs="Times New Roman"/>
          <w:b/>
          <w:color w:val="000000"/>
          <w:sz w:val="20"/>
          <w:szCs w:val="20"/>
          <w:lang w:val="pt-BR"/>
        </w:rPr>
        <w:t>,</w:t>
      </w:r>
      <w:r w:rsidR="00940ED4" w:rsidRPr="00940ED4">
        <w:rPr>
          <w:rFonts w:ascii="Times New Roman" w:eastAsia="Times New Roman" w:hAnsi="Times New Roman" w:cs="Times New Roman"/>
          <w:b/>
          <w:sz w:val="20"/>
          <w:szCs w:val="20"/>
          <w:lang w:val="pt-BR"/>
        </w:rPr>
        <w:t xml:space="preserve"> L</w:t>
      </w:r>
      <w:r w:rsidR="00940ED4">
        <w:rPr>
          <w:rFonts w:ascii="Times New Roman" w:eastAsia="Times New Roman" w:hAnsi="Times New Roman" w:cs="Times New Roman"/>
          <w:b/>
          <w:sz w:val="20"/>
          <w:szCs w:val="20"/>
          <w:lang w:val="pt-BR"/>
        </w:rPr>
        <w:t>eonardo Oliveira Santos de Santana</w:t>
      </w:r>
      <w:r w:rsidR="00940ED4" w:rsidRPr="00940ED4">
        <w:rPr>
          <w:rFonts w:ascii="Times New Roman" w:eastAsia="Times New Roman" w:hAnsi="Times New Roman" w:cs="Times New Roman"/>
          <w:b/>
          <w:color w:val="000000"/>
          <w:sz w:val="20"/>
          <w:szCs w:val="20"/>
          <w:vertAlign w:val="superscript"/>
          <w:lang w:val="pt-BR"/>
        </w:rPr>
        <w:t>1</w:t>
      </w:r>
      <w:r w:rsidR="00940ED4" w:rsidRPr="00940ED4">
        <w:rPr>
          <w:rFonts w:ascii="Times New Roman" w:eastAsia="Times New Roman" w:hAnsi="Times New Roman" w:cs="Times New Roman"/>
          <w:b/>
          <w:color w:val="000000"/>
          <w:sz w:val="20"/>
          <w:szCs w:val="20"/>
          <w:lang w:val="pt-BR"/>
        </w:rPr>
        <w:t xml:space="preserve">, </w:t>
      </w:r>
      <w:r w:rsidR="00940ED4">
        <w:rPr>
          <w:rFonts w:ascii="Times New Roman" w:eastAsia="Times New Roman" w:hAnsi="Times New Roman" w:cs="Times New Roman"/>
          <w:b/>
          <w:sz w:val="20"/>
          <w:szCs w:val="20"/>
          <w:lang w:val="pt-BR"/>
        </w:rPr>
        <w:t>Fernando Luiz Pellegrini Pessoa</w:t>
      </w:r>
      <w:r w:rsidR="00940ED4" w:rsidRPr="00940ED4">
        <w:rPr>
          <w:rFonts w:ascii="Times New Roman" w:eastAsia="Times New Roman" w:hAnsi="Times New Roman" w:cs="Times New Roman"/>
          <w:b/>
          <w:color w:val="000000"/>
          <w:sz w:val="20"/>
          <w:szCs w:val="20"/>
          <w:vertAlign w:val="superscript"/>
          <w:lang w:val="pt-BR"/>
        </w:rPr>
        <w:t>1</w:t>
      </w:r>
    </w:p>
    <w:p w14:paraId="00000007" w14:textId="58AD30D6" w:rsidR="007162A0" w:rsidRPr="00940ED4" w:rsidRDefault="007162A0" w:rsidP="00353F0F">
      <w:pPr>
        <w:pBdr>
          <w:top w:val="nil"/>
          <w:left w:val="nil"/>
          <w:bottom w:val="nil"/>
          <w:right w:val="nil"/>
          <w:between w:val="nil"/>
        </w:pBdr>
        <w:spacing w:after="0"/>
        <w:jc w:val="center"/>
        <w:rPr>
          <w:rFonts w:ascii="Times New Roman" w:eastAsia="Times New Roman" w:hAnsi="Times New Roman" w:cs="Times New Roman"/>
          <w:b/>
          <w:color w:val="000000"/>
          <w:sz w:val="20"/>
          <w:szCs w:val="20"/>
          <w:lang w:val="pt-BR"/>
        </w:rPr>
      </w:pPr>
    </w:p>
    <w:p w14:paraId="00000008" w14:textId="7A6DD714" w:rsidR="007162A0" w:rsidRPr="00353F0F" w:rsidRDefault="00000000" w:rsidP="00353F0F">
      <w:pPr>
        <w:pBdr>
          <w:top w:val="nil"/>
          <w:left w:val="nil"/>
          <w:bottom w:val="nil"/>
          <w:right w:val="nil"/>
          <w:between w:val="nil"/>
        </w:pBdr>
        <w:spacing w:after="0"/>
        <w:jc w:val="center"/>
        <w:rPr>
          <w:rFonts w:ascii="Times New Roman" w:eastAsia="Times New Roman" w:hAnsi="Times New Roman" w:cs="Times New Roman"/>
          <w:color w:val="000000"/>
          <w:sz w:val="20"/>
          <w:szCs w:val="20"/>
        </w:rPr>
      </w:pPr>
      <w:r w:rsidRPr="00353F0F">
        <w:rPr>
          <w:rFonts w:ascii="Times New Roman" w:eastAsia="Times New Roman" w:hAnsi="Times New Roman" w:cs="Times New Roman"/>
          <w:color w:val="000000"/>
          <w:sz w:val="20"/>
          <w:szCs w:val="20"/>
          <w:vertAlign w:val="superscript"/>
        </w:rPr>
        <w:t>1</w:t>
      </w:r>
      <w:r w:rsidRPr="00353F0F">
        <w:rPr>
          <w:rFonts w:ascii="Times New Roman" w:eastAsia="Times New Roman" w:hAnsi="Times New Roman" w:cs="Times New Roman"/>
          <w:sz w:val="20"/>
          <w:szCs w:val="20"/>
        </w:rPr>
        <w:t>University SENAI CIMATEC</w:t>
      </w:r>
      <w:r w:rsidRPr="00353F0F">
        <w:rPr>
          <w:rFonts w:ascii="Times New Roman" w:eastAsia="Times New Roman" w:hAnsi="Times New Roman" w:cs="Times New Roman"/>
          <w:i/>
          <w:color w:val="000000"/>
          <w:sz w:val="20"/>
          <w:szCs w:val="20"/>
        </w:rPr>
        <w:t xml:space="preserve">, </w:t>
      </w:r>
      <w:r w:rsidR="00940ED4" w:rsidRPr="00353F0F">
        <w:rPr>
          <w:rFonts w:ascii="Times New Roman" w:eastAsia="Times New Roman" w:hAnsi="Times New Roman" w:cs="Times New Roman"/>
          <w:i/>
          <w:color w:val="000000"/>
          <w:sz w:val="20"/>
          <w:szCs w:val="20"/>
        </w:rPr>
        <w:t>Department of chemical engineering</w:t>
      </w:r>
      <w:r w:rsidRPr="00353F0F">
        <w:rPr>
          <w:rFonts w:ascii="Times New Roman" w:eastAsia="Times New Roman" w:hAnsi="Times New Roman" w:cs="Times New Roman"/>
          <w:i/>
          <w:color w:val="000000"/>
          <w:sz w:val="20"/>
          <w:szCs w:val="20"/>
        </w:rPr>
        <w:t xml:space="preserve">, </w:t>
      </w:r>
      <w:r w:rsidRPr="00353F0F">
        <w:rPr>
          <w:rFonts w:ascii="Times New Roman" w:eastAsia="Times New Roman" w:hAnsi="Times New Roman" w:cs="Times New Roman"/>
          <w:i/>
          <w:sz w:val="20"/>
          <w:szCs w:val="20"/>
        </w:rPr>
        <w:t>Salvador</w:t>
      </w:r>
      <w:r w:rsidRPr="00353F0F">
        <w:rPr>
          <w:rFonts w:ascii="Times New Roman" w:eastAsia="Times New Roman" w:hAnsi="Times New Roman" w:cs="Times New Roman"/>
          <w:i/>
          <w:color w:val="000000"/>
          <w:sz w:val="20"/>
          <w:szCs w:val="20"/>
        </w:rPr>
        <w:t xml:space="preserve">, </w:t>
      </w:r>
      <w:r w:rsidRPr="00353F0F">
        <w:rPr>
          <w:rFonts w:ascii="Times New Roman" w:eastAsia="Times New Roman" w:hAnsi="Times New Roman" w:cs="Times New Roman"/>
          <w:i/>
          <w:sz w:val="20"/>
          <w:szCs w:val="20"/>
        </w:rPr>
        <w:t>Bahia</w:t>
      </w:r>
      <w:r w:rsidRPr="00353F0F">
        <w:rPr>
          <w:rFonts w:ascii="Times New Roman" w:eastAsia="Times New Roman" w:hAnsi="Times New Roman" w:cs="Times New Roman"/>
          <w:i/>
          <w:color w:val="000000"/>
          <w:sz w:val="20"/>
          <w:szCs w:val="20"/>
        </w:rPr>
        <w:t xml:space="preserve">, </w:t>
      </w:r>
      <w:r w:rsidRPr="00353F0F">
        <w:rPr>
          <w:rFonts w:ascii="Times New Roman" w:eastAsia="Times New Roman" w:hAnsi="Times New Roman" w:cs="Times New Roman"/>
          <w:i/>
          <w:sz w:val="20"/>
          <w:szCs w:val="20"/>
        </w:rPr>
        <w:t>Brazil</w:t>
      </w:r>
    </w:p>
    <w:p w14:paraId="00000009" w14:textId="4CA20B14" w:rsidR="007162A0" w:rsidRPr="00353F0F" w:rsidRDefault="00000000" w:rsidP="00353F0F">
      <w:pPr>
        <w:pBdr>
          <w:top w:val="nil"/>
          <w:left w:val="nil"/>
          <w:bottom w:val="nil"/>
          <w:right w:val="nil"/>
          <w:between w:val="nil"/>
        </w:pBdr>
        <w:spacing w:after="0"/>
        <w:jc w:val="center"/>
        <w:rPr>
          <w:rFonts w:ascii="Times New Roman" w:eastAsia="Times New Roman" w:hAnsi="Times New Roman" w:cs="Times New Roman"/>
          <w:i/>
          <w:color w:val="000000"/>
          <w:sz w:val="20"/>
          <w:szCs w:val="20"/>
        </w:rPr>
      </w:pPr>
      <w:r w:rsidRPr="00353F0F">
        <w:rPr>
          <w:rFonts w:ascii="Times New Roman" w:eastAsia="Times New Roman" w:hAnsi="Times New Roman" w:cs="Times New Roman"/>
          <w:i/>
          <w:color w:val="000000"/>
          <w:sz w:val="20"/>
          <w:szCs w:val="20"/>
        </w:rPr>
        <w:t>*</w:t>
      </w:r>
      <w:r w:rsidR="00353F0F" w:rsidRPr="00353F0F">
        <w:rPr>
          <w:rFonts w:ascii="Times New Roman" w:eastAsia="Times New Roman" w:hAnsi="Times New Roman" w:cs="Times New Roman"/>
          <w:sz w:val="20"/>
          <w:szCs w:val="20"/>
        </w:rPr>
        <w:t>University SENAI CIMATEC</w:t>
      </w:r>
      <w:r w:rsidRPr="00353F0F">
        <w:rPr>
          <w:rFonts w:ascii="Times New Roman" w:eastAsia="Times New Roman" w:hAnsi="Times New Roman" w:cs="Times New Roman"/>
          <w:i/>
          <w:color w:val="000000"/>
          <w:sz w:val="20"/>
          <w:szCs w:val="20"/>
        </w:rPr>
        <w:t xml:space="preserve">; </w:t>
      </w:r>
      <w:r w:rsidR="00353F0F" w:rsidRPr="00353F0F">
        <w:rPr>
          <w:rFonts w:ascii="Times New Roman" w:eastAsia="Times New Roman" w:hAnsi="Times New Roman" w:cs="Times New Roman"/>
          <w:i/>
          <w:color w:val="000000"/>
          <w:sz w:val="20"/>
          <w:szCs w:val="20"/>
        </w:rPr>
        <w:t>Salvador, Bahia, Brazil</w:t>
      </w:r>
      <w:r w:rsidRPr="00353F0F">
        <w:rPr>
          <w:rFonts w:ascii="Times New Roman" w:eastAsia="Times New Roman" w:hAnsi="Times New Roman" w:cs="Times New Roman"/>
          <w:i/>
          <w:color w:val="000000"/>
          <w:sz w:val="20"/>
          <w:szCs w:val="20"/>
        </w:rPr>
        <w:t xml:space="preserve">; </w:t>
      </w:r>
      <w:r w:rsidR="00353F0F" w:rsidRPr="00353F0F">
        <w:rPr>
          <w:rFonts w:ascii="Times New Roman" w:eastAsia="Times New Roman" w:hAnsi="Times New Roman" w:cs="Times New Roman"/>
          <w:i/>
          <w:color w:val="000000"/>
          <w:sz w:val="20"/>
          <w:szCs w:val="20"/>
        </w:rPr>
        <w:t>p</w:t>
      </w:r>
      <w:r w:rsidR="00413054">
        <w:rPr>
          <w:rFonts w:ascii="Times New Roman" w:eastAsia="Times New Roman" w:hAnsi="Times New Roman" w:cs="Times New Roman"/>
          <w:i/>
          <w:color w:val="000000"/>
          <w:sz w:val="20"/>
          <w:szCs w:val="20"/>
        </w:rPr>
        <w:t>edro.souza</w:t>
      </w:r>
      <w:r w:rsidRPr="00353F0F">
        <w:rPr>
          <w:rFonts w:ascii="Times New Roman" w:eastAsia="Times New Roman" w:hAnsi="Times New Roman" w:cs="Times New Roman"/>
          <w:i/>
          <w:color w:val="000000"/>
          <w:sz w:val="20"/>
          <w:szCs w:val="20"/>
        </w:rPr>
        <w:t>@</w:t>
      </w:r>
      <w:r w:rsidR="00353F0F" w:rsidRPr="00353F0F">
        <w:rPr>
          <w:rFonts w:ascii="Times New Roman" w:eastAsia="Times New Roman" w:hAnsi="Times New Roman" w:cs="Times New Roman"/>
          <w:i/>
          <w:color w:val="000000"/>
          <w:sz w:val="20"/>
          <w:szCs w:val="20"/>
        </w:rPr>
        <w:t>aln.senaicimatec.edu.br</w:t>
      </w:r>
    </w:p>
    <w:p w14:paraId="0000000A" w14:textId="77777777" w:rsidR="007162A0" w:rsidRDefault="007162A0">
      <w:pPr>
        <w:pBdr>
          <w:top w:val="nil"/>
          <w:left w:val="nil"/>
          <w:bottom w:val="nil"/>
          <w:right w:val="nil"/>
          <w:between w:val="nil"/>
        </w:pBdr>
        <w:spacing w:after="0"/>
        <w:ind w:left="318" w:right="318"/>
        <w:jc w:val="both"/>
        <w:rPr>
          <w:rFonts w:ascii="Times New Roman" w:eastAsia="Times New Roman" w:hAnsi="Times New Roman" w:cs="Times New Roman"/>
          <w:color w:val="000000"/>
          <w:sz w:val="20"/>
          <w:szCs w:val="20"/>
          <w:highlight w:val="yellow"/>
        </w:rPr>
      </w:pPr>
    </w:p>
    <w:p w14:paraId="0000000B" w14:textId="77777777" w:rsidR="007162A0" w:rsidRDefault="00000000">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study presents a technical and economic feasibility analysis for the implementation of a biorefinery for the extraction and processing of castor oil (</w:t>
      </w:r>
      <w:r>
        <w:rPr>
          <w:rFonts w:ascii="Times New Roman" w:eastAsia="Times New Roman" w:hAnsi="Times New Roman" w:cs="Times New Roman"/>
          <w:i/>
          <w:sz w:val="20"/>
          <w:szCs w:val="20"/>
        </w:rPr>
        <w:t>Ricinus communis L</w:t>
      </w:r>
      <w:r>
        <w:rPr>
          <w:rFonts w:ascii="Times New Roman" w:eastAsia="Times New Roman" w:hAnsi="Times New Roman" w:cs="Times New Roman"/>
          <w:sz w:val="20"/>
          <w:szCs w:val="20"/>
        </w:rPr>
        <w:t>.) in Bahia, Brazil. Castor oil is an oilseed of great industrial importance, known for its resilience to adverse climatic conditions and its wide range of applications in the chemical, pharmaceutical, cosmetic, and energy sectors, particularly due to the presence of castor oil. Accordingly, this work is based on its potential as a sustainable alternative to fossil sources, the valorization of regional production chains, and the promotion of socioeconomic development in Brazil's semi-arid Northeast. Furthermore, the high added value of castor oil and the potential for full biomass utilization justify investments in well-structured biorefinery projects. Both qualitative and quantitative methods were used to determine the optimal location, with Irecê (Bahia) identified as a strategic site. The hot pressing technology was selected for its high yield and simplicity. Two production capacity scenarios were evaluated: a high-capacity scenario (150 t/day), which demonstrated excellent economic viability (NPV of R$ 148 million, IRR of 38%, and a payback period of 3 years), and a medium-capacity scenario (50 t/day), which yielded negative results (NPV of -R$ 19 million, IRR of 6%). It is concluded that the implementation of a large-scale biorefinery is viable and promising, provided it is supported by strategies to reduce market volatility and optimize operational costs, thereby contributing to the strengthening of the castor production chain and the sustainable development of the region.</w:t>
      </w:r>
    </w:p>
    <w:p w14:paraId="0000000C" w14:textId="77777777" w:rsidR="007162A0" w:rsidRDefault="00000000">
      <w:pPr>
        <w:spacing w:before="240" w:after="240"/>
        <w:jc w:val="both"/>
        <w:rPr>
          <w:rFonts w:ascii="Times New Roman" w:eastAsia="Times New Roman" w:hAnsi="Times New Roman" w:cs="Times New Roman"/>
          <w:sz w:val="20"/>
          <w:szCs w:val="20"/>
        </w:rPr>
        <w:sectPr w:rsidR="007162A0">
          <w:headerReference w:type="default" r:id="rId8"/>
          <w:footerReference w:type="default" r:id="rId9"/>
          <w:pgSz w:w="11907" w:h="16839"/>
          <w:pgMar w:top="851" w:right="992" w:bottom="851" w:left="1134" w:header="720" w:footer="720" w:gutter="0"/>
          <w:pgNumType w:start="1"/>
          <w:cols w:space="720"/>
        </w:sectPr>
      </w:pPr>
      <w:r>
        <w:rPr>
          <w:rFonts w:ascii="Times New Roman" w:eastAsia="Times New Roman" w:hAnsi="Times New Roman" w:cs="Times New Roman"/>
          <w:b/>
          <w:sz w:val="20"/>
          <w:szCs w:val="20"/>
        </w:rPr>
        <w:t>Keywords:</w:t>
      </w:r>
      <w:r>
        <w:rPr>
          <w:rFonts w:ascii="Times New Roman" w:eastAsia="Times New Roman" w:hAnsi="Times New Roman" w:cs="Times New Roman"/>
          <w:sz w:val="20"/>
          <w:szCs w:val="20"/>
        </w:rPr>
        <w:t xml:space="preserve"> Castor bean; Northeast; Oil; Feasibility; Biomass.</w:t>
      </w:r>
    </w:p>
    <w:p w14:paraId="0000000D" w14:textId="77777777" w:rsidR="007162A0" w:rsidRDefault="00000000">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 INTRODUCTION</w:t>
      </w:r>
    </w:p>
    <w:p w14:paraId="0000000E" w14:textId="77777777" w:rsidR="007162A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search for renewable and sustainable energy sources has intensified in recent decades, driven by climate change, oil price volatility, and the need to diversify the global energy matrix. In this context, plant biomass stands out as a promising alternative, produced by plants in the form of lignocellulosic material, sugars, starches, and oils. Brazil, favored by natural conditions such as a tropical climate, fertile soils, and abundant water resources, is one of the world’s largest producers of biomass. Among all culture energies sources, sugarcane has held a prominent position since the 15th century, contributing significantly to ethanol production and electricity cogeneration from bagasse [1].</w:t>
      </w:r>
    </w:p>
    <w:p w14:paraId="00000010" w14:textId="77777777" w:rsidR="007162A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Castor bean (</w:t>
      </w:r>
      <w:r>
        <w:rPr>
          <w:rFonts w:ascii="Times New Roman" w:eastAsia="Times New Roman" w:hAnsi="Times New Roman" w:cs="Times New Roman"/>
          <w:i/>
          <w:sz w:val="24"/>
          <w:szCs w:val="24"/>
        </w:rPr>
        <w:t>Ricinus communis L</w:t>
      </w:r>
      <w:r>
        <w:rPr>
          <w:rFonts w:ascii="Times New Roman" w:eastAsia="Times New Roman" w:hAnsi="Times New Roman" w:cs="Times New Roman"/>
          <w:sz w:val="24"/>
          <w:szCs w:val="24"/>
        </w:rPr>
        <w:t xml:space="preserve">.), although less exploited, is an oilseed with high industrial </w:t>
      </w:r>
      <w:r>
        <w:rPr>
          <w:rFonts w:ascii="Times New Roman" w:eastAsia="Times New Roman" w:hAnsi="Times New Roman" w:cs="Times New Roman"/>
          <w:sz w:val="24"/>
          <w:szCs w:val="24"/>
        </w:rPr>
        <w:t xml:space="preserve">potential, with applications in the chemical, pharmaceutical, cosmetic, and biofuel sectors due to the extraction of castor oil. Traditionally cultivated by small and medium-sized farmers, it holds social relevance and potential for income generation in rural areas [2]. Historically, Brazil led global production of castor seeds and castor oil, but in recent decades has lost this position to countries such as India and China [3]. Despite its presence in several regions, castor bean cultivation still lacks technological advances, agronomic studies, genetic improvement, and the development of large-scale processing technologies. In addition, a major challenge is the presence of ricin, a highly toxic protein found in the seeds that inhibits protein synthesis in eukaryotic cells. This toxicity limits the use of the residual cake, a by-product of oil extraction, </w:t>
      </w:r>
      <w:r>
        <w:rPr>
          <w:rFonts w:ascii="Times New Roman" w:eastAsia="Times New Roman" w:hAnsi="Times New Roman" w:cs="Times New Roman"/>
          <w:sz w:val="24"/>
          <w:szCs w:val="24"/>
        </w:rPr>
        <w:lastRenderedPageBreak/>
        <w:t>particularly for animal feed due to toxicological risks. Research efforts have been made to develop varieties with lower ricin content and detoxification processes, aiming to expand the safe use of this by-product.</w:t>
      </w:r>
    </w:p>
    <w:p w14:paraId="00000011" w14:textId="77777777" w:rsidR="007162A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Given this scenario, the present study aims to conduct a Technical and Economic Feasibility Study (TEFS) for the implementation of a biorefinery dedicated to castor bean processing in the state of Bahia, considering the region's agricultural potential and the full utilization of biomass. In addition to oil extraction, the study seeks to evaluate the use of the residual cake as a value-added by-product, contributing to the strengthening of the castor bean value chain and the sustainable development of the semi-arid Northeast region of Brazil.</w:t>
      </w:r>
    </w:p>
    <w:p w14:paraId="00000012" w14:textId="77777777" w:rsidR="007162A0" w:rsidRDefault="00000000">
      <w:pPr>
        <w:spacing w:before="220" w:after="1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METHODOLOGY</w:t>
      </w:r>
    </w:p>
    <w:p w14:paraId="00000013" w14:textId="2A7DE0B1" w:rsidR="007162A0" w:rsidRDefault="00F16A6F">
      <w:pPr>
        <w:spacing w:before="220" w:after="100"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To carry out the economic feasibility study for the implementation of a castor bean biorefinery, methodological steps were followed to ensure a comprehensive analysis from market characterization to the definition of production capacity and cost estimation, using literature review, secondary data, and both quantitative and qualitative analyses.</w:t>
      </w:r>
    </w:p>
    <w:p w14:paraId="00000014" w14:textId="77777777" w:rsidR="007162A0" w:rsidRDefault="00000000">
      <w:pPr>
        <w:spacing w:before="200" w:after="160" w:line="360" w:lineRule="auto"/>
        <w:jc w:val="both"/>
        <w:rPr>
          <w:rFonts w:ascii="Times New Roman" w:eastAsia="Times New Roman" w:hAnsi="Times New Roman" w:cs="Times New Roman"/>
          <w:sz w:val="24"/>
          <w:szCs w:val="24"/>
          <w:highlight w:val="white"/>
          <w:u w:val="single"/>
        </w:rPr>
      </w:pPr>
      <w:r>
        <w:rPr>
          <w:rFonts w:ascii="Times New Roman" w:eastAsia="Times New Roman" w:hAnsi="Times New Roman" w:cs="Times New Roman"/>
          <w:sz w:val="24"/>
          <w:szCs w:val="24"/>
          <w:highlight w:val="white"/>
          <w:u w:val="single"/>
        </w:rPr>
        <w:t>2.1 MARKET CHARACTERIZATION</w:t>
      </w:r>
    </w:p>
    <w:p w14:paraId="00000015" w14:textId="77777777" w:rsidR="007162A0" w:rsidRDefault="00000000">
      <w:pPr>
        <w:spacing w:before="200" w:after="160" w:line="360" w:lineRule="auto"/>
        <w:jc w:val="both"/>
        <w:rPr>
          <w:rFonts w:ascii="Times New Roman" w:eastAsia="Times New Roman" w:hAnsi="Times New Roman" w:cs="Times New Roman"/>
          <w:sz w:val="24"/>
          <w:szCs w:val="24"/>
          <w:highlight w:val="white"/>
          <w:u w:val="single"/>
        </w:rPr>
      </w:pPr>
      <w:r>
        <w:rPr>
          <w:rFonts w:ascii="Times New Roman" w:eastAsia="Times New Roman" w:hAnsi="Times New Roman" w:cs="Times New Roman"/>
          <w:sz w:val="24"/>
          <w:szCs w:val="24"/>
          <w:highlight w:val="white"/>
        </w:rPr>
        <w:t xml:space="preserve">To characterize the current market, research was conducted using scientific articles, government and institutional databases such as Embrapa and the National Supply Company (Conab), along with a demand projection through 2027 based on </w:t>
      </w:r>
      <w:r>
        <w:rPr>
          <w:rFonts w:ascii="Times New Roman" w:eastAsia="Times New Roman" w:hAnsi="Times New Roman" w:cs="Times New Roman"/>
          <w:sz w:val="24"/>
          <w:szCs w:val="24"/>
          <w:highlight w:val="white"/>
        </w:rPr>
        <w:t>data from the Our World in Data platform. The objective was to understand the status of the castor bean value chain in Brazil and globally, as well as to obtain relevant statistical data for the study. It was observed that the Brazilian market shows a slight downward trend in production, although it remains relatively stable.</w:t>
      </w:r>
    </w:p>
    <w:p w14:paraId="00000016" w14:textId="77777777" w:rsidR="007162A0" w:rsidRDefault="00000000">
      <w:pPr>
        <w:spacing w:before="240" w:after="240" w:line="360" w:lineRule="auto"/>
        <w:jc w:val="both"/>
        <w:rPr>
          <w:rFonts w:ascii="Times New Roman" w:eastAsia="Times New Roman" w:hAnsi="Times New Roman" w:cs="Times New Roman"/>
          <w:sz w:val="24"/>
          <w:szCs w:val="24"/>
          <w:highlight w:val="white"/>
          <w:u w:val="single"/>
        </w:rPr>
      </w:pPr>
      <w:r>
        <w:rPr>
          <w:rFonts w:ascii="Times New Roman" w:eastAsia="Times New Roman" w:hAnsi="Times New Roman" w:cs="Times New Roman"/>
          <w:sz w:val="24"/>
          <w:szCs w:val="24"/>
          <w:highlight w:val="white"/>
          <w:u w:val="single"/>
        </w:rPr>
        <w:t>2.2 TECHNOLOGICAL ROUTE DEFINITION AND PLANT LOCATION</w:t>
      </w:r>
    </w:p>
    <w:p w14:paraId="00000017" w14:textId="77777777" w:rsidR="007162A0"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Subsequently, technological routes for oil extraction and the utilization of castor cake were evaluated. Based on technical and economic criteria, the process selected was hot pressing followed by solvent extraction, due to its high yield and feasibility at the proposed scale. From this definition, a process flow diagram was developed, and the main utility requirements such as thermal and electrical energy and process water were identified.</w:t>
      </w:r>
    </w:p>
    <w:p w14:paraId="00000018" w14:textId="1C3EB5C3" w:rsidR="007162A0"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Following the definition of the production process, it was necessary to identify the most efficient location for establishing the biorefinery</w:t>
      </w:r>
      <w:r w:rsidR="001500A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Considering Bahia’s relevance in Brazil’s castor bean production, three municipalities were selected as potential locations: Luís Eduardo Magalhães, Barreiras, and Irecê. Initially, the </w:t>
      </w:r>
      <w:r w:rsidR="001500AB" w:rsidRPr="001500AB">
        <w:rPr>
          <w:rFonts w:ascii="Times New Roman" w:eastAsia="Times New Roman" w:hAnsi="Times New Roman" w:cs="Times New Roman"/>
          <w:sz w:val="24"/>
          <w:szCs w:val="24"/>
        </w:rPr>
        <w:t>The Gravity Center method was applied, based on the geographical distribution of the main castor-producing regions and the consumer centers for its by-products (oil and cake), following the approach used in [4].</w:t>
      </w:r>
      <w:r w:rsidR="001500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This method enabled the estimation of the optimal logistical location, </w:t>
      </w:r>
      <w:r>
        <w:rPr>
          <w:rFonts w:ascii="Times New Roman" w:eastAsia="Times New Roman" w:hAnsi="Times New Roman" w:cs="Times New Roman"/>
          <w:sz w:val="24"/>
          <w:szCs w:val="24"/>
          <w:highlight w:val="white"/>
        </w:rPr>
        <w:lastRenderedPageBreak/>
        <w:t>aiming to streamline product distribution and minimize transportation costs by considering weighted distances.</w:t>
      </w:r>
    </w:p>
    <w:p w14:paraId="00000019" w14:textId="77777777" w:rsidR="007162A0" w:rsidRDefault="00000000">
      <w:pPr>
        <w:spacing w:before="240" w:after="240" w:line="360" w:lineRule="auto"/>
        <w:jc w:val="both"/>
        <w:rPr>
          <w:rFonts w:ascii="Times New Roman" w:eastAsia="Times New Roman" w:hAnsi="Times New Roman" w:cs="Times New Roman"/>
          <w:sz w:val="24"/>
          <w:szCs w:val="24"/>
          <w:highlight w:val="white"/>
          <w:u w:val="single"/>
        </w:rPr>
      </w:pPr>
      <w:r>
        <w:rPr>
          <w:rFonts w:ascii="Times New Roman" w:eastAsia="Times New Roman" w:hAnsi="Times New Roman" w:cs="Times New Roman"/>
          <w:sz w:val="24"/>
          <w:szCs w:val="24"/>
          <w:highlight w:val="white"/>
        </w:rPr>
        <w:t>In addition to the quantitative approach, a qualitative weighting matrix was employed using strategic criteria such as proximity to production areas, logistical infrastructure (roads, railways, and distribution centers), and the availability of resources (water, energy, and labor). This multicriteria assessment allowed for a broader comparison of the alternatives, taking into account not only logistical aspects but also operational and socioeconomic factors.</w:t>
      </w:r>
    </w:p>
    <w:p w14:paraId="0000001A" w14:textId="77777777" w:rsidR="007162A0" w:rsidRDefault="00000000">
      <w:pPr>
        <w:spacing w:before="200" w:after="160" w:line="360" w:lineRule="auto"/>
        <w:jc w:val="both"/>
        <w:rPr>
          <w:rFonts w:ascii="Times New Roman" w:eastAsia="Times New Roman" w:hAnsi="Times New Roman" w:cs="Times New Roman"/>
          <w:sz w:val="24"/>
          <w:szCs w:val="24"/>
          <w:highlight w:val="white"/>
          <w:u w:val="single"/>
        </w:rPr>
      </w:pPr>
      <w:r>
        <w:rPr>
          <w:rFonts w:ascii="Times New Roman" w:eastAsia="Times New Roman" w:hAnsi="Times New Roman" w:cs="Times New Roman"/>
          <w:sz w:val="24"/>
          <w:szCs w:val="24"/>
          <w:highlight w:val="white"/>
          <w:u w:val="single"/>
        </w:rPr>
        <w:t>2.3 MASS BALANCE</w:t>
      </w:r>
    </w:p>
    <w:p w14:paraId="0000001B" w14:textId="77777777" w:rsidR="007162A0" w:rsidRDefault="00000000">
      <w:pPr>
        <w:spacing w:before="200" w:after="16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For the mass balance stage, it was assumed that the raw material used consists of 100% clean, dehulled castor seeds that is the pretreatment stage (cleaning and dehulling) was carried out beforehand and is not included in the following calculations. The calculations were based on the assumptions presented in Table 1 below:</w:t>
      </w:r>
    </w:p>
    <w:p w14:paraId="0000001C" w14:textId="77777777" w:rsidR="007162A0" w:rsidRDefault="00000000">
      <w:pPr>
        <w:spacing w:before="200" w:after="160" w:line="360" w:lineRule="auto"/>
        <w:jc w:val="both"/>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b/>
          <w:sz w:val="24"/>
          <w:szCs w:val="24"/>
          <w:highlight w:val="white"/>
        </w:rPr>
        <w:t>Table 1</w:t>
      </w:r>
      <w:r>
        <w:rPr>
          <w:rFonts w:ascii="Times New Roman" w:eastAsia="Times New Roman" w:hAnsi="Times New Roman" w:cs="Times New Roman"/>
          <w:sz w:val="24"/>
          <w:szCs w:val="24"/>
          <w:highlight w:val="white"/>
        </w:rPr>
        <w:t>. Base data for mass balance</w:t>
      </w:r>
    </w:p>
    <w:tbl>
      <w:tblPr>
        <w:tblStyle w:val="a2"/>
        <w:tblpPr w:leftFromText="141" w:rightFromText="141" w:vertAnchor="text" w:tblpY="217"/>
        <w:tblW w:w="46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5"/>
        <w:gridCol w:w="2715"/>
      </w:tblGrid>
      <w:tr w:rsidR="007162A0" w14:paraId="02D1542A" w14:textId="77777777">
        <w:trPr>
          <w:cantSplit/>
          <w:trHeight w:val="160"/>
        </w:trPr>
        <w:tc>
          <w:tcPr>
            <w:tcW w:w="4680" w:type="dxa"/>
            <w:gridSpan w:val="2"/>
          </w:tcPr>
          <w:p w14:paraId="0000001D" w14:textId="77777777" w:rsidR="007162A0" w:rsidRDefault="00000000">
            <w:pPr>
              <w:spacing w:after="0" w:line="36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Base Data</w:t>
            </w:r>
          </w:p>
        </w:tc>
      </w:tr>
      <w:tr w:rsidR="007162A0" w14:paraId="339672B3" w14:textId="77777777">
        <w:tc>
          <w:tcPr>
            <w:tcW w:w="1965" w:type="dxa"/>
          </w:tcPr>
          <w:p w14:paraId="0000001F" w14:textId="4A144EB8" w:rsidR="007162A0" w:rsidRDefault="00EC5D27">
            <w:pPr>
              <w:pBdr>
                <w:top w:val="nil"/>
                <w:left w:val="nil"/>
                <w:bottom w:val="nil"/>
                <w:right w:val="nil"/>
                <w:between w:val="nil"/>
              </w:pBdr>
              <w:spacing w:after="0" w:line="36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Acidity </w:t>
            </w:r>
            <w:r w:rsidR="00A54F7F">
              <w:rPr>
                <w:rFonts w:ascii="Times New Roman" w:eastAsia="Times New Roman" w:hAnsi="Times New Roman" w:cs="Times New Roman"/>
                <w:sz w:val="16"/>
                <w:szCs w:val="16"/>
              </w:rPr>
              <w:t>level</w:t>
            </w:r>
            <w:r>
              <w:rPr>
                <w:rFonts w:ascii="Times New Roman" w:eastAsia="Times New Roman" w:hAnsi="Times New Roman" w:cs="Times New Roman"/>
                <w:sz w:val="16"/>
                <w:szCs w:val="16"/>
              </w:rPr>
              <w:t xml:space="preserve"> (%)</w:t>
            </w:r>
          </w:p>
        </w:tc>
        <w:tc>
          <w:tcPr>
            <w:tcW w:w="2715" w:type="dxa"/>
          </w:tcPr>
          <w:p w14:paraId="00000020" w14:textId="77777777" w:rsidR="007162A0" w:rsidRDefault="00000000">
            <w:pPr>
              <w:pBdr>
                <w:top w:val="nil"/>
                <w:left w:val="nil"/>
                <w:bottom w:val="nil"/>
                <w:right w:val="nil"/>
                <w:between w:val="nil"/>
              </w:pBdr>
              <w:spacing w:after="0" w:line="36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2%</w:t>
            </w:r>
          </w:p>
        </w:tc>
      </w:tr>
      <w:tr w:rsidR="007162A0" w14:paraId="2DBB13A6" w14:textId="77777777">
        <w:tc>
          <w:tcPr>
            <w:tcW w:w="19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21" w14:textId="77777777" w:rsidR="007162A0" w:rsidRDefault="00000000">
            <w:pPr>
              <w:widowControl w:val="0"/>
              <w:spacing w:after="0" w:line="276"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Pressing (%)</w:t>
            </w:r>
          </w:p>
        </w:tc>
        <w:tc>
          <w:tcPr>
            <w:tcW w:w="27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22" w14:textId="77777777" w:rsidR="007162A0" w:rsidRDefault="00000000">
            <w:pPr>
              <w:widowControl w:val="0"/>
              <w:spacing w:after="0" w:line="276"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48%</w:t>
            </w:r>
          </w:p>
        </w:tc>
      </w:tr>
      <w:tr w:rsidR="007162A0" w14:paraId="7CED90E2" w14:textId="77777777">
        <w:tc>
          <w:tcPr>
            <w:tcW w:w="19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23" w14:textId="65EBE5E1" w:rsidR="007162A0" w:rsidRDefault="00580486">
            <w:pPr>
              <w:widowControl w:val="0"/>
              <w:spacing w:after="0" w:line="276"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Oil in Cake</w:t>
            </w:r>
          </w:p>
        </w:tc>
        <w:tc>
          <w:tcPr>
            <w:tcW w:w="27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24" w14:textId="77777777" w:rsidR="007162A0" w:rsidRDefault="00000000">
            <w:pPr>
              <w:widowControl w:val="0"/>
              <w:spacing w:after="0" w:line="276"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r>
      <w:tr w:rsidR="007162A0" w14:paraId="40DC162D" w14:textId="77777777">
        <w:tc>
          <w:tcPr>
            <w:tcW w:w="19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25" w14:textId="77777777" w:rsidR="007162A0" w:rsidRDefault="00000000">
            <w:pPr>
              <w:widowControl w:val="0"/>
              <w:spacing w:after="0" w:line="276"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Oil in Centrifuge</w:t>
            </w:r>
          </w:p>
        </w:tc>
        <w:tc>
          <w:tcPr>
            <w:tcW w:w="27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26" w14:textId="77777777" w:rsidR="007162A0" w:rsidRDefault="00000000">
            <w:pPr>
              <w:widowControl w:val="0"/>
              <w:spacing w:after="0" w:line="276"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97%</w:t>
            </w:r>
          </w:p>
        </w:tc>
      </w:tr>
      <w:tr w:rsidR="007162A0" w14:paraId="564BA1B9" w14:textId="77777777">
        <w:tc>
          <w:tcPr>
            <w:tcW w:w="19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27" w14:textId="77777777" w:rsidR="007162A0" w:rsidRDefault="00000000">
            <w:pPr>
              <w:widowControl w:val="0"/>
              <w:spacing w:after="0" w:line="276"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Neutralization</w:t>
            </w:r>
          </w:p>
        </w:tc>
        <w:tc>
          <w:tcPr>
            <w:tcW w:w="27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28" w14:textId="77777777" w:rsidR="007162A0" w:rsidRDefault="00000000">
            <w:pPr>
              <w:widowControl w:val="0"/>
              <w:spacing w:after="0" w:line="276"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0.00199</w:t>
            </w:r>
          </w:p>
        </w:tc>
      </w:tr>
      <w:tr w:rsidR="007162A0" w14:paraId="2E882D32" w14:textId="77777777">
        <w:tc>
          <w:tcPr>
            <w:tcW w:w="19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29" w14:textId="77777777" w:rsidR="007162A0" w:rsidRDefault="00000000">
            <w:pPr>
              <w:widowControl w:val="0"/>
              <w:spacing w:after="0" w:line="276"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Water input</w:t>
            </w:r>
          </w:p>
        </w:tc>
        <w:tc>
          <w:tcPr>
            <w:tcW w:w="27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2A" w14:textId="77777777" w:rsidR="007162A0" w:rsidRDefault="00000000">
            <w:pPr>
              <w:widowControl w:val="0"/>
              <w:spacing w:after="0" w:line="276"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tc>
      </w:tr>
    </w:tbl>
    <w:p w14:paraId="0000002B" w14:textId="77777777" w:rsidR="007162A0" w:rsidRDefault="007162A0">
      <w:pPr>
        <w:pBdr>
          <w:top w:val="nil"/>
          <w:left w:val="nil"/>
          <w:bottom w:val="nil"/>
          <w:right w:val="nil"/>
          <w:between w:val="nil"/>
        </w:pBdr>
        <w:spacing w:after="0" w:line="360" w:lineRule="auto"/>
        <w:jc w:val="both"/>
        <w:rPr>
          <w:rFonts w:ascii="Times New Roman" w:eastAsia="Times New Roman" w:hAnsi="Times New Roman" w:cs="Times New Roman"/>
          <w:sz w:val="24"/>
          <w:szCs w:val="24"/>
          <w:u w:val="single"/>
        </w:rPr>
      </w:pPr>
    </w:p>
    <w:p w14:paraId="0000002C" w14:textId="77777777" w:rsidR="007162A0" w:rsidRDefault="00000000">
      <w:pPr>
        <w:pBdr>
          <w:top w:val="nil"/>
          <w:left w:val="nil"/>
          <w:bottom w:val="nil"/>
          <w:right w:val="nil"/>
          <w:between w:val="nil"/>
        </w:pBdr>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An empirical factor (0.00199) was used, based on the stoichiometry of the saponification reaction between free fatty acids (FFA) and sodium </w:t>
      </w:r>
      <w:r>
        <w:rPr>
          <w:rFonts w:ascii="Times New Roman" w:eastAsia="Times New Roman" w:hAnsi="Times New Roman" w:cs="Times New Roman"/>
          <w:sz w:val="24"/>
          <w:szCs w:val="24"/>
          <w:highlight w:val="white"/>
        </w:rPr>
        <w:t>hydroxide, to estimate the required amount of base. This value, widely accepted in technical and industrial literature, relates the acidity level of the oil to the processed mass, taking into account the average molar mass of the main fatty acids and the molar ratio of the reaction [5].</w:t>
      </w:r>
    </w:p>
    <w:p w14:paraId="0000002D" w14:textId="77777777" w:rsidR="007162A0" w:rsidRDefault="00000000">
      <w:pPr>
        <w:spacing w:before="240" w:after="240" w:line="360" w:lineRule="auto"/>
        <w:jc w:val="both"/>
        <w:rPr>
          <w:rFonts w:ascii="Times New Roman" w:eastAsia="Times New Roman" w:hAnsi="Times New Roman" w:cs="Times New Roman"/>
          <w:sz w:val="24"/>
          <w:szCs w:val="24"/>
          <w:highlight w:val="white"/>
          <w:u w:val="single"/>
        </w:rPr>
      </w:pPr>
      <w:r>
        <w:rPr>
          <w:rFonts w:ascii="Times New Roman" w:eastAsia="Times New Roman" w:hAnsi="Times New Roman" w:cs="Times New Roman"/>
          <w:sz w:val="24"/>
          <w:szCs w:val="24"/>
          <w:highlight w:val="white"/>
          <w:u w:val="single"/>
        </w:rPr>
        <w:t>2.4 ECONOMIC ANALYSIS</w:t>
      </w:r>
    </w:p>
    <w:p w14:paraId="0000002E" w14:textId="77777777" w:rsidR="007162A0"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For the economic analysis, two plant production capacity scenarios were considered: 150 t/day and 50 t/day. The 150 t/day capacity was intentionally overestimated, representing an optimistic large-scale operation scenario aimed at evaluating the maximum economic potential of the process under ideal continuous production conditions. On the other hand, the 50 t/day capacity reflects a more conservative and realistic estimate, compatible with a medium-scale processing unit feasible for regional implementation. This comparison allowed for assessing the sensitivity of economic indicators to project scale and helped define a model better suited to the socioeconomic reality of the region.</w:t>
      </w:r>
    </w:p>
    <w:p w14:paraId="0000002F" w14:textId="162FA664" w:rsidR="007162A0"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Equipment costs were estimated based on 1990 data from [</w:t>
      </w:r>
      <w:r w:rsidR="001500AB">
        <w:rPr>
          <w:rFonts w:ascii="Times New Roman" w:eastAsia="Times New Roman" w:hAnsi="Times New Roman" w:cs="Times New Roman"/>
          <w:sz w:val="24"/>
          <w:szCs w:val="24"/>
          <w:highlight w:val="white"/>
        </w:rPr>
        <w:t>6</w:t>
      </w:r>
      <w:r>
        <w:rPr>
          <w:rFonts w:ascii="Times New Roman" w:eastAsia="Times New Roman" w:hAnsi="Times New Roman" w:cs="Times New Roman"/>
          <w:sz w:val="24"/>
          <w:szCs w:val="24"/>
          <w:highlight w:val="white"/>
        </w:rPr>
        <w:t xml:space="preserve">], updated to 2024 using the Chemical Engineering Plant Cost Index (CEPCI) and converted to Brazilian reais using a nationalization factor (1.2), due to the lack of specific data on individual costs and energy consumption. The annual net revenue was calculated from the estimated production of castor oil and cake, considering average market prices and applying a 30% tax burden. Fixed </w:t>
      </w:r>
      <w:r>
        <w:rPr>
          <w:rFonts w:ascii="Times New Roman" w:eastAsia="Times New Roman" w:hAnsi="Times New Roman" w:cs="Times New Roman"/>
          <w:sz w:val="24"/>
          <w:szCs w:val="24"/>
          <w:highlight w:val="white"/>
        </w:rPr>
        <w:lastRenderedPageBreak/>
        <w:t>plant costs were estimated, including investments in ISBL (Inside Battery Limits) and OSBL (Outside Battery Limits), startup investment (10% of fixed investment), and working capital. The sum of these values resulted in the total project investment. The annual operating cost (OPEX) was obtained by summing fixed and variable costs.</w:t>
      </w:r>
    </w:p>
    <w:p w14:paraId="00000030" w14:textId="77777777" w:rsidR="007162A0"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Based on these data, the annual cash flow was projected over a 10-year horizon, considering straight-line depreciation of fixed investment, operational costs, tax burden, and estimated revenue. The economic feasibility analysis was conducted through the calculation of the Net Present Value (NPV), using a Minimum Attractive Rate of Return (MARR) of 14.75%, corresponding to the SELIC rate as of May 2025 (Eq. 3).</w:t>
      </w:r>
    </w:p>
    <w:p w14:paraId="00000031" w14:textId="77777777" w:rsidR="007162A0"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 addition to NPV, the Internal Rate of Return (IRR), breakeven point, payback period, and profitability index (PI) defined as the ratio between the accumulated NPV and the initial investment (Eq. 4) were calculated. Finally, a sensitivity analysis was performed to evaluate the effects of variations in selling prices and operational costs on project feasibility.</w:t>
      </w:r>
    </w:p>
    <w:p w14:paraId="00000032" w14:textId="77777777" w:rsidR="007162A0"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following equations were used for the calculations:</w:t>
      </w:r>
    </w:p>
    <w:p w14:paraId="00000033" w14:textId="77777777" w:rsidR="007162A0"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m:oMath>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I</m:t>
            </m:r>
          </m:e>
          <m:sub>
            <m:r>
              <w:rPr>
                <w:rFonts w:ascii="Times New Roman" w:eastAsia="Times New Roman" w:hAnsi="Times New Roman" w:cs="Times New Roman"/>
                <w:sz w:val="24"/>
                <w:szCs w:val="24"/>
                <w:highlight w:val="white"/>
              </w:rPr>
              <m:t>1</m:t>
            </m:r>
          </m:sub>
        </m:sSub>
        <m:r>
          <w:rPr>
            <w:rFonts w:ascii="Times New Roman" w:eastAsia="Times New Roman" w:hAnsi="Times New Roman" w:cs="Times New Roman"/>
            <w:sz w:val="24"/>
            <w:szCs w:val="24"/>
            <w:highlight w:val="white"/>
          </w:rPr>
          <m:t>=</m:t>
        </m:r>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I</m:t>
            </m:r>
          </m:e>
          <m:sub>
            <m:r>
              <w:rPr>
                <w:rFonts w:ascii="Times New Roman" w:eastAsia="Times New Roman" w:hAnsi="Times New Roman" w:cs="Times New Roman"/>
                <w:sz w:val="24"/>
                <w:szCs w:val="24"/>
                <w:highlight w:val="white"/>
              </w:rPr>
              <m:t>2</m:t>
            </m:r>
          </m:sub>
        </m:sSub>
        <m:r>
          <w:rPr>
            <w:rFonts w:ascii="Times New Roman" w:eastAsia="Times New Roman" w:hAnsi="Times New Roman" w:cs="Times New Roman"/>
            <w:sz w:val="24"/>
            <w:szCs w:val="24"/>
            <w:highlight w:val="white"/>
          </w:rPr>
          <m:t>(</m:t>
        </m:r>
        <m:f>
          <m:fPr>
            <m:ctrlPr>
              <w:rPr>
                <w:rFonts w:ascii="Times New Roman" w:eastAsia="Times New Roman" w:hAnsi="Times New Roman" w:cs="Times New Roman"/>
                <w:sz w:val="24"/>
                <w:szCs w:val="24"/>
                <w:highlight w:val="white"/>
              </w:rPr>
            </m:ctrlPr>
          </m:fPr>
          <m:num>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C</m:t>
                </m:r>
              </m:e>
              <m:sub>
                <m:r>
                  <w:rPr>
                    <w:rFonts w:ascii="Times New Roman" w:eastAsia="Times New Roman" w:hAnsi="Times New Roman" w:cs="Times New Roman"/>
                    <w:sz w:val="24"/>
                    <w:szCs w:val="24"/>
                    <w:highlight w:val="white"/>
                  </w:rPr>
                  <m:t>1</m:t>
                </m:r>
              </m:sub>
            </m:sSub>
          </m:num>
          <m:den>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C</m:t>
                </m:r>
              </m:e>
              <m:sub>
                <m:r>
                  <w:rPr>
                    <w:rFonts w:ascii="Times New Roman" w:eastAsia="Times New Roman" w:hAnsi="Times New Roman" w:cs="Times New Roman"/>
                    <w:sz w:val="24"/>
                    <w:szCs w:val="24"/>
                    <w:highlight w:val="white"/>
                  </w:rPr>
                  <m:t>2</m:t>
                </m:r>
              </m:sub>
            </m:sSub>
          </m:den>
        </m:f>
        <m:sSup>
          <m:sSupPr>
            <m:ctrlPr>
              <w:rPr>
                <w:rFonts w:ascii="Times New Roman" w:eastAsia="Times New Roman" w:hAnsi="Times New Roman" w:cs="Times New Roman"/>
                <w:sz w:val="24"/>
                <w:szCs w:val="24"/>
                <w:highlight w:val="white"/>
              </w:rPr>
            </m:ctrlPr>
          </m:sSupPr>
          <m:e>
            <m:r>
              <w:rPr>
                <w:rFonts w:ascii="Times New Roman" w:eastAsia="Times New Roman" w:hAnsi="Times New Roman" w:cs="Times New Roman"/>
                <w:sz w:val="24"/>
                <w:szCs w:val="24"/>
                <w:highlight w:val="white"/>
              </w:rPr>
              <m:t>)</m:t>
            </m:r>
          </m:e>
          <m:sup>
            <m:r>
              <w:rPr>
                <w:rFonts w:ascii="Times New Roman" w:eastAsia="Times New Roman" w:hAnsi="Times New Roman" w:cs="Times New Roman"/>
                <w:sz w:val="24"/>
                <w:szCs w:val="24"/>
                <w:highlight w:val="white"/>
              </w:rPr>
              <m:t>f</m:t>
            </m:r>
          </m:sup>
        </m:sSup>
      </m:oMath>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b/>
        <w:t xml:space="preserve">           (1)       </w:t>
      </w:r>
    </w:p>
    <w:p w14:paraId="00000034" w14:textId="77777777" w:rsidR="007162A0" w:rsidRDefault="00000000">
      <w:pPr>
        <w:spacing w:before="240" w:after="240" w:line="360" w:lineRule="auto"/>
        <w:jc w:val="both"/>
        <w:rPr>
          <w:rFonts w:ascii="Times New Roman" w:eastAsia="Times New Roman" w:hAnsi="Times New Roman" w:cs="Times New Roman"/>
          <w:sz w:val="24"/>
          <w:szCs w:val="24"/>
          <w:highlight w:val="white"/>
        </w:rPr>
      </w:pPr>
      <w:sdt>
        <w:sdtPr>
          <w:tag w:val="goog_rdk_0"/>
          <w:id w:val="95473748"/>
        </w:sdtPr>
        <w:sdtContent>
          <w:commentRangeStart w:id="0"/>
        </w:sdtContent>
      </w:sdt>
      <w:sdt>
        <w:sdtPr>
          <w:tag w:val="goog_rdk_1"/>
          <w:id w:val="400785874"/>
        </w:sdtPr>
        <w:sdtContent>
          <w:commentRangeStart w:id="1"/>
        </w:sdtContent>
      </w:sdt>
      <w:r>
        <w:rPr>
          <w:rFonts w:ascii="Times New Roman" w:eastAsia="Times New Roman" w:hAnsi="Times New Roman" w:cs="Times New Roman"/>
          <w:sz w:val="24"/>
          <w:szCs w:val="24"/>
          <w:highlight w:val="white"/>
        </w:rPr>
        <w:t>Where I1 is the cost in 2024, I2 is the cost 1990; f=0,6; C1=798,8 ; C2 =100</w:t>
      </w:r>
      <w:commentRangeEnd w:id="0"/>
      <w:r>
        <w:commentReference w:id="0"/>
      </w:r>
      <w:commentRangeEnd w:id="1"/>
      <w:r>
        <w:commentReference w:id="1"/>
      </w:r>
    </w:p>
    <w:p w14:paraId="00000035" w14:textId="77777777" w:rsidR="007162A0" w:rsidRPr="00F16A6F" w:rsidRDefault="0000000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w:t>
      </w:r>
      <w:r w:rsidRPr="00F16A6F">
        <w:rPr>
          <w:rFonts w:ascii="Times New Roman" w:eastAsia="Times New Roman" w:hAnsi="Times New Roman" w:cs="Times New Roman"/>
          <w:sz w:val="24"/>
          <w:szCs w:val="24"/>
        </w:rPr>
        <w:t xml:space="preserve">     </w:t>
      </w:r>
      <m:oMath>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I</m:t>
            </m:r>
          </m:e>
          <m:sub>
            <m:r>
              <w:rPr>
                <w:rFonts w:ascii="Times New Roman" w:eastAsia="Times New Roman" w:hAnsi="Times New Roman" w:cs="Times New Roman"/>
                <w:sz w:val="24"/>
                <w:szCs w:val="24"/>
              </w:rPr>
              <m:t xml:space="preserve">Brazil </m:t>
            </m:r>
          </m:sub>
        </m:sSub>
        <m:r>
          <w:rPr>
            <w:rFonts w:ascii="Times New Roman" w:eastAsia="Times New Roman" w:hAnsi="Times New Roman" w:cs="Times New Roman"/>
            <w:sz w:val="24"/>
            <w:szCs w:val="24"/>
          </w:rPr>
          <m:t>= F*</m:t>
        </m:r>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I</m:t>
            </m:r>
          </m:e>
          <m:sub>
            <m:r>
              <w:rPr>
                <w:rFonts w:ascii="Times New Roman" w:eastAsia="Times New Roman" w:hAnsi="Times New Roman" w:cs="Times New Roman"/>
                <w:sz w:val="24"/>
                <w:szCs w:val="24"/>
              </w:rPr>
              <m:t xml:space="preserve">EUA </m:t>
            </m:r>
          </m:sub>
        </m:sSub>
      </m:oMath>
      <w:r w:rsidRPr="00F16A6F">
        <w:rPr>
          <w:rFonts w:ascii="Times New Roman" w:eastAsia="Times New Roman" w:hAnsi="Times New Roman" w:cs="Times New Roman"/>
          <w:sz w:val="24"/>
          <w:szCs w:val="24"/>
        </w:rPr>
        <w:t xml:space="preserve">                    (2) </w:t>
      </w:r>
    </w:p>
    <w:p w14:paraId="00000036" w14:textId="6BF19599" w:rsidR="007162A0" w:rsidRPr="00F16A6F" w:rsidRDefault="00000000">
      <w:pPr>
        <w:spacing w:before="240" w:after="240" w:line="360" w:lineRule="auto"/>
        <w:jc w:val="center"/>
        <w:rPr>
          <w:rFonts w:ascii="Times New Roman" w:eastAsia="Times New Roman" w:hAnsi="Times New Roman" w:cs="Times New Roman"/>
          <w:sz w:val="24"/>
          <w:szCs w:val="24"/>
        </w:rPr>
      </w:pPr>
      <w:r w:rsidRPr="00F16A6F">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 xml:space="preserve">NPV = </m:t>
        </m:r>
        <m:nary>
          <m:naryPr>
            <m:chr m:val="∑"/>
            <m:ctrlPr>
              <w:rPr>
                <w:rFonts w:ascii="Times New Roman" w:eastAsia="Times New Roman" w:hAnsi="Times New Roman" w:cs="Times New Roman"/>
                <w:sz w:val="24"/>
                <w:szCs w:val="24"/>
              </w:rPr>
            </m:ctrlPr>
          </m:naryPr>
          <m:sub>
            <m:r>
              <w:rPr>
                <w:rFonts w:ascii="Times New Roman" w:eastAsia="Times New Roman" w:hAnsi="Times New Roman" w:cs="Times New Roman"/>
                <w:sz w:val="24"/>
                <w:szCs w:val="24"/>
              </w:rPr>
              <m:t>j=0</m:t>
            </m:r>
          </m:sub>
          <m:sup>
            <m:r>
              <w:rPr>
                <w:rFonts w:ascii="Times New Roman" w:eastAsia="Times New Roman" w:hAnsi="Times New Roman" w:cs="Times New Roman"/>
                <w:sz w:val="24"/>
                <w:szCs w:val="24"/>
              </w:rPr>
              <m:t>n</m:t>
            </m:r>
          </m:sup>
          <m:e>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F</m:t>
                </m:r>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C</m:t>
                    </m:r>
                  </m:e>
                  <m:sub>
                    <m:r>
                      <w:rPr>
                        <w:rFonts w:ascii="Times New Roman" w:eastAsia="Times New Roman" w:hAnsi="Times New Roman" w:cs="Times New Roman"/>
                        <w:sz w:val="24"/>
                        <w:szCs w:val="24"/>
                      </w:rPr>
                      <m:t>j</m:t>
                    </m:r>
                  </m:sub>
                </m:sSub>
              </m:num>
              <m:den>
                <m:r>
                  <w:rPr>
                    <w:rFonts w:ascii="Times New Roman" w:eastAsia="Times New Roman" w:hAnsi="Times New Roman" w:cs="Times New Roman"/>
                    <w:sz w:val="24"/>
                    <w:szCs w:val="24"/>
                  </w:rPr>
                  <m:t>(1+i</m:t>
                </m:r>
                <m:sSup>
                  <m:sSupPr>
                    <m:ctrlPr>
                      <w:rPr>
                        <w:rFonts w:ascii="Times New Roman" w:eastAsia="Times New Roman" w:hAnsi="Times New Roman" w:cs="Times New Roman"/>
                        <w:sz w:val="24"/>
                        <w:szCs w:val="24"/>
                      </w:rPr>
                    </m:ctrlPr>
                  </m:sSupPr>
                  <m:e>
                    <m:r>
                      <w:rPr>
                        <w:rFonts w:ascii="Times New Roman" w:eastAsia="Times New Roman" w:hAnsi="Times New Roman" w:cs="Times New Roman"/>
                        <w:sz w:val="24"/>
                        <w:szCs w:val="24"/>
                      </w:rPr>
                      <m:t>)</m:t>
                    </m:r>
                  </m:e>
                  <m:sup>
                    <m:r>
                      <w:rPr>
                        <w:rFonts w:ascii="Times New Roman" w:eastAsia="Times New Roman" w:hAnsi="Times New Roman" w:cs="Times New Roman"/>
                        <w:sz w:val="24"/>
                        <w:szCs w:val="24"/>
                      </w:rPr>
                      <m:t>J</m:t>
                    </m:r>
                  </m:sup>
                </m:sSup>
              </m:den>
            </m:f>
          </m:e>
        </m:nary>
        <m:r>
          <w:rPr>
            <w:rFonts w:ascii="Times New Roman" w:eastAsia="Times New Roman" w:hAnsi="Times New Roman" w:cs="Times New Roman"/>
            <w:sz w:val="24"/>
            <w:szCs w:val="24"/>
          </w:rPr>
          <m:t xml:space="preserve">  </m:t>
        </m:r>
      </m:oMath>
      <w:r w:rsidRPr="00F16A6F">
        <w:rPr>
          <w:rFonts w:ascii="Times New Roman" w:eastAsia="Times New Roman" w:hAnsi="Times New Roman" w:cs="Times New Roman"/>
          <w:sz w:val="24"/>
          <w:szCs w:val="24"/>
        </w:rPr>
        <w:t xml:space="preserve">       </w:t>
      </w:r>
      <w:r w:rsidR="00F16A6F" w:rsidRPr="00F16A6F">
        <w:rPr>
          <w:rFonts w:ascii="Times New Roman" w:eastAsia="Times New Roman" w:hAnsi="Times New Roman" w:cs="Times New Roman"/>
          <w:sz w:val="24"/>
          <w:szCs w:val="24"/>
        </w:rPr>
        <w:t xml:space="preserve">    </w:t>
      </w:r>
      <w:r w:rsidRPr="00F16A6F">
        <w:rPr>
          <w:rFonts w:ascii="Times New Roman" w:eastAsia="Times New Roman" w:hAnsi="Times New Roman" w:cs="Times New Roman"/>
          <w:sz w:val="24"/>
          <w:szCs w:val="24"/>
        </w:rPr>
        <w:t xml:space="preserve">(3) </w:t>
      </w:r>
    </w:p>
    <w:p w14:paraId="00000037" w14:textId="3F6C430B" w:rsidR="007162A0" w:rsidRDefault="00000000">
      <w:pPr>
        <w:spacing w:before="240" w:after="240" w:line="360" w:lineRule="auto"/>
        <w:jc w:val="both"/>
        <w:rPr>
          <w:rFonts w:ascii="Times New Roman" w:eastAsia="Times New Roman" w:hAnsi="Times New Roman" w:cs="Times New Roman"/>
          <w:sz w:val="24"/>
          <w:szCs w:val="24"/>
          <w:highlight w:val="white"/>
        </w:rPr>
      </w:pPr>
      <w:r w:rsidRPr="00F16A6F">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PI =</m:t>
        </m:r>
        <m:nary>
          <m:naryPr>
            <m:chr m:val="∑"/>
            <m:ctrlPr>
              <w:rPr>
                <w:rFonts w:ascii="Times New Roman" w:eastAsia="Times New Roman" w:hAnsi="Times New Roman" w:cs="Times New Roman"/>
                <w:sz w:val="24"/>
                <w:szCs w:val="24"/>
              </w:rPr>
            </m:ctrlPr>
          </m:naryPr>
          <m:sub>
            <m:r>
              <w:rPr>
                <w:rFonts w:ascii="Times New Roman" w:eastAsia="Times New Roman" w:hAnsi="Times New Roman" w:cs="Times New Roman"/>
                <w:sz w:val="24"/>
                <w:szCs w:val="24"/>
              </w:rPr>
              <m:t>j=0</m:t>
            </m:r>
          </m:sub>
          <m:sup>
            <m:r>
              <w:rPr>
                <w:rFonts w:ascii="Times New Roman" w:eastAsia="Times New Roman" w:hAnsi="Times New Roman" w:cs="Times New Roman"/>
                <w:sz w:val="24"/>
                <w:szCs w:val="24"/>
              </w:rPr>
              <m:t>n</m:t>
            </m:r>
          </m:sup>
          <m:e>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F</m:t>
                </m:r>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C</m:t>
                    </m:r>
                  </m:e>
                  <m:sub>
                    <m:r>
                      <w:rPr>
                        <w:rFonts w:ascii="Times New Roman" w:eastAsia="Times New Roman" w:hAnsi="Times New Roman" w:cs="Times New Roman"/>
                        <w:sz w:val="24"/>
                        <w:szCs w:val="24"/>
                      </w:rPr>
                      <m:t>j</m:t>
                    </m:r>
                  </m:sub>
                </m:sSub>
              </m:num>
              <m:den>
                <m:r>
                  <w:rPr>
                    <w:rFonts w:ascii="Times New Roman" w:eastAsia="Times New Roman" w:hAnsi="Times New Roman" w:cs="Times New Roman"/>
                    <w:sz w:val="24"/>
                    <w:szCs w:val="24"/>
                  </w:rPr>
                  <m:t>(1+i</m:t>
                </m:r>
                <m:sSup>
                  <m:sSupPr>
                    <m:ctrlPr>
                      <w:rPr>
                        <w:rFonts w:ascii="Times New Roman" w:eastAsia="Times New Roman" w:hAnsi="Times New Roman" w:cs="Times New Roman"/>
                        <w:sz w:val="24"/>
                        <w:szCs w:val="24"/>
                      </w:rPr>
                    </m:ctrlPr>
                  </m:sSupPr>
                  <m:e>
                    <m:r>
                      <w:rPr>
                        <w:rFonts w:ascii="Times New Roman" w:eastAsia="Times New Roman" w:hAnsi="Times New Roman" w:cs="Times New Roman"/>
                        <w:sz w:val="24"/>
                        <w:szCs w:val="24"/>
                      </w:rPr>
                      <m:t>)</m:t>
                    </m:r>
                  </m:e>
                  <m:sup>
                    <m:r>
                      <w:rPr>
                        <w:rFonts w:ascii="Times New Roman" w:eastAsia="Times New Roman" w:hAnsi="Times New Roman" w:cs="Times New Roman"/>
                        <w:sz w:val="24"/>
                        <w:szCs w:val="24"/>
                      </w:rPr>
                      <m:t>J</m:t>
                    </m:r>
                  </m:sup>
                </m:sSup>
              </m:den>
            </m:f>
            <m:r>
              <w:rPr>
                <w:rFonts w:ascii="Times New Roman" w:eastAsia="Times New Roman" w:hAnsi="Times New Roman" w:cs="Times New Roman"/>
                <w:sz w:val="24"/>
                <w:szCs w:val="24"/>
              </w:rPr>
              <m:t xml:space="preserve"> / F</m:t>
            </m:r>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C</m:t>
                </m:r>
              </m:e>
              <m:sub>
                <m:r>
                  <w:rPr>
                    <w:rFonts w:ascii="Times New Roman" w:eastAsia="Times New Roman" w:hAnsi="Times New Roman" w:cs="Times New Roman"/>
                    <w:sz w:val="24"/>
                    <w:szCs w:val="24"/>
                  </w:rPr>
                  <m:t>0</m:t>
                </m:r>
              </m:sub>
            </m:sSub>
          </m:e>
        </m:nary>
      </m:oMath>
      <w:r w:rsidRPr="00F16A6F">
        <w:rPr>
          <w:rFonts w:ascii="Times New Roman" w:eastAsia="Times New Roman" w:hAnsi="Times New Roman" w:cs="Times New Roman"/>
          <w:sz w:val="24"/>
          <w:szCs w:val="24"/>
        </w:rPr>
        <w:t xml:space="preserve">          (4)   </w:t>
      </w:r>
      <w:r>
        <w:rPr>
          <w:rFonts w:ascii="Times New Roman" w:eastAsia="Times New Roman" w:hAnsi="Times New Roman" w:cs="Times New Roman"/>
          <w:sz w:val="24"/>
          <w:szCs w:val="24"/>
          <w:highlight w:val="white"/>
        </w:rPr>
        <w:t xml:space="preserve">                                                                                  </w:t>
      </w:r>
    </w:p>
    <w:p w14:paraId="00000038" w14:textId="77777777" w:rsidR="007162A0" w:rsidRDefault="00000000">
      <w:pPr>
        <w:spacing w:after="0"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3.RESULTS</w:t>
      </w:r>
    </w:p>
    <w:p w14:paraId="00000039" w14:textId="77777777" w:rsidR="007162A0" w:rsidRDefault="00000000">
      <w:pPr>
        <w:spacing w:after="0" w:line="360" w:lineRule="auto"/>
        <w:jc w:val="both"/>
        <w:rPr>
          <w:rFonts w:ascii="Times New Roman" w:eastAsia="Times New Roman" w:hAnsi="Times New Roman" w:cs="Times New Roman"/>
          <w:sz w:val="24"/>
          <w:szCs w:val="24"/>
          <w:highlight w:val="white"/>
          <w:u w:val="single"/>
        </w:rPr>
      </w:pPr>
      <w:r>
        <w:rPr>
          <w:rFonts w:ascii="Times New Roman" w:eastAsia="Times New Roman" w:hAnsi="Times New Roman" w:cs="Times New Roman"/>
          <w:sz w:val="24"/>
          <w:szCs w:val="24"/>
          <w:highlight w:val="white"/>
          <w:u w:val="single"/>
        </w:rPr>
        <w:t>3.1 MARKET POTENTIAL AND LOCATION</w:t>
      </w:r>
    </w:p>
    <w:p w14:paraId="0000003A" w14:textId="77777777" w:rsidR="007162A0" w:rsidRDefault="00000000">
      <w:pPr>
        <w:spacing w:after="0"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The analysis of global availability of the raw material castor bean (</w:t>
      </w:r>
      <w:r>
        <w:rPr>
          <w:rFonts w:ascii="Times New Roman" w:eastAsia="Times New Roman" w:hAnsi="Times New Roman" w:cs="Times New Roman"/>
          <w:i/>
          <w:sz w:val="24"/>
          <w:szCs w:val="24"/>
          <w:highlight w:val="white"/>
        </w:rPr>
        <w:t>Ricinus communis L</w:t>
      </w:r>
      <w:r>
        <w:rPr>
          <w:rFonts w:ascii="Times New Roman" w:eastAsia="Times New Roman" w:hAnsi="Times New Roman" w:cs="Times New Roman"/>
          <w:sz w:val="24"/>
          <w:szCs w:val="24"/>
          <w:highlight w:val="white"/>
        </w:rPr>
        <w:t>.) revealed that the largest producers are mainly located in Brazil, China, and India, the latter responsible for approximately 1.98 million tons in 2023 (Our World in Data). By applying plant location selection methodologies highlighting qualitative weighting and geolocation of production capacity the region near Irecê was identified as the most suitable for establishing the castor oil extraction and processing unit,due to logistical advantages and the availability of raw material in the area.</w:t>
      </w:r>
    </w:p>
    <w:p w14:paraId="0000003B" w14:textId="77777777" w:rsidR="007162A0" w:rsidRDefault="00000000">
      <w:pPr>
        <w:spacing w:before="240" w:after="240" w:line="360" w:lineRule="auto"/>
        <w:jc w:val="both"/>
        <w:rPr>
          <w:rFonts w:ascii="Times New Roman" w:eastAsia="Times New Roman" w:hAnsi="Times New Roman" w:cs="Times New Roman"/>
          <w:sz w:val="24"/>
          <w:szCs w:val="24"/>
          <w:highlight w:val="white"/>
          <w:u w:val="single"/>
        </w:rPr>
      </w:pPr>
      <w:r>
        <w:rPr>
          <w:rFonts w:ascii="Times New Roman" w:eastAsia="Times New Roman" w:hAnsi="Times New Roman" w:cs="Times New Roman"/>
          <w:sz w:val="24"/>
          <w:szCs w:val="24"/>
          <w:highlight w:val="white"/>
          <w:u w:val="single"/>
        </w:rPr>
        <w:t>3.2 RESULTS OF MASS BALANCE</w:t>
      </w:r>
    </w:p>
    <w:p w14:paraId="0000003C" w14:textId="348BCC1B" w:rsidR="007162A0"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castor oil extraction process and utilization of the cake were structured in stages integrating thermal, mechanical, and chemical operations to optimize yield and quality, as well as to ensure the safe reuse of the residual cake</w:t>
      </w:r>
      <w:r w:rsidR="008E61D6">
        <w:rPr>
          <w:rFonts w:ascii="Times New Roman" w:eastAsia="Times New Roman" w:hAnsi="Times New Roman" w:cs="Times New Roman"/>
          <w:sz w:val="24"/>
          <w:szCs w:val="24"/>
          <w:highlight w:val="white"/>
        </w:rPr>
        <w:t>, based on [7]</w:t>
      </w:r>
      <w:r w:rsidR="00BA5185">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Initially, the seeds underwent cooking with saturated steam to facilitate mechanical extraction by hot pressing, which also helps </w:t>
      </w:r>
      <w:r>
        <w:rPr>
          <w:rFonts w:ascii="Times New Roman" w:eastAsia="Times New Roman" w:hAnsi="Times New Roman" w:cs="Times New Roman"/>
          <w:sz w:val="24"/>
          <w:szCs w:val="24"/>
          <w:highlight w:val="white"/>
        </w:rPr>
        <w:lastRenderedPageBreak/>
        <w:t>denature the ricin present in the cake. The extracted oil was centrifuged to separate impurities and subsequently subjected to chemical neutralization to remove free fatty acids, thereby improving its stability. To recover residual oil from the cake, solvent extraction with hexane was performed, followed by distillation to separate the solvent from the pure oil. The residual cake underwent thermal and chemical detoxification to neutralize ricin, making it safe for use, and was then dried to reduce moisture content, facilitating storage and transportation, as illustrated in Figure 1</w:t>
      </w:r>
      <w:r w:rsidR="00940ED4">
        <w:rPr>
          <w:rFonts w:ascii="Times New Roman" w:eastAsia="Times New Roman" w:hAnsi="Times New Roman" w:cs="Times New Roman"/>
          <w:sz w:val="24"/>
          <w:szCs w:val="24"/>
          <w:highlight w:val="white"/>
        </w:rPr>
        <w:t>.</w:t>
      </w:r>
    </w:p>
    <w:p w14:paraId="0000003F" w14:textId="71524FAB" w:rsidR="007162A0" w:rsidRDefault="00000000" w:rsidP="00F16A6F">
      <w:pPr>
        <w:spacing w:before="240" w:after="240" w:line="360" w:lineRule="auto"/>
        <w:rPr>
          <w:rFonts w:ascii="Times New Roman" w:eastAsia="Times New Roman" w:hAnsi="Times New Roman" w:cs="Times New Roman"/>
          <w:sz w:val="24"/>
          <w:szCs w:val="24"/>
          <w:highlight w:val="white"/>
          <w:u w:val="single"/>
        </w:rPr>
      </w:pPr>
      <w:sdt>
        <w:sdtPr>
          <w:tag w:val="goog_rdk_2"/>
          <w:id w:val="1559644978"/>
        </w:sdtPr>
        <w:sdtContent/>
      </w:sdt>
      <w:r>
        <w:rPr>
          <w:rFonts w:ascii="Times New Roman" w:eastAsia="Times New Roman" w:hAnsi="Times New Roman" w:cs="Times New Roman"/>
          <w:sz w:val="24"/>
          <w:szCs w:val="24"/>
          <w:highlight w:val="white"/>
          <w:u w:val="single"/>
        </w:rPr>
        <w:t>3.3 TECHNICAL AND ECONOMIC FEASIBILITY STUDY</w:t>
      </w:r>
    </w:p>
    <w:p w14:paraId="00000040" w14:textId="77777777" w:rsidR="007162A0"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To evaluate the economic feasibility of the project under different production scales, a sensitivity study was conducted considering two operational capacity scenarios for the castor processing plant. Variations in plant capacity implied proportional adjustments in revenue, fixed costs, and variable costs. Elements such as utility consumption (water, steam, electricity) and logistics costs were scaled according to the size of each scenario.</w:t>
      </w:r>
    </w:p>
    <w:p w14:paraId="3FFF802A" w14:textId="1E0674B8" w:rsidR="00940ED4" w:rsidRDefault="00940ED4">
      <w:pPr>
        <w:spacing w:after="200" w:line="360" w:lineRule="auto"/>
        <w:jc w:val="both"/>
        <w:rPr>
          <w:rFonts w:ascii="Times New Roman" w:eastAsia="Times New Roman" w:hAnsi="Times New Roman" w:cs="Times New Roman"/>
          <w:sz w:val="24"/>
          <w:szCs w:val="24"/>
          <w:highlight w:val="white"/>
        </w:rPr>
        <w:sectPr w:rsidR="00940ED4">
          <w:type w:val="continuous"/>
          <w:pgSz w:w="11907" w:h="16839"/>
          <w:pgMar w:top="1453" w:right="992" w:bottom="851" w:left="1134" w:header="720" w:footer="720" w:gutter="0"/>
          <w:cols w:num="2" w:space="720" w:equalWidth="0">
            <w:col w:w="4710" w:space="360"/>
            <w:col w:w="4710" w:space="0"/>
          </w:cols>
        </w:sectPr>
      </w:pPr>
    </w:p>
    <w:p w14:paraId="50CB944B" w14:textId="77777777" w:rsidR="00940ED4" w:rsidRDefault="00940ED4" w:rsidP="00C44F69">
      <w:pPr>
        <w:spacing w:after="12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Figure 1. </w:t>
      </w:r>
      <w:r>
        <w:rPr>
          <w:rFonts w:ascii="Times New Roman" w:eastAsia="Times New Roman" w:hAnsi="Times New Roman" w:cs="Times New Roman"/>
          <w:sz w:val="24"/>
          <w:szCs w:val="24"/>
          <w:highlight w:val="white"/>
        </w:rPr>
        <w:t>Process Flowsheet</w:t>
      </w:r>
    </w:p>
    <w:p w14:paraId="2D04D5FE" w14:textId="77777777" w:rsidR="00940ED4" w:rsidRDefault="00940ED4" w:rsidP="00C44F69">
      <w:pPr>
        <w:spacing w:after="120"/>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14:anchorId="2D923576" wp14:editId="0632BDF8">
            <wp:extent cx="5623560" cy="3348430"/>
            <wp:effectExtent l="0" t="0" r="0" b="4445"/>
            <wp:docPr id="1041" name="image2.png"/>
            <wp:cNvGraphicFramePr/>
            <a:graphic xmlns:a="http://schemas.openxmlformats.org/drawingml/2006/main">
              <a:graphicData uri="http://schemas.openxmlformats.org/drawingml/2006/picture">
                <pic:pic xmlns:pic="http://schemas.openxmlformats.org/drawingml/2006/picture">
                  <pic:nvPicPr>
                    <pic:cNvPr id="1041" name="image2.png"/>
                    <pic:cNvPicPr preferRelativeResize="0"/>
                  </pic:nvPicPr>
                  <pic:blipFill>
                    <a:blip r:embed="rId13" cstate="print">
                      <a:extLst>
                        <a:ext uri="{28A0092B-C50C-407E-A947-70E740481C1C}">
                          <a14:useLocalDpi xmlns:a14="http://schemas.microsoft.com/office/drawing/2010/main" val="0"/>
                        </a:ext>
                      </a:extLst>
                    </a:blip>
                    <a:stretch>
                      <a:fillRect/>
                    </a:stretch>
                  </pic:blipFill>
                  <pic:spPr>
                    <a:xfrm>
                      <a:off x="0" y="0"/>
                      <a:ext cx="5623560" cy="3348430"/>
                    </a:xfrm>
                    <a:prstGeom prst="rect">
                      <a:avLst/>
                    </a:prstGeom>
                    <a:ln/>
                  </pic:spPr>
                </pic:pic>
              </a:graphicData>
            </a:graphic>
          </wp:inline>
        </w:drawing>
      </w:r>
    </w:p>
    <w:p w14:paraId="6DD6496C" w14:textId="77777777" w:rsidR="00940ED4" w:rsidRDefault="00940ED4">
      <w:pPr>
        <w:spacing w:after="200" w:line="360" w:lineRule="auto"/>
        <w:jc w:val="both"/>
        <w:rPr>
          <w:rFonts w:ascii="Times New Roman" w:eastAsia="Times New Roman" w:hAnsi="Times New Roman" w:cs="Times New Roman"/>
          <w:sz w:val="24"/>
          <w:szCs w:val="24"/>
          <w:highlight w:val="white"/>
        </w:rPr>
      </w:pPr>
    </w:p>
    <w:p w14:paraId="14C1740C" w14:textId="77777777" w:rsidR="00940ED4" w:rsidRDefault="00940ED4">
      <w:pPr>
        <w:spacing w:after="200" w:line="360" w:lineRule="auto"/>
        <w:jc w:val="both"/>
        <w:rPr>
          <w:rFonts w:ascii="Times New Roman" w:eastAsia="Times New Roman" w:hAnsi="Times New Roman" w:cs="Times New Roman"/>
          <w:sz w:val="24"/>
          <w:szCs w:val="24"/>
          <w:highlight w:val="white"/>
        </w:rPr>
      </w:pPr>
    </w:p>
    <w:p w14:paraId="44767083" w14:textId="77777777" w:rsidR="00A54F7F" w:rsidRDefault="00A54F7F">
      <w:pPr>
        <w:spacing w:after="200" w:line="360" w:lineRule="auto"/>
        <w:jc w:val="both"/>
        <w:rPr>
          <w:rFonts w:ascii="Times New Roman" w:eastAsia="Times New Roman" w:hAnsi="Times New Roman" w:cs="Times New Roman"/>
          <w:sz w:val="24"/>
          <w:szCs w:val="24"/>
          <w:highlight w:val="white"/>
        </w:rPr>
      </w:pPr>
    </w:p>
    <w:p w14:paraId="0AE8207B" w14:textId="77777777" w:rsidR="00A54F7F" w:rsidRDefault="00A54F7F">
      <w:pPr>
        <w:spacing w:after="200" w:line="360" w:lineRule="auto"/>
        <w:jc w:val="both"/>
        <w:rPr>
          <w:rFonts w:ascii="Times New Roman" w:eastAsia="Times New Roman" w:hAnsi="Times New Roman" w:cs="Times New Roman"/>
          <w:sz w:val="24"/>
          <w:szCs w:val="24"/>
          <w:highlight w:val="white"/>
        </w:rPr>
      </w:pPr>
    </w:p>
    <w:p w14:paraId="763EC128" w14:textId="77777777" w:rsidR="00A54F7F" w:rsidRDefault="00A54F7F">
      <w:pPr>
        <w:spacing w:after="200" w:line="360" w:lineRule="auto"/>
        <w:jc w:val="both"/>
        <w:rPr>
          <w:rFonts w:ascii="Times New Roman" w:eastAsia="Times New Roman" w:hAnsi="Times New Roman" w:cs="Times New Roman"/>
          <w:sz w:val="24"/>
          <w:szCs w:val="24"/>
          <w:highlight w:val="white"/>
        </w:rPr>
        <w:sectPr w:rsidR="00A54F7F" w:rsidSect="00940ED4">
          <w:type w:val="continuous"/>
          <w:pgSz w:w="11907" w:h="16839"/>
          <w:pgMar w:top="1453" w:right="992" w:bottom="851" w:left="1134" w:header="720" w:footer="720" w:gutter="0"/>
          <w:cols w:space="720"/>
        </w:sectPr>
      </w:pPr>
    </w:p>
    <w:p w14:paraId="3301DD5E" w14:textId="77777777" w:rsidR="00C44F69" w:rsidRPr="00F16A6F" w:rsidRDefault="00C44F69" w:rsidP="00C44F69">
      <w:pPr>
        <w:spacing w:before="240" w:after="240" w:line="360" w:lineRule="auto"/>
        <w:jc w:val="both"/>
        <w:rPr>
          <w:rFonts w:ascii="Times New Roman" w:eastAsia="Times New Roman" w:hAnsi="Times New Roman" w:cs="Times New Roman"/>
          <w:i/>
          <w:sz w:val="20"/>
          <w:szCs w:val="20"/>
        </w:rPr>
      </w:pPr>
      <w:r w:rsidRPr="00F16A6F">
        <w:rPr>
          <w:rFonts w:ascii="Times New Roman" w:eastAsia="Times New Roman" w:hAnsi="Times New Roman" w:cs="Times New Roman"/>
          <w:i/>
          <w:sz w:val="20"/>
          <w:szCs w:val="20"/>
        </w:rPr>
        <w:lastRenderedPageBreak/>
        <w:t>Scenario 1 – Overestimated Plant Capacity</w:t>
      </w:r>
    </w:p>
    <w:p w14:paraId="69962594" w14:textId="77777777" w:rsidR="00C44F69" w:rsidRDefault="00C44F69" w:rsidP="00C44F69">
      <w:pPr>
        <w:spacing w:before="240" w:after="240" w:line="360" w:lineRule="auto"/>
        <w:jc w:val="both"/>
        <w:rPr>
          <w:rFonts w:ascii="Times New Roman" w:eastAsia="Times New Roman" w:hAnsi="Times New Roman" w:cs="Times New Roman"/>
          <w:sz w:val="24"/>
          <w:szCs w:val="24"/>
          <w:highlight w:val="white"/>
          <w:u w:val="single"/>
        </w:rPr>
      </w:pPr>
      <w:r>
        <w:rPr>
          <w:rFonts w:ascii="Times New Roman" w:eastAsia="Times New Roman" w:hAnsi="Times New Roman" w:cs="Times New Roman"/>
          <w:sz w:val="24"/>
          <w:szCs w:val="24"/>
          <w:highlight w:val="white"/>
        </w:rPr>
        <w:t>In the first scenario, a plant with a processing capacity of 150 tons per day was considered, exceeding the average reported in the literature. The estimated annual oil production was approximately 27.2 million kg, assuming 8,000 effective operating hours per year, including downtime for maintenance and other interruptions.</w:t>
      </w:r>
    </w:p>
    <w:p w14:paraId="7423B720" w14:textId="5E8471BC" w:rsidR="00C44F69" w:rsidRDefault="00C44F69">
      <w:pPr>
        <w:spacing w:after="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Based on the quantities of oil and cake produced, with prices set at BRL 45.00/kg and BRL 19.40/kg, respectively, the plant’s annual net revenue was calculated. After applying a 30% tax rate, the resulting amount was </w:t>
      </w:r>
      <w:r w:rsidR="00AB2BFD" w:rsidRPr="00AB2BFD">
        <w:rPr>
          <w:rFonts w:ascii="Times New Roman" w:eastAsia="Times New Roman" w:hAnsi="Times New Roman" w:cs="Times New Roman"/>
          <w:sz w:val="24"/>
          <w:szCs w:val="24"/>
        </w:rPr>
        <w:t>BRL 1,189 million</w:t>
      </w:r>
      <w:r>
        <w:rPr>
          <w:rFonts w:ascii="Times New Roman" w:eastAsia="Times New Roman" w:hAnsi="Times New Roman" w:cs="Times New Roman"/>
          <w:sz w:val="24"/>
          <w:szCs w:val="24"/>
          <w:highlight w:val="white"/>
        </w:rPr>
        <w:t>.</w:t>
      </w:r>
    </w:p>
    <w:p w14:paraId="00000044" w14:textId="300D325C" w:rsidR="007162A0" w:rsidRDefault="00000000">
      <w:pPr>
        <w:spacing w:after="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For the calculation of fixed investments, direct and indirect labor costs were estimated based on the number of required positions and employees, in addition to construction costs for an estimated area of 1,000 m². Accordingly, the total ISBL costs amounted to </w:t>
      </w:r>
      <w:r w:rsidR="00AB2BFD" w:rsidRPr="00AB2BFD">
        <w:rPr>
          <w:rFonts w:ascii="Times New Roman" w:eastAsia="Times New Roman" w:hAnsi="Times New Roman" w:cs="Times New Roman"/>
          <w:sz w:val="24"/>
          <w:szCs w:val="24"/>
        </w:rPr>
        <w:t>BRL 11.44 million</w:t>
      </w:r>
      <w:r>
        <w:rPr>
          <w:rFonts w:ascii="Times New Roman" w:eastAsia="Times New Roman" w:hAnsi="Times New Roman" w:cs="Times New Roman"/>
          <w:sz w:val="24"/>
          <w:szCs w:val="24"/>
          <w:highlight w:val="white"/>
        </w:rPr>
        <w:t xml:space="preserve">, and OSBL costs to </w:t>
      </w:r>
      <w:r w:rsidR="00AB2BFD" w:rsidRPr="00AB2BFD">
        <w:rPr>
          <w:rFonts w:ascii="Times New Roman" w:eastAsia="Times New Roman" w:hAnsi="Times New Roman" w:cs="Times New Roman"/>
          <w:sz w:val="24"/>
          <w:szCs w:val="24"/>
        </w:rPr>
        <w:t>BRL 90.61 million</w:t>
      </w:r>
      <w:r>
        <w:rPr>
          <w:rFonts w:ascii="Times New Roman" w:eastAsia="Times New Roman" w:hAnsi="Times New Roman" w:cs="Times New Roman"/>
          <w:sz w:val="24"/>
          <w:szCs w:val="24"/>
          <w:highlight w:val="white"/>
        </w:rPr>
        <w:t xml:space="preserve">, resulting in a total fixed investment of BRL </w:t>
      </w:r>
      <w:r w:rsidR="00AB2BFD" w:rsidRPr="00AB2BFD">
        <w:rPr>
          <w:rFonts w:ascii="Times New Roman" w:eastAsia="Times New Roman" w:hAnsi="Times New Roman" w:cs="Times New Roman"/>
          <w:sz w:val="24"/>
          <w:szCs w:val="24"/>
        </w:rPr>
        <w:t>BRL 102.02 million</w:t>
      </w:r>
    </w:p>
    <w:p w14:paraId="00000045" w14:textId="706E97C5" w:rsidR="007162A0" w:rsidRDefault="00000000">
      <w:pPr>
        <w:spacing w:after="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Considering the unit prices of castor seeds, solvents, and NaOH, the process variable costs were estimated based on the quantities calculated in the mass balance, totaling </w:t>
      </w:r>
      <w:r w:rsidR="00061D68" w:rsidRPr="00061D68">
        <w:rPr>
          <w:rFonts w:ascii="Times New Roman" w:eastAsia="Times New Roman" w:hAnsi="Times New Roman" w:cs="Times New Roman"/>
          <w:sz w:val="24"/>
          <w:szCs w:val="24"/>
        </w:rPr>
        <w:t>BRL 138.87 million</w:t>
      </w:r>
      <w:r>
        <w:rPr>
          <w:rFonts w:ascii="Times New Roman" w:eastAsia="Times New Roman" w:hAnsi="Times New Roman" w:cs="Times New Roman"/>
          <w:sz w:val="24"/>
          <w:szCs w:val="24"/>
          <w:highlight w:val="white"/>
        </w:rPr>
        <w:t>, as shown in Table 2</w:t>
      </w:r>
      <w:r w:rsidR="00C44F69">
        <w:rPr>
          <w:rFonts w:ascii="Times New Roman" w:eastAsia="Times New Roman" w:hAnsi="Times New Roman" w:cs="Times New Roman"/>
          <w:sz w:val="24"/>
          <w:szCs w:val="24"/>
          <w:highlight w:val="white"/>
        </w:rPr>
        <w:t>.</w:t>
      </w:r>
    </w:p>
    <w:p w14:paraId="070D7A7F" w14:textId="6669E100" w:rsidR="000D5058" w:rsidRDefault="000D5058" w:rsidP="000D5058">
      <w:pPr>
        <w:spacing w:after="200" w:line="360" w:lineRule="auto"/>
        <w:jc w:val="both"/>
        <w:rPr>
          <w:rFonts w:ascii="Times New Roman" w:eastAsia="Times New Roman" w:hAnsi="Times New Roman" w:cs="Times New Roman"/>
          <w:i/>
          <w:sz w:val="20"/>
          <w:szCs w:val="20"/>
          <w:highlight w:val="white"/>
        </w:rPr>
      </w:pPr>
      <w:r>
        <w:rPr>
          <w:rFonts w:ascii="Times New Roman" w:eastAsia="Times New Roman" w:hAnsi="Times New Roman" w:cs="Times New Roman"/>
          <w:sz w:val="24"/>
          <w:szCs w:val="24"/>
          <w:highlight w:val="white"/>
        </w:rPr>
        <w:t xml:space="preserve">The OPEX value was obtained by summing the fixed and variable costs, resulting in BRL </w:t>
      </w:r>
      <w:r w:rsidR="00061D68" w:rsidRPr="00061D68">
        <w:rPr>
          <w:rFonts w:ascii="Times New Roman" w:eastAsia="Times New Roman" w:hAnsi="Times New Roman" w:cs="Times New Roman"/>
          <w:sz w:val="24"/>
          <w:szCs w:val="24"/>
        </w:rPr>
        <w:t>BRL 240.84 million</w:t>
      </w:r>
    </w:p>
    <w:p w14:paraId="00000046" w14:textId="0FF9F30B" w:rsidR="007162A0" w:rsidRDefault="00000000">
      <w:pPr>
        <w:spacing w:after="200"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Table 2</w:t>
      </w:r>
      <w:r>
        <w:rPr>
          <w:rFonts w:ascii="Times New Roman" w:eastAsia="Times New Roman" w:hAnsi="Times New Roman" w:cs="Times New Roman"/>
          <w:sz w:val="24"/>
          <w:szCs w:val="24"/>
          <w:highlight w:val="white"/>
        </w:rPr>
        <w:t>. Total Variable Costs – Scenario 1</w:t>
      </w:r>
    </w:p>
    <w:tbl>
      <w:tblPr>
        <w:tblStyle w:val="a3"/>
        <w:tblpPr w:leftFromText="141" w:rightFromText="141" w:vertAnchor="text" w:tblpX="60"/>
        <w:tblW w:w="46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5"/>
        <w:gridCol w:w="2580"/>
      </w:tblGrid>
      <w:tr w:rsidR="007162A0" w14:paraId="079DF48C" w14:textId="77777777">
        <w:tc>
          <w:tcPr>
            <w:tcW w:w="208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14:paraId="00000047" w14:textId="77777777" w:rsidR="007162A0" w:rsidRDefault="00000000">
            <w:pPr>
              <w:widowControl w:val="0"/>
              <w:spacing w:after="0" w:line="276" w:lineRule="auto"/>
              <w:jc w:val="center"/>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Item</w:t>
            </w:r>
          </w:p>
        </w:tc>
        <w:tc>
          <w:tcPr>
            <w:tcW w:w="258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00000048" w14:textId="77777777" w:rsidR="007162A0" w:rsidRDefault="00000000">
            <w:pPr>
              <w:widowControl w:val="0"/>
              <w:spacing w:after="0" w:line="276" w:lineRule="auto"/>
              <w:jc w:val="center"/>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Cost</w:t>
            </w:r>
          </w:p>
        </w:tc>
      </w:tr>
      <w:tr w:rsidR="007162A0" w14:paraId="51BB5854" w14:textId="77777777">
        <w:tc>
          <w:tcPr>
            <w:tcW w:w="208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14:paraId="00000049" w14:textId="77777777" w:rsidR="007162A0" w:rsidRDefault="00000000">
            <w:pPr>
              <w:widowControl w:val="0"/>
              <w:spacing w:after="0" w:line="276" w:lineRule="auto"/>
              <w:jc w:val="center"/>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Castor Seeds</w:t>
            </w:r>
          </w:p>
        </w:tc>
        <w:tc>
          <w:tcPr>
            <w:tcW w:w="258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0000004A" w14:textId="77777777" w:rsidR="007162A0" w:rsidRDefault="00000000">
            <w:pPr>
              <w:widowControl w:val="0"/>
              <w:spacing w:after="0" w:line="276" w:lineRule="auto"/>
              <w:jc w:val="center"/>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BRL 7,200,000.00</w:t>
            </w:r>
          </w:p>
        </w:tc>
      </w:tr>
      <w:tr w:rsidR="007162A0" w14:paraId="1B387492" w14:textId="77777777">
        <w:tc>
          <w:tcPr>
            <w:tcW w:w="208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14:paraId="0000004B" w14:textId="77777777" w:rsidR="007162A0" w:rsidRDefault="00000000">
            <w:pPr>
              <w:widowControl w:val="0"/>
              <w:spacing w:after="0" w:line="276" w:lineRule="auto"/>
              <w:jc w:val="center"/>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Hexane Solvent</w:t>
            </w:r>
          </w:p>
        </w:tc>
        <w:tc>
          <w:tcPr>
            <w:tcW w:w="258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0000004C" w14:textId="77777777" w:rsidR="007162A0" w:rsidRDefault="00000000">
            <w:pPr>
              <w:widowControl w:val="0"/>
              <w:spacing w:after="0" w:line="276" w:lineRule="auto"/>
              <w:jc w:val="center"/>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BRL 58,500.00</w:t>
            </w:r>
          </w:p>
        </w:tc>
      </w:tr>
      <w:tr w:rsidR="007162A0" w14:paraId="5FDCC7A6" w14:textId="77777777">
        <w:tc>
          <w:tcPr>
            <w:tcW w:w="208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14:paraId="0000004D" w14:textId="77777777" w:rsidR="007162A0" w:rsidRDefault="00000000">
            <w:pPr>
              <w:widowControl w:val="0"/>
              <w:spacing w:after="0" w:line="276" w:lineRule="auto"/>
              <w:jc w:val="center"/>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Sodium Hydroxide (NaOH)</w:t>
            </w:r>
          </w:p>
        </w:tc>
        <w:tc>
          <w:tcPr>
            <w:tcW w:w="258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0000004E" w14:textId="77777777" w:rsidR="007162A0" w:rsidRDefault="00000000">
            <w:pPr>
              <w:widowControl w:val="0"/>
              <w:spacing w:after="0" w:line="276" w:lineRule="auto"/>
              <w:jc w:val="center"/>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BRL 7,477.29</w:t>
            </w:r>
          </w:p>
        </w:tc>
      </w:tr>
      <w:tr w:rsidR="007162A0" w14:paraId="33E41781" w14:textId="77777777">
        <w:tc>
          <w:tcPr>
            <w:tcW w:w="208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14:paraId="0000004F" w14:textId="77777777" w:rsidR="007162A0" w:rsidRDefault="00000000">
            <w:pPr>
              <w:widowControl w:val="0"/>
              <w:spacing w:after="0" w:line="276" w:lineRule="auto"/>
              <w:jc w:val="center"/>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Utilities</w:t>
            </w:r>
          </w:p>
        </w:tc>
        <w:tc>
          <w:tcPr>
            <w:tcW w:w="258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00000050" w14:textId="77777777" w:rsidR="007162A0" w:rsidRDefault="00000000">
            <w:pPr>
              <w:widowControl w:val="0"/>
              <w:spacing w:after="0" w:line="276" w:lineRule="auto"/>
              <w:jc w:val="center"/>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 xml:space="preserve"> BRL 118,943,892.77</w:t>
            </w:r>
          </w:p>
        </w:tc>
      </w:tr>
      <w:tr w:rsidR="007162A0" w14:paraId="50666E6D" w14:textId="77777777">
        <w:tc>
          <w:tcPr>
            <w:tcW w:w="208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14:paraId="00000051" w14:textId="77777777" w:rsidR="007162A0" w:rsidRDefault="00000000">
            <w:pPr>
              <w:widowControl w:val="0"/>
              <w:spacing w:after="0" w:line="276" w:lineRule="auto"/>
              <w:jc w:val="center"/>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Supplies</w:t>
            </w:r>
          </w:p>
        </w:tc>
        <w:tc>
          <w:tcPr>
            <w:tcW w:w="258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00000052" w14:textId="77777777" w:rsidR="007162A0" w:rsidRDefault="00000000">
            <w:pPr>
              <w:widowControl w:val="0"/>
              <w:spacing w:after="0" w:line="276" w:lineRule="auto"/>
              <w:jc w:val="center"/>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 xml:space="preserve"> BRL 37,573.93</w:t>
            </w:r>
          </w:p>
        </w:tc>
      </w:tr>
      <w:tr w:rsidR="007162A0" w14:paraId="04A73F24" w14:textId="77777777">
        <w:tc>
          <w:tcPr>
            <w:tcW w:w="208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14:paraId="00000053" w14:textId="77777777" w:rsidR="007162A0" w:rsidRDefault="00000000">
            <w:pPr>
              <w:widowControl w:val="0"/>
              <w:spacing w:after="0" w:line="276" w:lineRule="auto"/>
              <w:jc w:val="center"/>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Transportation</w:t>
            </w:r>
          </w:p>
        </w:tc>
        <w:tc>
          <w:tcPr>
            <w:tcW w:w="25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54" w14:textId="77777777" w:rsidR="007162A0" w:rsidRDefault="00000000">
            <w:pPr>
              <w:widowControl w:val="0"/>
              <w:spacing w:after="0" w:line="276"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highlight w:val="white"/>
              </w:rPr>
              <w:t>BRL</w:t>
            </w:r>
            <w:r>
              <w:rPr>
                <w:rFonts w:ascii="Times New Roman" w:eastAsia="Times New Roman" w:hAnsi="Times New Roman" w:cs="Times New Roman"/>
                <w:b/>
                <w:sz w:val="16"/>
                <w:szCs w:val="16"/>
                <w:highlight w:val="white"/>
              </w:rPr>
              <w:t xml:space="preserve"> </w:t>
            </w:r>
            <w:r>
              <w:rPr>
                <w:rFonts w:ascii="Times New Roman" w:eastAsia="Times New Roman" w:hAnsi="Times New Roman" w:cs="Times New Roman"/>
                <w:sz w:val="16"/>
                <w:szCs w:val="16"/>
                <w:highlight w:val="white"/>
              </w:rPr>
              <w:t>12,624,744.40</w:t>
            </w:r>
          </w:p>
        </w:tc>
      </w:tr>
      <w:tr w:rsidR="007162A0" w14:paraId="1F2DFF01" w14:textId="77777777">
        <w:tc>
          <w:tcPr>
            <w:tcW w:w="208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14:paraId="00000055" w14:textId="77777777" w:rsidR="007162A0" w:rsidRDefault="00000000">
            <w:pPr>
              <w:widowControl w:val="0"/>
              <w:spacing w:after="0" w:line="276" w:lineRule="auto"/>
              <w:jc w:val="center"/>
              <w:rPr>
                <w:rFonts w:ascii="Times New Roman" w:eastAsia="Times New Roman" w:hAnsi="Times New Roman" w:cs="Times New Roman"/>
                <w:b/>
                <w:sz w:val="16"/>
                <w:szCs w:val="16"/>
                <w:highlight w:val="white"/>
              </w:rPr>
            </w:pPr>
            <w:r>
              <w:rPr>
                <w:rFonts w:ascii="Times New Roman" w:eastAsia="Times New Roman" w:hAnsi="Times New Roman" w:cs="Times New Roman"/>
                <w:b/>
                <w:sz w:val="16"/>
                <w:szCs w:val="16"/>
                <w:highlight w:val="white"/>
              </w:rPr>
              <w:t>TOTAL</w:t>
            </w:r>
          </w:p>
        </w:tc>
        <w:tc>
          <w:tcPr>
            <w:tcW w:w="258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00000056" w14:textId="77777777" w:rsidR="007162A0" w:rsidRDefault="00000000">
            <w:pPr>
              <w:widowControl w:val="0"/>
              <w:spacing w:after="0" w:line="276" w:lineRule="auto"/>
              <w:jc w:val="center"/>
              <w:rPr>
                <w:rFonts w:ascii="Times New Roman" w:eastAsia="Times New Roman" w:hAnsi="Times New Roman" w:cs="Times New Roman"/>
                <w:b/>
                <w:sz w:val="16"/>
                <w:szCs w:val="16"/>
                <w:highlight w:val="white"/>
              </w:rPr>
            </w:pPr>
            <w:r>
              <w:rPr>
                <w:rFonts w:ascii="Times New Roman" w:eastAsia="Times New Roman" w:hAnsi="Times New Roman" w:cs="Times New Roman"/>
                <w:b/>
                <w:sz w:val="16"/>
                <w:szCs w:val="16"/>
                <w:highlight w:val="white"/>
              </w:rPr>
              <w:t>BRL 138,872,188.38</w:t>
            </w:r>
          </w:p>
        </w:tc>
      </w:tr>
    </w:tbl>
    <w:p w14:paraId="0564CCB2" w14:textId="77777777" w:rsidR="000D5058" w:rsidRDefault="000D5058">
      <w:pPr>
        <w:spacing w:after="0" w:line="360" w:lineRule="auto"/>
        <w:jc w:val="both"/>
        <w:rPr>
          <w:rFonts w:ascii="Times New Roman" w:eastAsia="Times New Roman" w:hAnsi="Times New Roman" w:cs="Times New Roman"/>
          <w:i/>
          <w:sz w:val="20"/>
          <w:szCs w:val="20"/>
          <w:highlight w:val="white"/>
        </w:rPr>
      </w:pPr>
    </w:p>
    <w:p w14:paraId="00000059" w14:textId="419B7F05" w:rsidR="007162A0" w:rsidRDefault="00000000">
      <w:pPr>
        <w:spacing w:after="0" w:line="360" w:lineRule="auto"/>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Scenario 2 – Plant Capacity Based on the Average</w:t>
      </w:r>
    </w:p>
    <w:p w14:paraId="0000005C" w14:textId="71E19B36" w:rsidR="007162A0" w:rsidRDefault="00000000">
      <w:pPr>
        <w:spacing w:after="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As in the first scenario, the same calculations were performed; however, for a plant capacity of 50 tons per day, which reflects typical medium-scale industrial plants. This capacity resulted in an annual production of approximately 9,074,536.80 kg of castor oil and 8,146,666.67 kg of castor cake. Due to this change, there was a variation in revenue, variable costs, and logistics costs, resulting in an annual net revenue of </w:t>
      </w:r>
      <w:r w:rsidR="00061D68" w:rsidRPr="00061D68">
        <w:rPr>
          <w:rFonts w:ascii="Times New Roman" w:eastAsia="Times New Roman" w:hAnsi="Times New Roman" w:cs="Times New Roman"/>
          <w:sz w:val="24"/>
          <w:szCs w:val="24"/>
        </w:rPr>
        <w:t>BRL 396.48 million</w:t>
      </w:r>
      <w:r w:rsidR="00061D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Regarding the fixed costs for the plant operating at average capacity, only logistics costs were altered, decreasing significantly since they correspond to 7.6% of the revenue value, according to the assumption made. The total ISBL costs amounted to </w:t>
      </w:r>
      <w:r w:rsidR="00061D68" w:rsidRPr="00061D68">
        <w:rPr>
          <w:rFonts w:ascii="Times New Roman" w:eastAsia="Times New Roman" w:hAnsi="Times New Roman" w:cs="Times New Roman"/>
          <w:sz w:val="24"/>
          <w:szCs w:val="24"/>
        </w:rPr>
        <w:t>BRL 11.44 million</w:t>
      </w:r>
      <w:r w:rsidR="00061D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and OSBL costs to </w:t>
      </w:r>
      <w:r w:rsidR="00061D68" w:rsidRPr="00061D68">
        <w:rPr>
          <w:rFonts w:ascii="Times New Roman" w:eastAsia="Times New Roman" w:hAnsi="Times New Roman" w:cs="Times New Roman"/>
          <w:sz w:val="24"/>
          <w:szCs w:val="24"/>
        </w:rPr>
        <w:t>BRL 30.35 million</w:t>
      </w:r>
      <w:r>
        <w:rPr>
          <w:rFonts w:ascii="Times New Roman" w:eastAsia="Times New Roman" w:hAnsi="Times New Roman" w:cs="Times New Roman"/>
          <w:sz w:val="24"/>
          <w:szCs w:val="24"/>
          <w:highlight w:val="white"/>
        </w:rPr>
        <w:t xml:space="preserve">, demonstrating a total fixed investment of </w:t>
      </w:r>
      <w:r w:rsidR="00061D68" w:rsidRPr="00061D68">
        <w:rPr>
          <w:rFonts w:ascii="Times New Roman" w:eastAsia="Times New Roman" w:hAnsi="Times New Roman" w:cs="Times New Roman"/>
          <w:sz w:val="24"/>
          <w:szCs w:val="24"/>
        </w:rPr>
        <w:t>BRL 41.79 million</w:t>
      </w:r>
      <w:r>
        <w:rPr>
          <w:rFonts w:ascii="Times New Roman" w:eastAsia="Times New Roman" w:hAnsi="Times New Roman" w:cs="Times New Roman"/>
          <w:sz w:val="24"/>
          <w:szCs w:val="24"/>
          <w:highlight w:val="white"/>
        </w:rPr>
        <w:t>, a considerably lower amount than in Scenario 1.</w:t>
      </w:r>
    </w:p>
    <w:p w14:paraId="3449B58A" w14:textId="0AC6489A" w:rsidR="00BA5185" w:rsidRDefault="00000000">
      <w:pPr>
        <w:spacing w:after="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With the change in plant capacity, variable costs were the most impacted, as shown in Table 3</w:t>
      </w:r>
      <w:r w:rsidR="00C44F69">
        <w:rPr>
          <w:rFonts w:ascii="Times New Roman" w:eastAsia="Times New Roman" w:hAnsi="Times New Roman" w:cs="Times New Roman"/>
          <w:sz w:val="24"/>
          <w:szCs w:val="24"/>
          <w:highlight w:val="white"/>
        </w:rPr>
        <w:t>.</w:t>
      </w:r>
    </w:p>
    <w:p w14:paraId="0000005E" w14:textId="77777777" w:rsidR="007162A0" w:rsidRDefault="00000000">
      <w:pPr>
        <w:spacing w:after="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Table 3</w:t>
      </w:r>
      <w:r>
        <w:rPr>
          <w:rFonts w:ascii="Times New Roman" w:eastAsia="Times New Roman" w:hAnsi="Times New Roman" w:cs="Times New Roman"/>
          <w:sz w:val="24"/>
          <w:szCs w:val="24"/>
          <w:highlight w:val="white"/>
        </w:rPr>
        <w:t>. Total Variable Costs – Scenario 2</w:t>
      </w:r>
    </w:p>
    <w:sdt>
      <w:sdtPr>
        <w:tag w:val="goog_rdk_3"/>
        <w:id w:val="1788671646"/>
        <w:lock w:val="contentLocked"/>
      </w:sdtPr>
      <w:sdtContent>
        <w:tbl>
          <w:tblPr>
            <w:tblStyle w:val="a4"/>
            <w:tblpPr w:leftFromText="141" w:rightFromText="141" w:vertAnchor="text"/>
            <w:tblW w:w="46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5"/>
            <w:gridCol w:w="2715"/>
          </w:tblGrid>
          <w:tr w:rsidR="007162A0" w14:paraId="429C824F" w14:textId="77777777">
            <w:tc>
              <w:tcPr>
                <w:tcW w:w="196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14:paraId="0000005F" w14:textId="77777777" w:rsidR="007162A0" w:rsidRDefault="00000000">
                <w:pPr>
                  <w:widowControl w:val="0"/>
                  <w:spacing w:after="0" w:line="276" w:lineRule="auto"/>
                  <w:jc w:val="center"/>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Item</w:t>
                </w:r>
              </w:p>
            </w:tc>
            <w:tc>
              <w:tcPr>
                <w:tcW w:w="271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00000060" w14:textId="77777777" w:rsidR="007162A0" w:rsidRDefault="00000000">
                <w:pPr>
                  <w:widowControl w:val="0"/>
                  <w:spacing w:after="0" w:line="276" w:lineRule="auto"/>
                  <w:jc w:val="center"/>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Cost</w:t>
                </w:r>
              </w:p>
            </w:tc>
          </w:tr>
          <w:tr w:rsidR="007162A0" w14:paraId="093FEC57" w14:textId="77777777">
            <w:tc>
              <w:tcPr>
                <w:tcW w:w="196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14:paraId="00000061" w14:textId="77777777" w:rsidR="007162A0" w:rsidRDefault="00000000">
                <w:pPr>
                  <w:widowControl w:val="0"/>
                  <w:spacing w:after="0" w:line="276" w:lineRule="auto"/>
                  <w:jc w:val="center"/>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Castor Seeds</w:t>
                </w:r>
              </w:p>
            </w:tc>
            <w:tc>
              <w:tcPr>
                <w:tcW w:w="27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062" w14:textId="77777777" w:rsidR="007162A0" w:rsidRDefault="00000000">
                <w:pPr>
                  <w:widowControl w:val="0"/>
                  <w:spacing w:after="0" w:line="276"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BRL 2,400,000.00</w:t>
                </w:r>
              </w:p>
            </w:tc>
          </w:tr>
          <w:tr w:rsidR="007162A0" w14:paraId="745A7EB3" w14:textId="77777777">
            <w:tc>
              <w:tcPr>
                <w:tcW w:w="196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14:paraId="00000063" w14:textId="77777777" w:rsidR="007162A0" w:rsidRDefault="00000000">
                <w:pPr>
                  <w:widowControl w:val="0"/>
                  <w:spacing w:after="0" w:line="276" w:lineRule="auto"/>
                  <w:jc w:val="center"/>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Hexane Solvent</w:t>
                </w:r>
              </w:p>
            </w:tc>
            <w:tc>
              <w:tcPr>
                <w:tcW w:w="27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064" w14:textId="77777777" w:rsidR="007162A0" w:rsidRDefault="00000000">
                <w:pPr>
                  <w:widowControl w:val="0"/>
                  <w:spacing w:after="0" w:line="276"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BRL 19,500.00</w:t>
                </w:r>
              </w:p>
            </w:tc>
          </w:tr>
          <w:tr w:rsidR="007162A0" w14:paraId="4EBB829A" w14:textId="77777777">
            <w:tc>
              <w:tcPr>
                <w:tcW w:w="196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14:paraId="00000065" w14:textId="77777777" w:rsidR="007162A0" w:rsidRDefault="00000000">
                <w:pPr>
                  <w:widowControl w:val="0"/>
                  <w:spacing w:after="0" w:line="276" w:lineRule="auto"/>
                  <w:jc w:val="center"/>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Sodium Hydroxide (NaOH</w:t>
                </w:r>
              </w:p>
            </w:tc>
            <w:tc>
              <w:tcPr>
                <w:tcW w:w="27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066" w14:textId="77777777" w:rsidR="007162A0" w:rsidRDefault="00000000">
                <w:pPr>
                  <w:widowControl w:val="0"/>
                  <w:spacing w:after="0" w:line="276"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BRL 2,492.43</w:t>
                </w:r>
              </w:p>
            </w:tc>
          </w:tr>
          <w:tr w:rsidR="007162A0" w14:paraId="0A8E253E" w14:textId="77777777">
            <w:tc>
              <w:tcPr>
                <w:tcW w:w="196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14:paraId="00000067" w14:textId="77777777" w:rsidR="007162A0" w:rsidRDefault="00000000">
                <w:pPr>
                  <w:widowControl w:val="0"/>
                  <w:spacing w:after="0" w:line="276" w:lineRule="auto"/>
                  <w:jc w:val="center"/>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Utilities</w:t>
                </w:r>
              </w:p>
            </w:tc>
            <w:tc>
              <w:tcPr>
                <w:tcW w:w="27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068" w14:textId="77777777" w:rsidR="007162A0" w:rsidRDefault="00000000">
                <w:pPr>
                  <w:widowControl w:val="0"/>
                  <w:spacing w:after="0" w:line="276"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BRL 39,647,964.26</w:t>
                </w:r>
              </w:p>
            </w:tc>
          </w:tr>
          <w:tr w:rsidR="007162A0" w14:paraId="0A376018" w14:textId="77777777">
            <w:trPr>
              <w:trHeight w:val="196"/>
            </w:trPr>
            <w:tc>
              <w:tcPr>
                <w:tcW w:w="196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14:paraId="00000069" w14:textId="77777777" w:rsidR="007162A0" w:rsidRDefault="00000000">
                <w:pPr>
                  <w:widowControl w:val="0"/>
                  <w:spacing w:after="0" w:line="276" w:lineRule="auto"/>
                  <w:jc w:val="center"/>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Supplies</w:t>
                </w:r>
              </w:p>
            </w:tc>
            <w:tc>
              <w:tcPr>
                <w:tcW w:w="27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06A" w14:textId="77777777" w:rsidR="007162A0" w:rsidRDefault="00000000">
                <w:pPr>
                  <w:widowControl w:val="0"/>
                  <w:spacing w:after="0" w:line="276"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BRL 37,573.93</w:t>
                </w:r>
              </w:p>
            </w:tc>
          </w:tr>
          <w:tr w:rsidR="007162A0" w14:paraId="096E1E69" w14:textId="77777777">
            <w:tc>
              <w:tcPr>
                <w:tcW w:w="196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14:paraId="0000006B" w14:textId="77777777" w:rsidR="007162A0" w:rsidRDefault="00000000">
                <w:pPr>
                  <w:widowControl w:val="0"/>
                  <w:spacing w:after="0" w:line="276" w:lineRule="auto"/>
                  <w:jc w:val="center"/>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Transportation</w:t>
                </w:r>
              </w:p>
            </w:tc>
            <w:tc>
              <w:tcPr>
                <w:tcW w:w="27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06C" w14:textId="77777777" w:rsidR="007162A0" w:rsidRDefault="00000000">
                <w:pPr>
                  <w:widowControl w:val="0"/>
                  <w:spacing w:after="0" w:line="276"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BRL 4,210,753.06</w:t>
                </w:r>
              </w:p>
            </w:tc>
          </w:tr>
          <w:tr w:rsidR="007162A0" w14:paraId="609163A1" w14:textId="77777777">
            <w:tc>
              <w:tcPr>
                <w:tcW w:w="196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14:paraId="0000006D" w14:textId="77777777" w:rsidR="007162A0" w:rsidRDefault="00000000">
                <w:pPr>
                  <w:widowControl w:val="0"/>
                  <w:spacing w:after="0" w:line="276" w:lineRule="auto"/>
                  <w:jc w:val="center"/>
                  <w:rPr>
                    <w:rFonts w:ascii="Times New Roman" w:eastAsia="Times New Roman" w:hAnsi="Times New Roman" w:cs="Times New Roman"/>
                    <w:b/>
                    <w:sz w:val="16"/>
                    <w:szCs w:val="16"/>
                    <w:highlight w:val="white"/>
                  </w:rPr>
                </w:pPr>
                <w:r>
                  <w:rPr>
                    <w:rFonts w:ascii="Times New Roman" w:eastAsia="Times New Roman" w:hAnsi="Times New Roman" w:cs="Times New Roman"/>
                    <w:b/>
                    <w:sz w:val="16"/>
                    <w:szCs w:val="16"/>
                    <w:highlight w:val="white"/>
                  </w:rPr>
                  <w:t>TOTAL</w:t>
                </w:r>
              </w:p>
            </w:tc>
            <w:tc>
              <w:tcPr>
                <w:tcW w:w="27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06E" w14:textId="77777777" w:rsidR="007162A0" w:rsidRDefault="00000000">
                <w:pPr>
                  <w:widowControl w:val="0"/>
                  <w:spacing w:after="0" w:line="276"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BRL 46,318,283.68</w:t>
                </w:r>
              </w:p>
            </w:tc>
          </w:tr>
        </w:tbl>
      </w:sdtContent>
    </w:sdt>
    <w:p w14:paraId="56CA9BEC" w14:textId="77777777" w:rsidR="00BA5185" w:rsidRDefault="00BA5185">
      <w:pPr>
        <w:spacing w:after="200" w:line="360" w:lineRule="auto"/>
        <w:jc w:val="both"/>
        <w:rPr>
          <w:rFonts w:ascii="Times New Roman" w:eastAsia="Times New Roman" w:hAnsi="Times New Roman" w:cs="Times New Roman"/>
          <w:sz w:val="24"/>
          <w:szCs w:val="24"/>
          <w:highlight w:val="white"/>
        </w:rPr>
      </w:pPr>
    </w:p>
    <w:p w14:paraId="129B0B46" w14:textId="35CC9F73" w:rsidR="00061D6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The OPEX value was obtained by summing the fixed and variable costs, resulting in </w:t>
      </w:r>
      <w:r w:rsidR="00061D68" w:rsidRPr="00061D68">
        <w:rPr>
          <w:rFonts w:ascii="Times New Roman" w:eastAsia="Times New Roman" w:hAnsi="Times New Roman" w:cs="Times New Roman"/>
          <w:sz w:val="24"/>
          <w:szCs w:val="24"/>
        </w:rPr>
        <w:t>BRL 88.11 million</w:t>
      </w:r>
      <w:r w:rsidR="00061D68">
        <w:rPr>
          <w:rFonts w:ascii="Times New Roman" w:eastAsia="Times New Roman" w:hAnsi="Times New Roman" w:cs="Times New Roman"/>
          <w:sz w:val="24"/>
          <w:szCs w:val="24"/>
        </w:rPr>
        <w:t>.</w:t>
      </w:r>
    </w:p>
    <w:p w14:paraId="00000071" w14:textId="1CF232FE" w:rsidR="007162A0" w:rsidRDefault="00000000">
      <w:pPr>
        <w:spacing w:after="200" w:line="360" w:lineRule="auto"/>
        <w:jc w:val="both"/>
        <w:rPr>
          <w:rFonts w:ascii="Times New Roman" w:eastAsia="Times New Roman" w:hAnsi="Times New Roman" w:cs="Times New Roman"/>
          <w:sz w:val="24"/>
          <w:szCs w:val="24"/>
          <w:highlight w:val="white"/>
          <w:u w:val="single"/>
        </w:rPr>
      </w:pPr>
      <w:r>
        <w:rPr>
          <w:rFonts w:ascii="Times New Roman" w:eastAsia="Times New Roman" w:hAnsi="Times New Roman" w:cs="Times New Roman"/>
          <w:sz w:val="24"/>
          <w:szCs w:val="24"/>
          <w:highlight w:val="white"/>
          <w:u w:val="single"/>
        </w:rPr>
        <w:t>3.4 SENSITIVITY ANALYSIS</w:t>
      </w:r>
    </w:p>
    <w:p w14:paraId="00000072" w14:textId="77777777" w:rsidR="007162A0" w:rsidRDefault="00000000">
      <w:pPr>
        <w:spacing w:after="200" w:line="360" w:lineRule="auto"/>
        <w:jc w:val="both"/>
        <w:rPr>
          <w:rFonts w:ascii="Times New Roman" w:eastAsia="Times New Roman" w:hAnsi="Times New Roman" w:cs="Times New Roman"/>
          <w:sz w:val="24"/>
          <w:szCs w:val="24"/>
          <w:highlight w:val="white"/>
          <w:u w:val="single"/>
        </w:rPr>
      </w:pPr>
      <w:r>
        <w:rPr>
          <w:rFonts w:ascii="Times New Roman" w:eastAsia="Times New Roman" w:hAnsi="Times New Roman" w:cs="Times New Roman"/>
          <w:sz w:val="24"/>
          <w:szCs w:val="24"/>
          <w:highlight w:val="white"/>
        </w:rPr>
        <w:t>For this analysis, a significant difference in operational costs (OPEX) is initially observed, which directly influences the Net Present Value (NPV), as illustrated in Graphic 1 below:</w:t>
      </w:r>
    </w:p>
    <w:p w14:paraId="00000073" w14:textId="77777777" w:rsidR="007162A0" w:rsidRDefault="00000000">
      <w:pPr>
        <w:spacing w:after="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Graphic 1.</w:t>
      </w:r>
      <w:r>
        <w:rPr>
          <w:rFonts w:ascii="Times New Roman" w:eastAsia="Times New Roman" w:hAnsi="Times New Roman" w:cs="Times New Roman"/>
          <w:sz w:val="24"/>
          <w:szCs w:val="24"/>
          <w:highlight w:val="white"/>
        </w:rPr>
        <w:t xml:space="preserve"> Comparison of NPV and OPEX</w:t>
      </w:r>
      <w:r>
        <w:rPr>
          <w:rFonts w:ascii="Times New Roman" w:eastAsia="Times New Roman" w:hAnsi="Times New Roman" w:cs="Times New Roman"/>
          <w:noProof/>
          <w:sz w:val="24"/>
          <w:szCs w:val="24"/>
          <w:highlight w:val="white"/>
        </w:rPr>
        <w:drawing>
          <wp:inline distT="114300" distB="114300" distL="114300" distR="114300" wp14:anchorId="78231CBE" wp14:editId="76128E12">
            <wp:extent cx="2990850" cy="1803400"/>
            <wp:effectExtent l="0" t="0" r="0" b="0"/>
            <wp:docPr id="10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2990850" cy="1803400"/>
                    </a:xfrm>
                    <a:prstGeom prst="rect">
                      <a:avLst/>
                    </a:prstGeom>
                    <a:ln/>
                  </pic:spPr>
                </pic:pic>
              </a:graphicData>
            </a:graphic>
          </wp:inline>
        </w:drawing>
      </w:r>
    </w:p>
    <w:p w14:paraId="00000074" w14:textId="77777777" w:rsidR="007162A0"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Although it presents higher operational costs, the overestimated scenario achieved a positive Net Present Value (NPV) of BRL 148 million, demonstrating economic feasibility. In contrast, the medium-scale plant, despite its lower cost, showed a negative NPV of approximately BRL 19 million.</w:t>
      </w:r>
    </w:p>
    <w:p w14:paraId="00000075" w14:textId="77777777" w:rsidR="007162A0"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Regarding the payback period, it was observed that the plant in Scenario 1 achieves return in 3 </w:t>
      </w:r>
      <w:r>
        <w:rPr>
          <w:rFonts w:ascii="Times New Roman" w:eastAsia="Times New Roman" w:hAnsi="Times New Roman" w:cs="Times New Roman"/>
          <w:sz w:val="24"/>
          <w:szCs w:val="24"/>
          <w:highlight w:val="white"/>
        </w:rPr>
        <w:t>years, while the medium-scale plant has a payback period of approximately 8 years.</w:t>
      </w:r>
    </w:p>
    <w:p w14:paraId="00000076" w14:textId="77777777" w:rsidR="007162A0"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results indicate that the overestimated scenario (Scenario 1) is significantly more advantageous from a financial perspective. It presents a shorter payback time and greater cash generation over time, accumulating substantial profit. In this scenario, the Internal Rate of Return (IRR) was 38%, a value substantially higher than the adopted Minimum Attractive Rate of Return (MARR) of 14.75% (SELIC), highlighting the high economic viability of the project. This means that, beyond recovering the initial investment, the project generates an attractive profit margin, justifying the higher capital outlay.</w:t>
      </w:r>
    </w:p>
    <w:p w14:paraId="00000077" w14:textId="77777777" w:rsidR="007162A0"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On the other hand, the medium-scale scenario (Scenario 2) presented an IRR of only 6%, well below the MARR. Although the investment may be recovered over the years, the financial risk is higher and the profit potential is limited, making the project less competitive.</w:t>
      </w:r>
    </w:p>
    <w:p w14:paraId="00000078" w14:textId="77777777" w:rsidR="007162A0"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Additionally, the cash flow analysis reveals that both scenarios operate profitably from the start of production. Scenario 2 shows that sales revenue exceeds total costs (fixed and variable) across the entire operating range (0% to 100% of capacity), indicating that there is no apparent breakeven point, as the operation remains profitable even at low utilization levels.</w:t>
      </w:r>
    </w:p>
    <w:p w14:paraId="00000079" w14:textId="77777777" w:rsidR="007162A0"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Profitability Index (PI) analysis further reinforces the superiority of the overestimated </w:t>
      </w:r>
      <w:r>
        <w:rPr>
          <w:rFonts w:ascii="Times New Roman" w:eastAsia="Times New Roman" w:hAnsi="Times New Roman" w:cs="Times New Roman"/>
          <w:sz w:val="24"/>
          <w:szCs w:val="24"/>
          <w:highlight w:val="white"/>
        </w:rPr>
        <w:lastRenderedPageBreak/>
        <w:t>scenario, which achieved a positive value of 1.01, indicating that for every real in revenue, BRL 0.01 in profit is generated. In contrast, the medium-scale scenario presented a negative PI of -0.32, indicating an operational loss.</w:t>
      </w:r>
    </w:p>
    <w:p w14:paraId="0000007A" w14:textId="5CFA59CB" w:rsidR="007162A0"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Despite its overall inferior performance, the second scenario demonstrated that reducing operational costs, especially variable costs</w:t>
      </w:r>
      <w:r w:rsidR="00F16A6F">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has a positive impact on the NPV, highlighting the importance of efficient management of inputs such as raw materials, energy, and labor.</w:t>
      </w:r>
    </w:p>
    <w:p w14:paraId="0000007B" w14:textId="77777777" w:rsidR="007162A0" w:rsidRDefault="00000000">
      <w:pPr>
        <w:spacing w:before="240" w:after="240"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4. CONCLUSION</w:t>
      </w:r>
    </w:p>
    <w:p w14:paraId="0000007C" w14:textId="77777777" w:rsidR="007162A0"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use of castor beans for oil extraction represents a strategic opportunity, given the high value of the product and its broad industrial applications. However, price volatility introduces uncertainty into the supply chain, making the proper sizing of processing plants essential for the project's viability.</w:t>
      </w:r>
    </w:p>
    <w:p w14:paraId="0000007D" w14:textId="77777777" w:rsidR="007162A0"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Based on the results, it is concluded that the overestimated scenario, despite its higher costs and deviation from current market conditions, shows superior economic performance. The positive NPV, high IRR, quick payback period, and overall profitability indicate that the higher initial investment is compensated by better operational results. In contrast, the medium-scale plant is financially unfeasible, with a slow return, IRR below the MARR, and operating at a loss.</w:t>
      </w:r>
    </w:p>
    <w:p w14:paraId="0000007E" w14:textId="77777777" w:rsidR="007162A0"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Given the sector’s instability, it is recommended to conduct broader sensitivity analyses, varying </w:t>
      </w:r>
      <w:r>
        <w:rPr>
          <w:rFonts w:ascii="Times New Roman" w:eastAsia="Times New Roman" w:hAnsi="Times New Roman" w:cs="Times New Roman"/>
          <w:sz w:val="24"/>
          <w:szCs w:val="24"/>
          <w:highlight w:val="white"/>
        </w:rPr>
        <w:t>parameters such as prices, operational costs, production capacity, and discount rates. This approach will help assess the robustness of the project and ensure the economic sustainability of the castor oil production chain in the face of market uncertainties.</w:t>
      </w:r>
    </w:p>
    <w:p w14:paraId="0000007F" w14:textId="77777777" w:rsidR="007162A0"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4"/>
          <w:szCs w:val="24"/>
        </w:rPr>
        <w:t>Acknowledgement</w:t>
      </w:r>
    </w:p>
    <w:p w14:paraId="501AF6DB" w14:textId="601BB579" w:rsidR="00F16A6F" w:rsidRPr="00F16A6F" w:rsidRDefault="00F16A6F" w:rsidP="00F16A6F">
      <w:pPr>
        <w:spacing w:before="240" w:after="240" w:line="360" w:lineRule="auto"/>
        <w:jc w:val="both"/>
        <w:rPr>
          <w:rFonts w:ascii="Times New Roman" w:eastAsia="Times New Roman" w:hAnsi="Times New Roman" w:cs="Times New Roman"/>
          <w:sz w:val="24"/>
          <w:szCs w:val="24"/>
          <w:highlight w:val="white"/>
        </w:rPr>
      </w:pPr>
      <w:r w:rsidRPr="00F16A6F">
        <w:rPr>
          <w:rFonts w:ascii="Times New Roman" w:eastAsia="Times New Roman" w:hAnsi="Times New Roman" w:cs="Times New Roman"/>
          <w:sz w:val="24"/>
          <w:szCs w:val="24"/>
          <w:highlight w:val="white"/>
        </w:rPr>
        <w:t>We thank SENAI CIMATEC for the essential support, technical assistance, and the infrastructure provided for the development of this work. We also express our sincere gratitude to our advisors for their guidance, patience, and dedication throughout all stages of the study</w:t>
      </w:r>
    </w:p>
    <w:p w14:paraId="00000081" w14:textId="5CFE7D8C" w:rsidR="007162A0" w:rsidRDefault="0000000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00000082" w14:textId="77777777" w:rsidR="007162A0" w:rsidRDefault="007162A0">
      <w:pPr>
        <w:spacing w:after="0"/>
        <w:jc w:val="both"/>
        <w:rPr>
          <w:rFonts w:ascii="Times New Roman" w:eastAsia="Times New Roman" w:hAnsi="Times New Roman" w:cs="Times New Roman"/>
          <w:b/>
          <w:sz w:val="24"/>
          <w:szCs w:val="24"/>
        </w:rPr>
      </w:pPr>
    </w:p>
    <w:p w14:paraId="00000083" w14:textId="77777777" w:rsidR="007162A0" w:rsidRDefault="00000000" w:rsidP="00353F0F">
      <w:pPr>
        <w:numPr>
          <w:ilvl w:val="0"/>
          <w:numId w:val="1"/>
        </w:numPr>
        <w:spacing w:after="0"/>
        <w:jc w:val="both"/>
        <w:rPr>
          <w:sz w:val="20"/>
          <w:szCs w:val="20"/>
        </w:rPr>
      </w:pPr>
      <w:r w:rsidRPr="00940ED4">
        <w:rPr>
          <w:rFonts w:ascii="Times New Roman" w:eastAsia="Times New Roman" w:hAnsi="Times New Roman" w:cs="Times New Roman"/>
          <w:sz w:val="20"/>
          <w:szCs w:val="20"/>
          <w:lang w:val="pt-BR"/>
        </w:rPr>
        <w:t xml:space="preserve">Pinho M, Toneto Jr R, organizadores. Economia de baixo carbono: impactos de novos marcos regulatórios e tecnologias sobre a economia brasileira. </w:t>
      </w:r>
      <w:r>
        <w:rPr>
          <w:rFonts w:ascii="Times New Roman" w:eastAsia="Times New Roman" w:hAnsi="Times New Roman" w:cs="Times New Roman"/>
          <w:sz w:val="20"/>
          <w:szCs w:val="20"/>
        </w:rPr>
        <w:t>Ribeirão Preto: FUNPEC Editora; 2015. p. 394</w:t>
      </w:r>
    </w:p>
    <w:p w14:paraId="00000084" w14:textId="77777777" w:rsidR="007162A0" w:rsidRDefault="00000000" w:rsidP="00353F0F">
      <w:pPr>
        <w:numPr>
          <w:ilvl w:val="0"/>
          <w:numId w:val="1"/>
        </w:numPr>
        <w:spacing w:after="0"/>
        <w:jc w:val="both"/>
        <w:rPr>
          <w:sz w:val="20"/>
          <w:szCs w:val="20"/>
        </w:rPr>
      </w:pPr>
      <w:r w:rsidRPr="00940ED4">
        <w:rPr>
          <w:rFonts w:ascii="Times New Roman" w:eastAsia="Times New Roman" w:hAnsi="Times New Roman" w:cs="Times New Roman"/>
          <w:sz w:val="20"/>
          <w:szCs w:val="20"/>
          <w:lang w:val="pt-BR"/>
        </w:rPr>
        <w:t xml:space="preserve">Parrella NNL de, Carvalho MLM de, Parrella RAC da C, Resende JCF de, Reis JBR da S. Caracterização fisiológica e sanitária de sementes de mamona utilizadas na safra 2006 no estado de Minas Gerais. </w:t>
      </w:r>
      <w:r>
        <w:rPr>
          <w:rFonts w:ascii="Times New Roman" w:eastAsia="Times New Roman" w:hAnsi="Times New Roman" w:cs="Times New Roman"/>
          <w:sz w:val="20"/>
          <w:szCs w:val="20"/>
        </w:rPr>
        <w:t>Sete Lagoas: Embrapa Milho e Sorgo; 2009. 23 p.</w:t>
      </w:r>
    </w:p>
    <w:p w14:paraId="00000085" w14:textId="77777777" w:rsidR="007162A0" w:rsidRPr="001500AB" w:rsidRDefault="00000000" w:rsidP="00353F0F">
      <w:pPr>
        <w:numPr>
          <w:ilvl w:val="0"/>
          <w:numId w:val="1"/>
        </w:numPr>
        <w:spacing w:after="0"/>
        <w:jc w:val="both"/>
        <w:rPr>
          <w:sz w:val="20"/>
          <w:szCs w:val="20"/>
        </w:rPr>
      </w:pPr>
      <w:r w:rsidRPr="00940ED4">
        <w:rPr>
          <w:rFonts w:ascii="Times New Roman" w:eastAsia="Times New Roman" w:hAnsi="Times New Roman" w:cs="Times New Roman"/>
          <w:sz w:val="20"/>
          <w:szCs w:val="20"/>
          <w:lang w:val="pt-BR"/>
        </w:rPr>
        <w:t xml:space="preserve">Sausen TL. Respostas fisiológicas de Ricinus communis à redução na disponibilidade de água no solo [dissertação]. Porto Alegre: Faculdade de Agronomia, Universidade Federal do Rio Grande do Sul; 2007. </w:t>
      </w:r>
      <w:r>
        <w:rPr>
          <w:rFonts w:ascii="Times New Roman" w:eastAsia="Times New Roman" w:hAnsi="Times New Roman" w:cs="Times New Roman"/>
          <w:sz w:val="20"/>
          <w:szCs w:val="20"/>
        </w:rPr>
        <w:t>105 f.</w:t>
      </w:r>
    </w:p>
    <w:p w14:paraId="31D8F9A5" w14:textId="35FC1B3A" w:rsidR="001500AB" w:rsidRPr="003122D9" w:rsidRDefault="001500AB" w:rsidP="00353F0F">
      <w:pPr>
        <w:numPr>
          <w:ilvl w:val="0"/>
          <w:numId w:val="1"/>
        </w:numPr>
        <w:spacing w:after="0"/>
        <w:jc w:val="both"/>
        <w:rPr>
          <w:rFonts w:ascii="Times New Roman" w:eastAsia="Times New Roman" w:hAnsi="Times New Roman" w:cs="Times New Roman"/>
          <w:sz w:val="20"/>
          <w:szCs w:val="20"/>
          <w:lang w:val="pt-BR"/>
        </w:rPr>
      </w:pPr>
      <w:r w:rsidRPr="003122D9">
        <w:rPr>
          <w:rFonts w:ascii="Times New Roman" w:eastAsia="Times New Roman" w:hAnsi="Times New Roman" w:cs="Times New Roman"/>
          <w:sz w:val="20"/>
          <w:szCs w:val="20"/>
          <w:lang w:val="pt-BR"/>
        </w:rPr>
        <w:t>Oliveira BF, Neto JO, Silva JK, Santoro PPC. Uso do centro de gravidade para localizar a base operacional da TPG do Brasil. In: Anais do XIII Simpósio de Excelência em Gestão e Tecnologia – SEGeT; 2015 Oct 28–30; Resende, Brazil. Resende: AEDB; 2015. Available from: https://www.aedb.br/seget/arquivos/artigos15/24722311.pdf</w:t>
      </w:r>
    </w:p>
    <w:p w14:paraId="6F2C2BDD" w14:textId="77777777" w:rsidR="00055393" w:rsidRPr="00055393" w:rsidRDefault="00055393" w:rsidP="00353F0F">
      <w:pPr>
        <w:numPr>
          <w:ilvl w:val="0"/>
          <w:numId w:val="1"/>
        </w:numPr>
        <w:spacing w:before="240" w:after="240"/>
        <w:jc w:val="both"/>
      </w:pPr>
      <w:r w:rsidRPr="00055393">
        <w:rPr>
          <w:rFonts w:ascii="Times New Roman" w:eastAsia="Times New Roman" w:hAnsi="Times New Roman" w:cs="Times New Roman"/>
          <w:sz w:val="20"/>
          <w:szCs w:val="20"/>
        </w:rPr>
        <w:t xml:space="preserve">American Oil Chemists' Society. Official methods and recommended practices of the AOCS. 6th ed. Urbana: AOCS Press; 2009. </w:t>
      </w:r>
    </w:p>
    <w:p w14:paraId="652F0C43" w14:textId="06D5BC23" w:rsidR="003122D9" w:rsidRPr="003122D9" w:rsidRDefault="003122D9" w:rsidP="00353F0F">
      <w:pPr>
        <w:numPr>
          <w:ilvl w:val="0"/>
          <w:numId w:val="1"/>
        </w:numPr>
        <w:spacing w:before="240" w:after="240"/>
        <w:jc w:val="both"/>
      </w:pPr>
      <w:r w:rsidRPr="003122D9">
        <w:rPr>
          <w:rFonts w:ascii="Times New Roman" w:eastAsia="Times New Roman" w:hAnsi="Times New Roman" w:cs="Times New Roman"/>
          <w:sz w:val="20"/>
          <w:szCs w:val="20"/>
        </w:rPr>
        <w:t xml:space="preserve">Lima PF. Análise da viabilidade econômica da produção de óleo de mamona de primeira geração no Rio Grande do Sul </w:t>
      </w:r>
      <w:r w:rsidR="00BD518B">
        <w:rPr>
          <w:rFonts w:ascii="Times New Roman" w:eastAsia="Times New Roman" w:hAnsi="Times New Roman" w:cs="Times New Roman"/>
          <w:sz w:val="20"/>
          <w:szCs w:val="20"/>
        </w:rPr>
        <w:t>.</w:t>
      </w:r>
      <w:r w:rsidRPr="003122D9">
        <w:rPr>
          <w:rFonts w:ascii="Times New Roman" w:eastAsia="Times New Roman" w:hAnsi="Times New Roman" w:cs="Times New Roman"/>
          <w:sz w:val="20"/>
          <w:szCs w:val="20"/>
        </w:rPr>
        <w:t>Porto Alegre: Universidade Federal do Rio Grande do Sul, Programa de Pós-</w:t>
      </w:r>
      <w:r w:rsidRPr="003122D9">
        <w:rPr>
          <w:rFonts w:ascii="Times New Roman" w:eastAsia="Times New Roman" w:hAnsi="Times New Roman" w:cs="Times New Roman"/>
          <w:sz w:val="20"/>
          <w:szCs w:val="20"/>
        </w:rPr>
        <w:lastRenderedPageBreak/>
        <w:t xml:space="preserve">Graduação em Agronegócios; 2002. Available from: </w:t>
      </w:r>
      <w:hyperlink r:id="rId15" w:history="1">
        <w:r w:rsidRPr="003122D9">
          <w:rPr>
            <w:rFonts w:ascii="Times New Roman" w:eastAsia="Times New Roman" w:hAnsi="Times New Roman" w:cs="Times New Roman"/>
            <w:sz w:val="20"/>
            <w:szCs w:val="20"/>
            <w:lang w:val="pt-BR"/>
          </w:rPr>
          <w:t>http://hdl.handle.net/10183/5294</w:t>
        </w:r>
      </w:hyperlink>
    </w:p>
    <w:p w14:paraId="0000009C" w14:textId="746A74A3" w:rsidR="007162A0" w:rsidRPr="00C44F69" w:rsidRDefault="00055393" w:rsidP="00353F0F">
      <w:pPr>
        <w:numPr>
          <w:ilvl w:val="0"/>
          <w:numId w:val="1"/>
        </w:numPr>
        <w:spacing w:before="240" w:after="240"/>
        <w:jc w:val="both"/>
      </w:pPr>
      <w:r w:rsidRPr="00055393">
        <w:rPr>
          <w:rFonts w:ascii="Times New Roman" w:eastAsia="Times New Roman" w:hAnsi="Times New Roman" w:cs="Times New Roman"/>
          <w:sz w:val="20"/>
          <w:szCs w:val="20"/>
        </w:rPr>
        <w:t>Kaur R, Bhaskar T. Potential of castor plant (Ricinus communis) for production of biofuels, chemicals, and value-added products. In: Moser BR, editor. Handbook of Biofuels Production. 2nd ed. Cambridge: Woodhead Publishing; 2020. p. 211–223. doi:10.1016/B9780128182284000113</w:t>
      </w:r>
      <w:r>
        <w:rPr>
          <w:rFonts w:ascii="Times New Roman" w:eastAsia="Times New Roman" w:hAnsi="Times New Roman" w:cs="Times New Roman"/>
          <w:sz w:val="20"/>
          <w:szCs w:val="20"/>
        </w:rPr>
        <w:br/>
      </w:r>
    </w:p>
    <w:sectPr w:rsidR="007162A0" w:rsidRPr="00C44F69">
      <w:type w:val="continuous"/>
      <w:pgSz w:w="11907" w:h="16839"/>
      <w:pgMar w:top="1453" w:right="992" w:bottom="851" w:left="1134" w:header="720" w:footer="720" w:gutter="0"/>
      <w:cols w:num="2" w:space="720" w:equalWidth="0">
        <w:col w:w="4710" w:space="360"/>
        <w:col w:w="471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uiza Vasconcelos" w:date="2025-08-01T16:59:00Z" w:initials="">
    <w:p w14:paraId="000000A2" w14:textId="77777777" w:rsidR="007162A0" w:rsidRDefault="00000000">
      <w:pPr>
        <w:widowControl w:val="0"/>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COLOCAR EQUIACOES NA MAO, LEMBRANDO DE TRADUZIR A SIGLA PARA INGLES  - VPL, IL</w:t>
      </w:r>
    </w:p>
  </w:comment>
  <w:comment w:id="1" w:author="Gustavo Souza" w:date="2025-08-01T17:36:00Z" w:initials="">
    <w:p w14:paraId="000000A3" w14:textId="77777777" w:rsidR="007162A0" w:rsidRDefault="00000000">
      <w:pPr>
        <w:widowControl w:val="0"/>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VPL = NPV; IL = profitability index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A2" w15:done="1"/>
  <w15:commentEx w15:paraId="000000A3" w15:paraIdParent="000000A2"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A2" w16cid:durableId="000000A2"/>
  <w16cid:commentId w16cid:paraId="000000A3" w16cid:durableId="000000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1DF29" w14:textId="77777777" w:rsidR="00A922A8" w:rsidRDefault="00A922A8">
      <w:pPr>
        <w:spacing w:after="0"/>
      </w:pPr>
      <w:r>
        <w:separator/>
      </w:r>
    </w:p>
  </w:endnote>
  <w:endnote w:type="continuationSeparator" w:id="0">
    <w:p w14:paraId="0038358F" w14:textId="77777777" w:rsidR="00A922A8" w:rsidRDefault="00A922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0000000000000000000"/>
    <w:charset w:val="00"/>
    <w:family w:val="roman"/>
    <w:notTrueType/>
    <w:pitch w:val="default"/>
  </w:font>
  <w:font w:name="AdvOTdbe06fba">
    <w:panose1 w:val="00000000000000000000"/>
    <w:charset w:val="00"/>
    <w:family w:val="roman"/>
    <w:notTrueType/>
    <w:pitch w:val="default"/>
  </w:font>
  <w:font w:name="Century">
    <w:panose1 w:val="02040604050505020304"/>
    <w:charset w:val="00"/>
    <w:family w:val="roman"/>
    <w:pitch w:val="variable"/>
    <w:sig w:usb0="00000003" w:usb1="00000000" w:usb2="00000000" w:usb3="00000000" w:csb0="00000001" w:csb1="00000000"/>
  </w:font>
  <w:font w:name="AdvOT9cb306be.B">
    <w:panose1 w:val="00000000000000000000"/>
    <w:charset w:val="00"/>
    <w:family w:val="roman"/>
    <w:notTrueType/>
    <w:pitch w:val="default"/>
  </w:font>
  <w:font w:name="AdvOT8910dd71">
    <w:panose1 w:val="00000000000000000000"/>
    <w:charset w:val="00"/>
    <w:family w:val="roman"/>
    <w:notTrueType/>
    <w:pitch w:val="default"/>
  </w:font>
  <w:font w:name="ヒラギノ角ゴ Pro W3">
    <w:panose1 w:val="00000000000000000000"/>
    <w:charset w:val="8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F" w14:textId="77777777" w:rsidR="007162A0" w:rsidRDefault="00000000">
    <w:pPr>
      <w:spacing w:after="0"/>
      <w:rPr>
        <w:color w:val="808080"/>
        <w:sz w:val="20"/>
        <w:szCs w:val="20"/>
      </w:rPr>
    </w:pPr>
    <w:r>
      <w:rPr>
        <w:color w:val="808080"/>
        <w:sz w:val="20"/>
        <w:szCs w:val="20"/>
      </w:rPr>
      <w:t>ISSN: 2357-7592</w:t>
    </w:r>
    <w:r>
      <w:rPr>
        <w:b/>
        <w:color w:val="808080"/>
        <w:sz w:val="20"/>
        <w:szCs w:val="20"/>
      </w:rPr>
      <w:tab/>
    </w:r>
    <w:r>
      <w:rPr>
        <w:b/>
        <w:color w:val="808080"/>
        <w:sz w:val="20"/>
        <w:szCs w:val="20"/>
      </w:rPr>
      <w:tab/>
    </w:r>
    <w:r>
      <w:rPr>
        <w:b/>
        <w:color w:val="808080"/>
        <w:sz w:val="20"/>
        <w:szCs w:val="20"/>
      </w:rPr>
      <w:tab/>
    </w:r>
    <w:r>
      <w:rPr>
        <w:b/>
        <w:color w:val="808080"/>
        <w:sz w:val="20"/>
        <w:szCs w:val="20"/>
      </w:rPr>
      <w:tab/>
    </w:r>
    <w:r>
      <w:rPr>
        <w:b/>
        <w:color w:val="808080"/>
        <w:sz w:val="20"/>
        <w:szCs w:val="20"/>
      </w:rPr>
      <w:tab/>
    </w:r>
    <w:r>
      <w:rPr>
        <w:b/>
        <w:color w:val="808080"/>
        <w:sz w:val="20"/>
        <w:szCs w:val="20"/>
      </w:rPr>
      <w:tab/>
    </w:r>
  </w:p>
  <w:p w14:paraId="000000A0" w14:textId="77777777" w:rsidR="007162A0" w:rsidRDefault="00000000">
    <w:pPr>
      <w:spacing w:after="0"/>
      <w:rPr>
        <w:color w:val="808080"/>
        <w:sz w:val="18"/>
        <w:szCs w:val="18"/>
      </w:rPr>
    </w:pPr>
    <w:r>
      <w:rPr>
        <w:b/>
        <w:i/>
        <w:color w:val="808080"/>
        <w:sz w:val="18"/>
        <w:szCs w:val="18"/>
      </w:rPr>
      <w:t>XI INTERNATIONAL SYMPOSIUM ON INNOVATION AND TECHNOLOGY</w:t>
    </w:r>
  </w:p>
  <w:p w14:paraId="000000A1" w14:textId="77777777" w:rsidR="007162A0" w:rsidRDefault="00000000">
    <w:pPr>
      <w:spacing w:after="0"/>
      <w:rPr>
        <w:color w:val="808080"/>
        <w:sz w:val="18"/>
        <w:szCs w:val="18"/>
      </w:rPr>
    </w:pPr>
    <w:r>
      <w:rPr>
        <w:i/>
        <w:color w:val="0E101A"/>
        <w:sz w:val="18"/>
        <w:szCs w:val="18"/>
      </w:rPr>
      <w:t xml:space="preserve">Quantum Technologies: The information revolution that will change the future </w:t>
    </w:r>
    <w:r>
      <w:rPr>
        <w:i/>
        <w:color w:val="808080"/>
        <w:sz w:val="18"/>
        <w:szCs w:val="18"/>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A1F34" w14:textId="77777777" w:rsidR="00A922A8" w:rsidRDefault="00A922A8">
      <w:pPr>
        <w:spacing w:after="0"/>
      </w:pPr>
      <w:r>
        <w:separator/>
      </w:r>
    </w:p>
  </w:footnote>
  <w:footnote w:type="continuationSeparator" w:id="0">
    <w:p w14:paraId="6E1493EF" w14:textId="77777777" w:rsidR="00A922A8" w:rsidRDefault="00A922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D" w14:textId="77777777" w:rsidR="007162A0" w:rsidRDefault="00000000">
    <w:pPr>
      <w:spacing w:after="0"/>
      <w:ind w:left="7200"/>
      <w:jc w:val="center"/>
    </w:pPr>
    <w:r>
      <w:t xml:space="preserve">           </w:t>
    </w:r>
    <w:r>
      <w:rPr>
        <w:noProof/>
      </w:rPr>
      <w:drawing>
        <wp:anchor distT="0" distB="0" distL="114300" distR="114300" simplePos="0" relativeHeight="251658240" behindDoc="0" locked="0" layoutInCell="1" hidden="0" allowOverlap="1" wp14:anchorId="2F029E54" wp14:editId="1280C0A1">
          <wp:simplePos x="0" y="0"/>
          <wp:positionH relativeFrom="column">
            <wp:posOffset>-714373</wp:posOffset>
          </wp:positionH>
          <wp:positionV relativeFrom="paragraph">
            <wp:posOffset>-476247</wp:posOffset>
          </wp:positionV>
          <wp:extent cx="7550785" cy="840105"/>
          <wp:effectExtent l="0" t="0" r="0" b="0"/>
          <wp:wrapNone/>
          <wp:docPr id="10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50785" cy="840105"/>
                  </a:xfrm>
                  <a:prstGeom prst="rect">
                    <a:avLst/>
                  </a:prstGeom>
                  <a:ln/>
                </pic:spPr>
              </pic:pic>
            </a:graphicData>
          </a:graphic>
        </wp:anchor>
      </w:drawing>
    </w:r>
  </w:p>
  <w:p w14:paraId="0000009E" w14:textId="77777777" w:rsidR="007162A0" w:rsidRDefault="007162A0">
    <w:pPr>
      <w:spacing w:after="0"/>
      <w:jc w:val="right"/>
      <w:rPr>
        <w:color w:val="323E4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10A"/>
    <w:multiLevelType w:val="multilevel"/>
    <w:tmpl w:val="1BA8527E"/>
    <w:lvl w:ilvl="0">
      <w:start w:val="1"/>
      <w:numFmt w:val="decimal"/>
      <w:lvlText w:val="[%1]"/>
      <w:lvlJc w:val="left"/>
      <w:pPr>
        <w:ind w:left="420" w:hanging="420"/>
      </w:pPr>
      <w:rPr>
        <w:rFonts w:ascii="Times New Roman" w:eastAsia="Times New Roman" w:hAnsi="Times New Roman" w:cs="Times New Roman"/>
        <w:sz w:val="18"/>
        <w:szCs w:val="18"/>
        <w:vertAlign w:val="baseline"/>
      </w:rPr>
    </w:lvl>
    <w:lvl w:ilvl="1">
      <w:start w:val="1"/>
      <w:numFmt w:val="lowerLetter"/>
      <w:lvlText w:val="%2)"/>
      <w:lvlJc w:val="left"/>
      <w:pPr>
        <w:ind w:left="840" w:hanging="420"/>
      </w:pPr>
      <w:rPr>
        <w:vertAlign w:val="baseline"/>
      </w:rPr>
    </w:lvl>
    <w:lvl w:ilvl="2">
      <w:start w:val="1"/>
      <w:numFmt w:val="lowerRoman"/>
      <w:lvlText w:val="%3."/>
      <w:lvlJc w:val="right"/>
      <w:pPr>
        <w:ind w:left="1260" w:hanging="420"/>
      </w:pPr>
      <w:rPr>
        <w:vertAlign w:val="baseline"/>
      </w:rPr>
    </w:lvl>
    <w:lvl w:ilvl="3">
      <w:start w:val="1"/>
      <w:numFmt w:val="decimal"/>
      <w:lvlText w:val="%4."/>
      <w:lvlJc w:val="left"/>
      <w:pPr>
        <w:ind w:left="1680" w:hanging="420"/>
      </w:pPr>
      <w:rPr>
        <w:vertAlign w:val="baseline"/>
      </w:rPr>
    </w:lvl>
    <w:lvl w:ilvl="4">
      <w:start w:val="1"/>
      <w:numFmt w:val="lowerLetter"/>
      <w:lvlText w:val="%5)"/>
      <w:lvlJc w:val="left"/>
      <w:pPr>
        <w:ind w:left="2100" w:hanging="420"/>
      </w:pPr>
      <w:rPr>
        <w:vertAlign w:val="baseline"/>
      </w:rPr>
    </w:lvl>
    <w:lvl w:ilvl="5">
      <w:start w:val="1"/>
      <w:numFmt w:val="lowerRoman"/>
      <w:lvlText w:val="%6."/>
      <w:lvlJc w:val="right"/>
      <w:pPr>
        <w:ind w:left="2520" w:hanging="420"/>
      </w:pPr>
      <w:rPr>
        <w:vertAlign w:val="baseline"/>
      </w:rPr>
    </w:lvl>
    <w:lvl w:ilvl="6">
      <w:start w:val="1"/>
      <w:numFmt w:val="decimal"/>
      <w:lvlText w:val="%7."/>
      <w:lvlJc w:val="left"/>
      <w:pPr>
        <w:ind w:left="2940" w:hanging="420"/>
      </w:pPr>
      <w:rPr>
        <w:vertAlign w:val="baseline"/>
      </w:rPr>
    </w:lvl>
    <w:lvl w:ilvl="7">
      <w:start w:val="1"/>
      <w:numFmt w:val="lowerLetter"/>
      <w:lvlText w:val="%8)"/>
      <w:lvlJc w:val="left"/>
      <w:pPr>
        <w:ind w:left="3360" w:hanging="420"/>
      </w:pPr>
      <w:rPr>
        <w:vertAlign w:val="baseline"/>
      </w:rPr>
    </w:lvl>
    <w:lvl w:ilvl="8">
      <w:start w:val="1"/>
      <w:numFmt w:val="lowerRoman"/>
      <w:lvlText w:val="%9."/>
      <w:lvlJc w:val="right"/>
      <w:pPr>
        <w:ind w:left="3780" w:hanging="420"/>
      </w:pPr>
      <w:rPr>
        <w:vertAlign w:val="baseline"/>
      </w:rPr>
    </w:lvl>
  </w:abstractNum>
  <w:abstractNum w:abstractNumId="1" w15:restartNumberingAfterBreak="0">
    <w:nsid w:val="3DB92E6E"/>
    <w:multiLevelType w:val="multilevel"/>
    <w:tmpl w:val="D4704D2E"/>
    <w:lvl w:ilvl="0">
      <w:start w:val="1"/>
      <w:numFmt w:val="decimal"/>
      <w:pStyle w:val="13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55882170">
    <w:abstractNumId w:val="0"/>
  </w:num>
  <w:num w:numId="2" w16cid:durableId="679352903">
    <w:abstractNumId w:val="1"/>
  </w:num>
  <w:num w:numId="3" w16cid:durableId="14496593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iza Vasconcelos">
    <w15:presenceInfo w15:providerId="Windows Live" w15:userId="54de0959baf3a1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2A0"/>
    <w:rsid w:val="00055393"/>
    <w:rsid w:val="00061D68"/>
    <w:rsid w:val="000D5058"/>
    <w:rsid w:val="001500AB"/>
    <w:rsid w:val="001A2C7A"/>
    <w:rsid w:val="00202024"/>
    <w:rsid w:val="003122D9"/>
    <w:rsid w:val="00353F0F"/>
    <w:rsid w:val="003C32F5"/>
    <w:rsid w:val="00413054"/>
    <w:rsid w:val="004159D7"/>
    <w:rsid w:val="00447EAB"/>
    <w:rsid w:val="004A5437"/>
    <w:rsid w:val="00580486"/>
    <w:rsid w:val="007162A0"/>
    <w:rsid w:val="00734222"/>
    <w:rsid w:val="0082325A"/>
    <w:rsid w:val="00865D0F"/>
    <w:rsid w:val="008D087F"/>
    <w:rsid w:val="008E61D6"/>
    <w:rsid w:val="00940ED4"/>
    <w:rsid w:val="00A32B1C"/>
    <w:rsid w:val="00A54F7F"/>
    <w:rsid w:val="00A922A8"/>
    <w:rsid w:val="00AB2BFD"/>
    <w:rsid w:val="00BA5185"/>
    <w:rsid w:val="00BC49FF"/>
    <w:rsid w:val="00BD518B"/>
    <w:rsid w:val="00C44F69"/>
    <w:rsid w:val="00D52AAD"/>
    <w:rsid w:val="00DA1E18"/>
    <w:rsid w:val="00EC5D27"/>
    <w:rsid w:val="00F16A6F"/>
    <w:rsid w:val="00FB08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E8243C9"/>
  <w15:docId w15:val="{FCCD7830-93D8-4319-ABFB-056D34A6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pt-BR" w:bidi="ar-SA"/>
      </w:rPr>
    </w:rPrDefault>
    <w:pPrDefault>
      <w:pPr>
        <w:spacing w:after="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uiPriority w:val="9"/>
    <w:semiHidden/>
    <w:unhideWhenUsed/>
    <w:qFormat/>
    <w:pPr>
      <w:suppressAutoHyphens/>
      <w:spacing w:before="100" w:beforeAutospacing="1" w:after="100" w:afterAutospacing="1" w:line="1" w:lineRule="atLeast"/>
      <w:ind w:leftChars="-1" w:left="-1" w:hangingChars="1" w:hanging="1"/>
      <w:textDirection w:val="btLr"/>
      <w:textAlignment w:val="top"/>
      <w:outlineLvl w:val="2"/>
    </w:pPr>
    <w:rPr>
      <w:rFonts w:ascii="Times New Roman" w:eastAsia="Times New Roman" w:hAnsi="Times New Roman"/>
      <w:b/>
      <w:bCs/>
      <w:position w:val="-1"/>
      <w:sz w:val="27"/>
      <w:szCs w:val="27"/>
      <w:lang w:val="pt-BR"/>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customStyle="1" w:styleId="01Title">
    <w:name w:val="01 Title"/>
    <w:basedOn w:val="Normal"/>
    <w:next w:val="02Author"/>
    <w:pPr>
      <w:suppressAutoHyphens/>
      <w:spacing w:before="520" w:after="460" w:line="500" w:lineRule="atLeast"/>
      <w:ind w:leftChars="-1" w:left="-1" w:hangingChars="1" w:hanging="1"/>
      <w:jc w:val="center"/>
      <w:textDirection w:val="btLr"/>
      <w:textAlignment w:val="top"/>
      <w:outlineLvl w:val="0"/>
    </w:pPr>
    <w:rPr>
      <w:rFonts w:ascii="Times New Roman" w:hAnsi="Times New Roman"/>
      <w:b/>
      <w:position w:val="-1"/>
      <w:sz w:val="40"/>
      <w:lang w:val="en-US" w:eastAsia="en-US"/>
    </w:rPr>
  </w:style>
  <w:style w:type="paragraph" w:customStyle="1" w:styleId="02Author">
    <w:name w:val="02 Author"/>
    <w:basedOn w:val="Normal"/>
    <w:next w:val="03AuthorAffiliation"/>
    <w:pPr>
      <w:suppressAutoHyphens/>
      <w:spacing w:before="360" w:after="200" w:line="1" w:lineRule="atLeast"/>
      <w:ind w:leftChars="-1" w:left="-1" w:hangingChars="1" w:hanging="1"/>
      <w:jc w:val="center"/>
      <w:textDirection w:val="btLr"/>
      <w:textAlignment w:val="top"/>
      <w:outlineLvl w:val="0"/>
    </w:pPr>
    <w:rPr>
      <w:rFonts w:ascii="Times New Roman" w:hAnsi="Times New Roman"/>
      <w:b/>
      <w:position w:val="-1"/>
      <w:sz w:val="20"/>
      <w:lang w:val="en-US" w:eastAsia="en-US"/>
    </w:rPr>
  </w:style>
  <w:style w:type="paragraph" w:customStyle="1" w:styleId="03AuthorAffiliation">
    <w:name w:val="03 Author Affiliation"/>
    <w:basedOn w:val="02Author"/>
    <w:pPr>
      <w:spacing w:before="0" w:after="0" w:line="220" w:lineRule="atLeast"/>
    </w:pPr>
    <w:rPr>
      <w:b w:val="0"/>
      <w:sz w:val="18"/>
    </w:rPr>
  </w:style>
  <w:style w:type="character" w:styleId="TextodoEspaoReservado">
    <w:name w:val="Placeholder Text"/>
    <w:rPr>
      <w:color w:val="808080"/>
      <w:w w:val="100"/>
      <w:position w:val="-1"/>
      <w:effect w:val="none"/>
      <w:vertAlign w:val="baseline"/>
      <w:cs w:val="0"/>
      <w:em w:val="none"/>
    </w:rPr>
  </w:style>
  <w:style w:type="paragraph" w:styleId="Textodebalo">
    <w:name w:val="Balloon Text"/>
    <w:basedOn w:val="Normal"/>
    <w:qFormat/>
    <w:pPr>
      <w:suppressAutoHyphens/>
      <w:spacing w:line="1" w:lineRule="atLeast"/>
      <w:ind w:leftChars="-1" w:left="-1" w:hangingChars="1" w:hanging="1"/>
      <w:textDirection w:val="btLr"/>
      <w:textAlignment w:val="top"/>
      <w:outlineLvl w:val="0"/>
    </w:pPr>
    <w:rPr>
      <w:rFonts w:ascii="Tahoma" w:hAnsi="Tahoma"/>
      <w:position w:val="-1"/>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paragraph" w:customStyle="1" w:styleId="04CorrespondingAuthorEmail">
    <w:name w:val="04 Corresponding Author Email"/>
    <w:basedOn w:val="03AuthorAffiliation"/>
    <w:next w:val="05ReceivedLine"/>
    <w:pPr>
      <w:spacing w:after="156"/>
    </w:pPr>
  </w:style>
  <w:style w:type="paragraph" w:customStyle="1" w:styleId="05ReceivedLine">
    <w:name w:val="05 Received Line"/>
    <w:basedOn w:val="04CorrespondingAuthorEmail"/>
    <w:next w:val="06Abstract"/>
    <w:pPr>
      <w:spacing w:after="120" w:line="200" w:lineRule="atLeast"/>
    </w:pPr>
    <w:rPr>
      <w:i/>
      <w:sz w:val="20"/>
    </w:rPr>
  </w:style>
  <w:style w:type="paragraph" w:customStyle="1" w:styleId="06Abstract">
    <w:name w:val="06 Abstract"/>
    <w:basedOn w:val="05ReceivedLine"/>
    <w:next w:val="07KeyWords"/>
    <w:pPr>
      <w:spacing w:after="0" w:line="240" w:lineRule="atLeast"/>
      <w:ind w:left="318" w:right="318"/>
      <w:jc w:val="both"/>
    </w:pPr>
    <w:rPr>
      <w:i w:val="0"/>
      <w:spacing w:val="-2"/>
    </w:rPr>
  </w:style>
  <w:style w:type="paragraph" w:customStyle="1" w:styleId="07KeyWords">
    <w:name w:val="07 Key Words"/>
    <w:basedOn w:val="06Abstract"/>
    <w:next w:val="08Body"/>
    <w:pPr>
      <w:spacing w:before="320" w:after="240" w:line="240" w:lineRule="auto"/>
    </w:pPr>
    <w:rPr>
      <w:i/>
    </w:rPr>
  </w:style>
  <w:style w:type="paragraph" w:customStyle="1" w:styleId="08Body">
    <w:name w:val="08 Body"/>
    <w:basedOn w:val="Normal"/>
    <w:next w:val="09BodyIndent"/>
    <w:pPr>
      <w:suppressAutoHyphens/>
      <w:spacing w:after="0" w:line="1" w:lineRule="atLeast"/>
      <w:ind w:leftChars="-1" w:left="-1" w:hangingChars="1" w:hanging="1"/>
      <w:jc w:val="both"/>
      <w:textDirection w:val="btLr"/>
      <w:textAlignment w:val="top"/>
      <w:outlineLvl w:val="0"/>
    </w:pPr>
    <w:rPr>
      <w:rFonts w:ascii="Times New Roman" w:hAnsi="Times New Roman"/>
      <w:spacing w:val="-8"/>
      <w:position w:val="-1"/>
      <w:sz w:val="20"/>
    </w:rPr>
  </w:style>
  <w:style w:type="paragraph" w:customStyle="1" w:styleId="09BodyIndent">
    <w:name w:val="09 Body Indent"/>
    <w:basedOn w:val="08Body"/>
    <w:pPr>
      <w:autoSpaceDE w:val="0"/>
      <w:autoSpaceDN w:val="0"/>
      <w:adjustRightInd w:val="0"/>
      <w:spacing w:line="360" w:lineRule="auto"/>
    </w:pPr>
    <w:rPr>
      <w:rFonts w:eastAsia="Malgun Gothic"/>
      <w:spacing w:val="0"/>
      <w:sz w:val="24"/>
      <w:szCs w:val="24"/>
    </w:rPr>
  </w:style>
  <w:style w:type="paragraph" w:customStyle="1" w:styleId="10Acknowledgments">
    <w:name w:val="10 Acknowledgments"/>
    <w:basedOn w:val="09BodyIndent"/>
    <w:pPr>
      <w:spacing w:before="120"/>
    </w:pPr>
    <w:rPr>
      <w:rFonts w:cs="AdvOTdbe06fba"/>
      <w:color w:val="000000"/>
      <w:szCs w:val="20"/>
    </w:rPr>
  </w:style>
  <w:style w:type="paragraph" w:customStyle="1" w:styleId="12ReferenceHeader">
    <w:name w:val="12 Reference Header"/>
    <w:basedOn w:val="Normal"/>
    <w:pPr>
      <w:suppressAutoHyphens/>
      <w:autoSpaceDE w:val="0"/>
      <w:autoSpaceDN w:val="0"/>
      <w:adjustRightInd w:val="0"/>
      <w:spacing w:before="480" w:after="120" w:line="1" w:lineRule="atLeast"/>
      <w:ind w:leftChars="-1" w:left="-1" w:hangingChars="1" w:hanging="1"/>
      <w:jc w:val="both"/>
      <w:textDirection w:val="btLr"/>
      <w:textAlignment w:val="top"/>
      <w:outlineLvl w:val="0"/>
    </w:pPr>
    <w:rPr>
      <w:rFonts w:ascii="Century" w:hAnsi="Century" w:cs="AdvOT9cb306be.B"/>
      <w:b/>
      <w:position w:val="-1"/>
      <w:sz w:val="18"/>
      <w:szCs w:val="18"/>
      <w:lang w:val="en-US" w:eastAsia="en-US"/>
    </w:rPr>
  </w:style>
  <w:style w:type="numbering" w:customStyle="1" w:styleId="12Refereces">
    <w:name w:val="12 Refereces"/>
    <w:basedOn w:val="Semlista"/>
  </w:style>
  <w:style w:type="numbering" w:customStyle="1" w:styleId="12References">
    <w:name w:val="12 References"/>
    <w:basedOn w:val="Semlista"/>
  </w:style>
  <w:style w:type="paragraph" w:customStyle="1" w:styleId="17Figure">
    <w:name w:val="17 Figure"/>
    <w:basedOn w:val="Normal"/>
    <w:next w:val="19FigureMulti-LinesCaption"/>
    <w:pPr>
      <w:suppressAutoHyphens/>
      <w:spacing w:line="1" w:lineRule="atLeast"/>
      <w:ind w:leftChars="-1" w:left="-1" w:hangingChars="1" w:hanging="1"/>
      <w:jc w:val="center"/>
      <w:textDirection w:val="btLr"/>
      <w:textAlignment w:val="top"/>
      <w:outlineLvl w:val="0"/>
    </w:pPr>
    <w:rPr>
      <w:position w:val="-1"/>
      <w:szCs w:val="14"/>
      <w:u w:val="single"/>
      <w:lang w:val="en-US" w:eastAsia="en-US"/>
    </w:rPr>
  </w:style>
  <w:style w:type="paragraph" w:customStyle="1" w:styleId="19FigureMulti-LinesCaption">
    <w:name w:val="19 Figure Multi-Lines Caption"/>
    <w:basedOn w:val="17Figure"/>
    <w:next w:val="08Body"/>
    <w:pPr>
      <w:spacing w:after="0" w:line="360" w:lineRule="auto"/>
      <w:jc w:val="both"/>
    </w:pPr>
    <w:rPr>
      <w:rFonts w:ascii="Times New Roman" w:hAnsi="Times New Roman" w:cs="AdvOT8910dd71"/>
      <w:sz w:val="24"/>
      <w:szCs w:val="24"/>
      <w:u w:val="none"/>
    </w:rPr>
  </w:style>
  <w:style w:type="paragraph" w:customStyle="1" w:styleId="13Reference">
    <w:name w:val="13 Reference"/>
    <w:basedOn w:val="12ReferenceHeader"/>
    <w:pPr>
      <w:numPr>
        <w:numId w:val="3"/>
      </w:numPr>
      <w:spacing w:before="0" w:after="0"/>
      <w:ind w:left="-1" w:hanging="1"/>
    </w:pPr>
    <w:rPr>
      <w:rFonts w:ascii="Times New Roman" w:hAnsi="Times New Roman"/>
      <w:b w:val="0"/>
      <w:sz w:val="16"/>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TableTitle">
    <w:name w:val="14 Table Title"/>
    <w:basedOn w:val="09BodyIndent"/>
    <w:pPr>
      <w:spacing w:before="240"/>
      <w:ind w:firstLine="0"/>
      <w:jc w:val="center"/>
    </w:pPr>
    <w:rPr>
      <w:b/>
      <w:sz w:val="16"/>
      <w:szCs w:val="18"/>
    </w:rPr>
  </w:style>
  <w:style w:type="paragraph" w:customStyle="1" w:styleId="15TableHeading">
    <w:name w:val="15 Table Heading"/>
    <w:basedOn w:val="09BodyIndent"/>
    <w:pPr>
      <w:ind w:firstLine="0"/>
      <w:jc w:val="center"/>
    </w:pPr>
    <w:rPr>
      <w:sz w:val="16"/>
      <w:szCs w:val="18"/>
    </w:rPr>
  </w:style>
  <w:style w:type="paragraph" w:customStyle="1" w:styleId="16TableBody">
    <w:name w:val="16 Table Body"/>
    <w:basedOn w:val="09BodyIndent"/>
    <w:pPr>
      <w:ind w:firstLine="0"/>
      <w:jc w:val="center"/>
    </w:pPr>
    <w:rPr>
      <w:sz w:val="16"/>
      <w:szCs w:val="18"/>
    </w:rPr>
  </w:style>
  <w:style w:type="paragraph" w:customStyle="1" w:styleId="MTDisplayEquation">
    <w:name w:val="MTDisplayEquation"/>
    <w:basedOn w:val="09BodyIndent"/>
    <w:next w:val="Normal"/>
    <w:pPr>
      <w:tabs>
        <w:tab w:val="center" w:pos="2480"/>
        <w:tab w:val="right" w:pos="4940"/>
      </w:tabs>
      <w:spacing w:before="240" w:after="120"/>
      <w:ind w:firstLine="0"/>
    </w:pPr>
  </w:style>
  <w:style w:type="character" w:customStyle="1" w:styleId="08BodyChar">
    <w:name w:val="08 Body Char"/>
    <w:rPr>
      <w:rFonts w:ascii="Times New Roman" w:hAnsi="Times New Roman"/>
      <w:spacing w:val="-8"/>
      <w:w w:val="100"/>
      <w:position w:val="-1"/>
      <w:szCs w:val="22"/>
      <w:effect w:val="none"/>
      <w:vertAlign w:val="baseline"/>
      <w:cs w:val="0"/>
      <w:em w:val="none"/>
    </w:rPr>
  </w:style>
  <w:style w:type="character" w:customStyle="1" w:styleId="09BodyIndentChar">
    <w:name w:val="09 Body Indent Char"/>
    <w:rPr>
      <w:rFonts w:ascii="Times New Roman" w:eastAsia="Malgun Gothic" w:hAnsi="Times New Roman"/>
      <w:w w:val="100"/>
      <w:position w:val="-1"/>
      <w:sz w:val="24"/>
      <w:szCs w:val="24"/>
      <w:effect w:val="none"/>
      <w:vertAlign w:val="baseline"/>
      <w:cs w:val="0"/>
      <w:em w:val="none"/>
    </w:rPr>
  </w:style>
  <w:style w:type="character" w:customStyle="1" w:styleId="MTDisplayEquationChar">
    <w:name w:val="MTDisplayEquation Char"/>
    <w:basedOn w:val="09BodyIndentChar"/>
    <w:rPr>
      <w:rFonts w:ascii="Times New Roman" w:eastAsia="Malgun Gothic" w:hAnsi="Times New Roman"/>
      <w:w w:val="100"/>
      <w:position w:val="-1"/>
      <w:sz w:val="24"/>
      <w:szCs w:val="24"/>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customStyle="1" w:styleId="11Equations">
    <w:name w:val="11 Equations"/>
    <w:pPr>
      <w:suppressAutoHyphens/>
      <w:spacing w:before="100" w:after="100" w:line="1" w:lineRule="atLeast"/>
      <w:ind w:leftChars="-1" w:left="-1" w:hangingChars="1" w:hanging="1"/>
      <w:jc w:val="both"/>
      <w:textDirection w:val="btLr"/>
      <w:textAlignment w:val="top"/>
      <w:outlineLvl w:val="0"/>
    </w:pPr>
    <w:rPr>
      <w:rFonts w:ascii="Century" w:hAnsi="Century"/>
      <w:position w:val="-1"/>
      <w:lang w:val="en-US" w:eastAsia="en-US"/>
    </w:rPr>
  </w:style>
  <w:style w:type="character" w:styleId="MenoPendente">
    <w:name w:val="Unresolved Mention"/>
    <w:qFormat/>
    <w:rPr>
      <w:color w:val="605E5C"/>
      <w:w w:val="100"/>
      <w:position w:val="-1"/>
      <w:effect w:val="none"/>
      <w:shd w:val="clear" w:color="auto" w:fill="E1DFDD"/>
      <w:vertAlign w:val="baseline"/>
      <w:cs w:val="0"/>
      <w:em w:val="none"/>
    </w:rPr>
  </w:style>
  <w:style w:type="paragraph" w:styleId="NormalWeb">
    <w:name w:val="Normal (Web)"/>
    <w:basedOn w:val="Normal"/>
    <w:qFormat/>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val="pt-BR"/>
    </w:rPr>
  </w:style>
  <w:style w:type="character" w:customStyle="1" w:styleId="Ttulo3Char">
    <w:name w:val="Título 3 Char"/>
    <w:rPr>
      <w:rFonts w:ascii="Times New Roman" w:eastAsia="Times New Roman" w:hAnsi="Times New Roman"/>
      <w:b/>
      <w:bCs/>
      <w:w w:val="100"/>
      <w:position w:val="-1"/>
      <w:sz w:val="27"/>
      <w:szCs w:val="27"/>
      <w:effect w:val="none"/>
      <w:vertAlign w:val="baseline"/>
      <w:cs w:val="0"/>
      <w:em w:val="none"/>
    </w:rPr>
  </w:style>
  <w:style w:type="paragraph" w:styleId="Cabealho">
    <w:name w:val="header"/>
    <w:basedOn w:val="Normal"/>
    <w:qFormat/>
    <w:pPr>
      <w:tabs>
        <w:tab w:val="center" w:pos="4680"/>
        <w:tab w:val="right" w:pos="9360"/>
      </w:tabs>
      <w:suppressAutoHyphens/>
      <w:spacing w:line="1" w:lineRule="atLeast"/>
      <w:ind w:leftChars="-1" w:left="-1" w:hangingChars="1" w:hanging="1"/>
      <w:textDirection w:val="btLr"/>
      <w:textAlignment w:val="top"/>
      <w:outlineLvl w:val="0"/>
    </w:pPr>
    <w:rPr>
      <w:position w:val="-1"/>
    </w:rPr>
  </w:style>
  <w:style w:type="character" w:customStyle="1" w:styleId="CabealhoChar">
    <w:name w:val="Cabeçalho Char"/>
    <w:rPr>
      <w:w w:val="100"/>
      <w:position w:val="-1"/>
      <w:sz w:val="22"/>
      <w:szCs w:val="22"/>
      <w:effect w:val="none"/>
      <w:vertAlign w:val="baseline"/>
      <w:cs w:val="0"/>
      <w:em w:val="none"/>
    </w:rPr>
  </w:style>
  <w:style w:type="paragraph" w:styleId="Rodap">
    <w:name w:val="footer"/>
    <w:basedOn w:val="Normal"/>
    <w:qFormat/>
    <w:pPr>
      <w:tabs>
        <w:tab w:val="center" w:pos="4680"/>
        <w:tab w:val="right" w:pos="9360"/>
      </w:tabs>
      <w:suppressAutoHyphens/>
      <w:spacing w:line="1" w:lineRule="atLeast"/>
      <w:ind w:leftChars="-1" w:left="-1" w:hangingChars="1" w:hanging="1"/>
      <w:textDirection w:val="btLr"/>
      <w:textAlignment w:val="top"/>
      <w:outlineLvl w:val="0"/>
    </w:pPr>
    <w:rPr>
      <w:position w:val="-1"/>
    </w:rPr>
  </w:style>
  <w:style w:type="character" w:customStyle="1" w:styleId="RodapChar">
    <w:name w:val="Rodapé Char"/>
    <w:rPr>
      <w:w w:val="100"/>
      <w:position w:val="-1"/>
      <w:sz w:val="22"/>
      <w:szCs w:val="22"/>
      <w:effect w:val="none"/>
      <w:vertAlign w:val="baseline"/>
      <w:cs w:val="0"/>
      <w:em w:val="none"/>
    </w:rPr>
  </w:style>
  <w:style w:type="paragraph" w:customStyle="1" w:styleId="21Heading2">
    <w:name w:val="21 Heading 2"/>
    <w:basedOn w:val="09BodyIndent"/>
    <w:pPr>
      <w:spacing w:before="220" w:after="100"/>
      <w:ind w:firstLine="0"/>
    </w:pPr>
    <w:rPr>
      <w:b/>
    </w:rPr>
  </w:style>
  <w:style w:type="paragraph" w:customStyle="1" w:styleId="20Heading1">
    <w:name w:val="20 Heading 1"/>
    <w:basedOn w:val="08Body"/>
    <w:rPr>
      <w:b/>
      <w:sz w:val="24"/>
      <w:szCs w:val="24"/>
    </w:rPr>
  </w:style>
  <w:style w:type="paragraph" w:customStyle="1" w:styleId="22Heading3">
    <w:name w:val="22 Heading 3"/>
    <w:basedOn w:val="09BodyIndent"/>
    <w:pPr>
      <w:spacing w:before="200" w:after="80" w:line="220" w:lineRule="atLeast"/>
      <w:ind w:firstLine="0"/>
    </w:pPr>
    <w:rPr>
      <w:b/>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link w:val="TextodecomentrioChar1"/>
    <w:qFormat/>
    <w:pPr>
      <w:suppressAutoHyphens/>
      <w:spacing w:after="0" w:line="1" w:lineRule="atLeast"/>
      <w:ind w:leftChars="-1" w:left="-1" w:hangingChars="1" w:hanging="1"/>
      <w:textDirection w:val="btLr"/>
      <w:textAlignment w:val="top"/>
      <w:outlineLvl w:val="0"/>
    </w:pPr>
    <w:rPr>
      <w:position w:val="-1"/>
      <w:sz w:val="20"/>
      <w:szCs w:val="20"/>
    </w:rPr>
  </w:style>
  <w:style w:type="character" w:customStyle="1" w:styleId="TextodecomentrioChar">
    <w:name w:val="Texto de comentário Char"/>
    <w:rPr>
      <w:w w:val="100"/>
      <w:position w:val="-1"/>
      <w:effect w:val="none"/>
      <w:vertAlign w:val="baseline"/>
      <w:cs w:val="0"/>
      <w:em w:val="none"/>
    </w:rPr>
  </w:style>
  <w:style w:type="character" w:styleId="Forte">
    <w:name w:val="Strong"/>
    <w:rPr>
      <w:b/>
      <w:bCs/>
      <w:w w:val="100"/>
      <w:position w:val="-1"/>
      <w:effect w:val="none"/>
      <w:vertAlign w:val="baseline"/>
      <w:cs w:val="0"/>
      <w:em w:val="none"/>
    </w:rPr>
  </w:style>
  <w:style w:type="character" w:styleId="nfase">
    <w:name w:val="Emphasis"/>
    <w:uiPriority w:val="20"/>
    <w:qFormat/>
    <w:rPr>
      <w:i/>
      <w:iCs/>
      <w:w w:val="100"/>
      <w:position w:val="-1"/>
      <w:effect w:val="none"/>
      <w:vertAlign w:val="baseline"/>
      <w:cs w:val="0"/>
      <w:em w:val="none"/>
    </w:rPr>
  </w:style>
  <w:style w:type="paragraph" w:customStyle="1" w:styleId="figure">
    <w:name w:val="figure"/>
    <w:basedOn w:val="Normal"/>
    <w:pPr>
      <w:suppressAutoHyphens/>
      <w:spacing w:beforeLines="50" w:before="120" w:after="0" w:line="360" w:lineRule="auto"/>
      <w:ind w:leftChars="-1" w:left="-1" w:hangingChars="1" w:hanging="1"/>
      <w:jc w:val="center"/>
      <w:textDirection w:val="btLr"/>
      <w:textAlignment w:val="top"/>
      <w:outlineLvl w:val="0"/>
    </w:pPr>
    <w:rPr>
      <w:rFonts w:ascii="Times New Roman" w:hAnsi="Times New Roman"/>
      <w:position w:val="-1"/>
      <w:sz w:val="20"/>
      <w:szCs w:val="20"/>
    </w:rPr>
  </w:style>
  <w:style w:type="character" w:customStyle="1" w:styleId="figure0">
    <w:name w:val="figure 字元"/>
    <w:rPr>
      <w:rFonts w:ascii="Times New Roman" w:hAnsi="Times New Roman"/>
      <w:w w:val="100"/>
      <w:position w:val="-1"/>
      <w:effect w:val="none"/>
      <w:vertAlign w:val="baseline"/>
      <w:cs w:val="0"/>
      <w:em w:val="none"/>
    </w:rPr>
  </w:style>
  <w:style w:type="paragraph" w:styleId="Corpodetexto">
    <w:name w:val="Body Text"/>
    <w:pPr>
      <w:suppressAutoHyphens/>
      <w:spacing w:after="120" w:line="228" w:lineRule="auto"/>
      <w:ind w:leftChars="-1" w:left="-1" w:hangingChars="1" w:hanging="1"/>
      <w:jc w:val="both"/>
      <w:textDirection w:val="btLr"/>
      <w:textAlignment w:val="top"/>
      <w:outlineLvl w:val="0"/>
    </w:pPr>
    <w:rPr>
      <w:rFonts w:ascii="Times New Roman" w:eastAsia="ヒラギノ角ゴ Pro W3" w:hAnsi="Times New Roman"/>
      <w:color w:val="000000"/>
      <w:position w:val="-1"/>
      <w:lang w:val="en-US" w:eastAsia="zh-CN"/>
    </w:rPr>
  </w:style>
  <w:style w:type="paragraph" w:customStyle="1" w:styleId="18FigureCaptionSingleLine">
    <w:name w:val="18 Figure Caption Single Line"/>
    <w:basedOn w:val="19FigureMulti-LinesCaption"/>
    <w:next w:val="17Figure"/>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paragraph" w:styleId="Assuntodocomentrio">
    <w:name w:val="annotation subject"/>
    <w:basedOn w:val="Textodecomentrio"/>
    <w:next w:val="Textodecomentrio"/>
    <w:link w:val="AssuntodocomentrioChar"/>
    <w:uiPriority w:val="99"/>
    <w:semiHidden/>
    <w:unhideWhenUsed/>
    <w:rsid w:val="000D5058"/>
    <w:pPr>
      <w:suppressAutoHyphens w:val="0"/>
      <w:spacing w:after="360" w:line="240" w:lineRule="auto"/>
      <w:ind w:leftChars="0" w:left="0" w:firstLineChars="0" w:firstLine="0"/>
      <w:textDirection w:val="lrTb"/>
      <w:textAlignment w:val="auto"/>
      <w:outlineLvl w:val="9"/>
    </w:pPr>
    <w:rPr>
      <w:b/>
      <w:bCs/>
      <w:position w:val="0"/>
    </w:rPr>
  </w:style>
  <w:style w:type="character" w:customStyle="1" w:styleId="TextodecomentrioChar1">
    <w:name w:val="Texto de comentário Char1"/>
    <w:basedOn w:val="Fontepargpadro"/>
    <w:link w:val="Textodecomentrio"/>
    <w:rsid w:val="000D5058"/>
    <w:rPr>
      <w:position w:val="-1"/>
      <w:sz w:val="20"/>
      <w:szCs w:val="20"/>
    </w:rPr>
  </w:style>
  <w:style w:type="character" w:customStyle="1" w:styleId="AssuntodocomentrioChar">
    <w:name w:val="Assunto do comentário Char"/>
    <w:basedOn w:val="TextodecomentrioChar1"/>
    <w:link w:val="Assuntodocomentrio"/>
    <w:uiPriority w:val="99"/>
    <w:semiHidden/>
    <w:rsid w:val="000D5058"/>
    <w:rPr>
      <w:b/>
      <w:bCs/>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hdl.handle.net/10183/5294" TargetMode="Externa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8cZV0lxBUiO5nfHkU9ZVfI6DuA==">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9</Pages>
  <Words>3415</Words>
  <Characters>18445</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SciEP Productions</dc:creator>
  <cp:lastModifiedBy>Pedro Henrique Cruz de Souza</cp:lastModifiedBy>
  <cp:revision>22</cp:revision>
  <dcterms:created xsi:type="dcterms:W3CDTF">2025-06-05T18:44:00Z</dcterms:created>
  <dcterms:modified xsi:type="dcterms:W3CDTF">2025-08-10T23:46:00Z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GrammarlyDocumentId">
    <vt:lpwstr>7027fc3c-6735-4497-a51b-bfb4a343cca3</vt:lpwstr>
  </property>
</Properties>
</file>