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C81A7" w14:textId="502B3181" w:rsidR="00B571EF" w:rsidRPr="00925877" w:rsidRDefault="00B571EF" w:rsidP="009258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25877">
        <w:rPr>
          <w:rFonts w:ascii="Arial" w:eastAsia="Times New Roman" w:hAnsi="Arial" w:cs="Arial"/>
          <w:b/>
          <w:color w:val="000000"/>
          <w:sz w:val="24"/>
          <w:szCs w:val="24"/>
        </w:rPr>
        <w:t>IMPACTO DA PANDEMIA DO COVID-19 NA COBERTURA VACINAL NO MUNICÍPIO DE ITAPIPOCA</w:t>
      </w:r>
    </w:p>
    <w:p w14:paraId="045B7B73" w14:textId="77777777" w:rsidR="00B571EF" w:rsidRDefault="00B571EF" w:rsidP="00B571EF">
      <w:pPr>
        <w:pStyle w:val="Default"/>
      </w:pPr>
    </w:p>
    <w:p w14:paraId="33A7F745" w14:textId="6F097A6D" w:rsidR="004D0B63" w:rsidRPr="00B571EF" w:rsidRDefault="004D0B63" w:rsidP="004D0B63">
      <w:pPr>
        <w:pStyle w:val="Default"/>
        <w:jc w:val="right"/>
        <w:rPr>
          <w:sz w:val="20"/>
          <w:szCs w:val="20"/>
        </w:rPr>
      </w:pPr>
      <w:r w:rsidRPr="00B571EF">
        <w:rPr>
          <w:sz w:val="20"/>
          <w:szCs w:val="20"/>
        </w:rPr>
        <w:t>Isadora Menezes Gonçalves</w:t>
      </w:r>
      <w:r>
        <w:rPr>
          <w:sz w:val="20"/>
          <w:szCs w:val="20"/>
        </w:rPr>
        <w:t>¹</w:t>
      </w:r>
      <w:r w:rsidRPr="00B571EF">
        <w:rPr>
          <w:sz w:val="20"/>
          <w:szCs w:val="20"/>
        </w:rPr>
        <w:t xml:space="preserve"> </w:t>
      </w:r>
    </w:p>
    <w:p w14:paraId="147DA823" w14:textId="2416F470" w:rsidR="004D0B63" w:rsidRPr="004D0B63" w:rsidRDefault="00925877" w:rsidP="004D0B63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 w:rsidR="004D0B63" w:rsidRPr="00B571EF">
        <w:rPr>
          <w:sz w:val="20"/>
          <w:szCs w:val="20"/>
        </w:rPr>
        <w:t>Lucijane</w:t>
      </w:r>
      <w:proofErr w:type="spellEnd"/>
      <w:r w:rsidR="004D0B63" w:rsidRPr="00B571EF">
        <w:rPr>
          <w:sz w:val="20"/>
          <w:szCs w:val="20"/>
        </w:rPr>
        <w:t xml:space="preserve"> Vicente Ferreira</w:t>
      </w:r>
      <w:r w:rsidR="004D0B63">
        <w:rPr>
          <w:sz w:val="20"/>
          <w:szCs w:val="20"/>
        </w:rPr>
        <w:t>¹</w:t>
      </w:r>
      <w:r w:rsidR="00B571EF">
        <w:t xml:space="preserve"> </w:t>
      </w:r>
    </w:p>
    <w:p w14:paraId="449B9629" w14:textId="7E81E86E" w:rsidR="00B571EF" w:rsidRPr="00B571EF" w:rsidRDefault="00B571EF" w:rsidP="00B571EF">
      <w:pPr>
        <w:pStyle w:val="Default"/>
        <w:jc w:val="right"/>
        <w:rPr>
          <w:sz w:val="20"/>
          <w:szCs w:val="20"/>
        </w:rPr>
      </w:pPr>
      <w:proofErr w:type="spellStart"/>
      <w:r w:rsidRPr="00B571EF">
        <w:rPr>
          <w:sz w:val="20"/>
          <w:szCs w:val="20"/>
        </w:rPr>
        <w:t>Sammily</w:t>
      </w:r>
      <w:proofErr w:type="spellEnd"/>
      <w:r w:rsidRPr="00B571EF">
        <w:rPr>
          <w:sz w:val="20"/>
          <w:szCs w:val="20"/>
        </w:rPr>
        <w:t xml:space="preserve"> da Silva Freire</w:t>
      </w:r>
      <w:r w:rsidR="004D0B63">
        <w:rPr>
          <w:sz w:val="20"/>
          <w:szCs w:val="20"/>
        </w:rPr>
        <w:t>²</w:t>
      </w:r>
      <w:r w:rsidRPr="00B571EF">
        <w:rPr>
          <w:sz w:val="20"/>
          <w:szCs w:val="20"/>
        </w:rPr>
        <w:t xml:space="preserve"> </w:t>
      </w:r>
    </w:p>
    <w:p w14:paraId="1FDC8341" w14:textId="27CC045A" w:rsidR="00B571EF" w:rsidRPr="00B571EF" w:rsidRDefault="00B571EF" w:rsidP="00B571EF">
      <w:pPr>
        <w:pStyle w:val="Default"/>
        <w:jc w:val="right"/>
        <w:rPr>
          <w:sz w:val="20"/>
          <w:szCs w:val="20"/>
        </w:rPr>
      </w:pPr>
      <w:r w:rsidRPr="00B571EF">
        <w:rPr>
          <w:sz w:val="20"/>
          <w:szCs w:val="20"/>
        </w:rPr>
        <w:t>Luana Verena Luz Veras</w:t>
      </w:r>
      <w:r w:rsidR="004D0B63">
        <w:rPr>
          <w:sz w:val="20"/>
          <w:szCs w:val="20"/>
        </w:rPr>
        <w:t>²</w:t>
      </w:r>
      <w:r w:rsidRPr="00B571EF">
        <w:rPr>
          <w:sz w:val="20"/>
          <w:szCs w:val="20"/>
        </w:rPr>
        <w:t xml:space="preserve"> </w:t>
      </w:r>
    </w:p>
    <w:p w14:paraId="68C29803" w14:textId="48654E12" w:rsidR="004D0B63" w:rsidRPr="00B571EF" w:rsidRDefault="004D0B63" w:rsidP="00B571E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Renata Lina </w:t>
      </w:r>
      <w:r w:rsidR="00E74014">
        <w:rPr>
          <w:sz w:val="20"/>
          <w:szCs w:val="20"/>
        </w:rPr>
        <w:t xml:space="preserve">da C. </w:t>
      </w:r>
      <w:r>
        <w:rPr>
          <w:sz w:val="20"/>
          <w:szCs w:val="20"/>
        </w:rPr>
        <w:t>R</w:t>
      </w:r>
      <w:r w:rsidR="00E74014">
        <w:rPr>
          <w:sz w:val="20"/>
          <w:szCs w:val="20"/>
        </w:rPr>
        <w:t>a</w:t>
      </w:r>
      <w:r>
        <w:rPr>
          <w:sz w:val="20"/>
          <w:szCs w:val="20"/>
        </w:rPr>
        <w:t>vanor³</w:t>
      </w:r>
    </w:p>
    <w:p w14:paraId="6A12B5B6" w14:textId="77777777" w:rsidR="00B571EF" w:rsidRPr="00B571EF" w:rsidRDefault="00B571EF" w:rsidP="00B571EF">
      <w:pPr>
        <w:pStyle w:val="Default"/>
        <w:jc w:val="right"/>
        <w:rPr>
          <w:sz w:val="20"/>
          <w:szCs w:val="20"/>
        </w:rPr>
      </w:pPr>
    </w:p>
    <w:p w14:paraId="56199213" w14:textId="2CB39BDF" w:rsidR="00740989" w:rsidRPr="004D0B63" w:rsidRDefault="00B571EF" w:rsidP="00740989">
      <w:pPr>
        <w:pStyle w:val="Default"/>
        <w:jc w:val="right"/>
        <w:rPr>
          <w:sz w:val="20"/>
          <w:szCs w:val="20"/>
        </w:rPr>
      </w:pPr>
      <w:r w:rsidRPr="004D0B63">
        <w:rPr>
          <w:sz w:val="20"/>
          <w:szCs w:val="20"/>
        </w:rPr>
        <w:t>¹</w:t>
      </w:r>
      <w:r w:rsidR="00740989" w:rsidRPr="004D0B63">
        <w:rPr>
          <w:sz w:val="20"/>
          <w:szCs w:val="20"/>
        </w:rPr>
        <w:t xml:space="preserve"> </w:t>
      </w:r>
      <w:r w:rsidR="00740989" w:rsidRPr="004D0B63">
        <w:rPr>
          <w:sz w:val="20"/>
          <w:szCs w:val="20"/>
        </w:rPr>
        <w:t xml:space="preserve">Graduanda em Enfermagem da Faculdade </w:t>
      </w:r>
      <w:proofErr w:type="spellStart"/>
      <w:r w:rsidR="00740989" w:rsidRPr="004D0B63">
        <w:rPr>
          <w:sz w:val="20"/>
          <w:szCs w:val="20"/>
        </w:rPr>
        <w:t>Uninta</w:t>
      </w:r>
      <w:proofErr w:type="spellEnd"/>
      <w:r w:rsidR="00740989" w:rsidRPr="004D0B63">
        <w:rPr>
          <w:sz w:val="20"/>
          <w:szCs w:val="20"/>
        </w:rPr>
        <w:t xml:space="preserve"> Itapipoca (UNINTA). Membro do Grupo de Estudo em Práticas Avançadas e Tecnológicas em Enfermagem (GEPATE) e membro do Grupo de Estudo Multiprofissional de Imunologia (GEMI). Itapipoca, Ceará, Brasil. </w:t>
      </w:r>
    </w:p>
    <w:p w14:paraId="44505DAC" w14:textId="77777777" w:rsidR="00B571EF" w:rsidRPr="004D0B63" w:rsidRDefault="00B571EF" w:rsidP="00B571EF">
      <w:pPr>
        <w:pStyle w:val="Default"/>
        <w:jc w:val="right"/>
        <w:rPr>
          <w:sz w:val="20"/>
          <w:szCs w:val="20"/>
        </w:rPr>
      </w:pPr>
    </w:p>
    <w:p w14:paraId="669E3C0F" w14:textId="1BC9B982" w:rsidR="00B571EF" w:rsidRPr="004D0B63" w:rsidRDefault="00B571EF" w:rsidP="00740989">
      <w:pPr>
        <w:pStyle w:val="Default"/>
        <w:jc w:val="right"/>
        <w:rPr>
          <w:sz w:val="20"/>
          <w:szCs w:val="20"/>
        </w:rPr>
      </w:pPr>
      <w:r w:rsidRPr="004D0B63">
        <w:rPr>
          <w:sz w:val="20"/>
          <w:szCs w:val="20"/>
        </w:rPr>
        <w:t>²</w:t>
      </w:r>
      <w:r w:rsidR="00740989" w:rsidRPr="004D0B63">
        <w:rPr>
          <w:sz w:val="20"/>
          <w:szCs w:val="20"/>
        </w:rPr>
        <w:t xml:space="preserve"> </w:t>
      </w:r>
      <w:r w:rsidR="00740989" w:rsidRPr="004D0B63">
        <w:rPr>
          <w:sz w:val="20"/>
          <w:szCs w:val="20"/>
        </w:rPr>
        <w:t xml:space="preserve">Graduanda em Enfermagem da Faculdade </w:t>
      </w:r>
      <w:proofErr w:type="spellStart"/>
      <w:r w:rsidR="00740989" w:rsidRPr="004D0B63">
        <w:rPr>
          <w:sz w:val="20"/>
          <w:szCs w:val="20"/>
        </w:rPr>
        <w:t>Uninta</w:t>
      </w:r>
      <w:proofErr w:type="spellEnd"/>
      <w:r w:rsidR="00740989" w:rsidRPr="004D0B63">
        <w:rPr>
          <w:sz w:val="20"/>
          <w:szCs w:val="20"/>
        </w:rPr>
        <w:t xml:space="preserve"> Itapipoca (UNINTA). Membro do Grupo de Estudo e Pesquisa em Saúde da Criança (GEPSC) e membro do Grupo de Estudo Multiprofissional de Imunologia (GEMI). Itapipoca, Ceará, Brasil.</w:t>
      </w:r>
    </w:p>
    <w:p w14:paraId="1004F6EC" w14:textId="77777777" w:rsidR="00B571EF" w:rsidRPr="004D0B63" w:rsidRDefault="00B571EF" w:rsidP="00B571EF">
      <w:pPr>
        <w:pStyle w:val="Default"/>
        <w:jc w:val="right"/>
        <w:rPr>
          <w:sz w:val="20"/>
          <w:szCs w:val="20"/>
        </w:rPr>
      </w:pPr>
    </w:p>
    <w:p w14:paraId="1A3B2BC2" w14:textId="5818F2E5" w:rsidR="00B571EF" w:rsidRPr="004D0B63" w:rsidRDefault="00B571EF" w:rsidP="00B571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4D0B63">
        <w:rPr>
          <w:rFonts w:ascii="Arial" w:hAnsi="Arial" w:cs="Arial"/>
          <w:sz w:val="20"/>
          <w:szCs w:val="20"/>
        </w:rPr>
        <w:t>³</w:t>
      </w:r>
      <w:r w:rsidR="00925877">
        <w:rPr>
          <w:rFonts w:ascii="Arial" w:hAnsi="Arial" w:cs="Arial"/>
          <w:sz w:val="20"/>
          <w:szCs w:val="20"/>
        </w:rPr>
        <w:t xml:space="preserve">Docente da Faculdade </w:t>
      </w:r>
      <w:proofErr w:type="spellStart"/>
      <w:r w:rsidR="00925877">
        <w:rPr>
          <w:rFonts w:ascii="Arial" w:hAnsi="Arial" w:cs="Arial"/>
          <w:sz w:val="20"/>
          <w:szCs w:val="20"/>
        </w:rPr>
        <w:t>Uninta</w:t>
      </w:r>
      <w:proofErr w:type="spellEnd"/>
      <w:r w:rsidR="00925877">
        <w:rPr>
          <w:rFonts w:ascii="Arial" w:hAnsi="Arial" w:cs="Arial"/>
          <w:sz w:val="20"/>
          <w:szCs w:val="20"/>
        </w:rPr>
        <w:t xml:space="preserve"> Itapipoca (UNINTA). </w:t>
      </w:r>
      <w:r w:rsidRPr="004D0B63">
        <w:rPr>
          <w:rFonts w:ascii="Arial" w:hAnsi="Arial" w:cs="Arial"/>
          <w:sz w:val="20"/>
          <w:szCs w:val="20"/>
        </w:rPr>
        <w:t>Orientador</w:t>
      </w:r>
      <w:r w:rsidR="00925877">
        <w:rPr>
          <w:rFonts w:ascii="Arial" w:hAnsi="Arial" w:cs="Arial"/>
          <w:sz w:val="20"/>
          <w:szCs w:val="20"/>
        </w:rPr>
        <w:t>a</w:t>
      </w:r>
      <w:r w:rsidRPr="004D0B63">
        <w:rPr>
          <w:rFonts w:ascii="Arial" w:hAnsi="Arial" w:cs="Arial"/>
          <w:sz w:val="20"/>
          <w:szCs w:val="20"/>
        </w:rPr>
        <w:t xml:space="preserve"> </w:t>
      </w:r>
      <w:r w:rsidR="004D0B63" w:rsidRPr="004D0B63">
        <w:rPr>
          <w:rFonts w:ascii="Arial" w:hAnsi="Arial" w:cs="Arial"/>
          <w:sz w:val="20"/>
          <w:szCs w:val="20"/>
        </w:rPr>
        <w:t xml:space="preserve">do Grupo de </w:t>
      </w:r>
      <w:r w:rsidR="00740989" w:rsidRPr="004D0B63">
        <w:rPr>
          <w:rFonts w:ascii="Arial" w:hAnsi="Arial" w:cs="Arial"/>
          <w:sz w:val="20"/>
          <w:szCs w:val="20"/>
        </w:rPr>
        <w:t>Estudo Multiprofissional de Imunologia (GEMI).</w:t>
      </w:r>
      <w:r w:rsidRPr="004D0B6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D0B63">
        <w:rPr>
          <w:rFonts w:ascii="Arial" w:hAnsi="Arial" w:cs="Arial"/>
          <w:sz w:val="20"/>
          <w:szCs w:val="20"/>
        </w:rPr>
        <w:t>Itapipoca</w:t>
      </w:r>
      <w:proofErr w:type="gramEnd"/>
      <w:r w:rsidRPr="004D0B63">
        <w:rPr>
          <w:rFonts w:ascii="Arial" w:hAnsi="Arial" w:cs="Arial"/>
          <w:sz w:val="20"/>
          <w:szCs w:val="20"/>
        </w:rPr>
        <w:t>, Ceará. Brasil</w:t>
      </w:r>
      <w:r w:rsidRPr="004D0B63">
        <w:rPr>
          <w:rFonts w:ascii="Arial" w:hAnsi="Arial" w:cs="Arial"/>
          <w:sz w:val="20"/>
          <w:szCs w:val="20"/>
        </w:rPr>
        <w:t>.</w:t>
      </w:r>
    </w:p>
    <w:p w14:paraId="2ADC11F3" w14:textId="77777777" w:rsidR="00B571EF" w:rsidRPr="00B571EF" w:rsidRDefault="00B571EF" w:rsidP="00B571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4C04A842" w14:textId="04DA78C5" w:rsidR="00B571EF" w:rsidRPr="00B571EF" w:rsidRDefault="00B571EF" w:rsidP="00B571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D0B63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Pr="00B571E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 Programa Nacional de Imunização (PNI) do Brasil, apresenta-se como um grande avanço, desde a sua criação, na cobertura vacinal de imunobiológicos, no qual implementou um amplo calendário vacinal para toda a população em todos os ciclos de vida. Entretanto, nos últimos anos, principalmente em decorrência da pandemia da COVID-19, percebeu-se a hesitação por parte da população no processo de imunização. Desse modo, o impacto causado pela queda vacinal é preocupante</w:t>
      </w:r>
      <w:r w:rsidR="004D0B6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  <w:r w:rsidRPr="004D0B63"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 w:rsidRPr="00B571E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Avaliar a cobertura vacinal no município de Itapipoca-CE, durante o período de pandemia da COVID-19, e os impactos resultantes à saúde pública relacionados ao PNI.</w:t>
      </w:r>
      <w:r w:rsidR="004D0B6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D0B63">
        <w:rPr>
          <w:rFonts w:ascii="Arial" w:eastAsia="Times New Roman" w:hAnsi="Arial" w:cs="Arial"/>
          <w:b/>
          <w:color w:val="000000"/>
          <w:sz w:val="24"/>
          <w:szCs w:val="24"/>
        </w:rPr>
        <w:t>METODOLOGIA:</w:t>
      </w:r>
      <w:r w:rsidRPr="00B571E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Estudo epidemiológico de vigilância sanitária realizado em período pandêmico, no município de Itapipoca-CE. Apresentando dados secundários, obtidos no banco de dados do Departamento de Informática do Sistema Único de Saúde do Brasil (DATASUS), conforme a cobertura vacinal dos imunobiológicos, disponíveis pelo Sistema Único de Saúde (SUS) e presentes no calendário nacional de imunização da criança e do adolescente. Foram apresentados números absolutos e frequências relativas à cobertura vacinal e taxas brutas de abandono, suavizadas pela diferença entre a quantidade de D1 e quantidade de doses que finalizou o esquema vacinal, dividido pelo total de D1, multiplicados por 100.</w:t>
      </w:r>
      <w:r w:rsidR="004D0B6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D0B63"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 w:rsidRPr="00B571E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 pandemia da Covid-19 apresentou consequências visíveis de forma negativa no controle das doenças </w:t>
      </w:r>
      <w:proofErr w:type="spellStart"/>
      <w:r w:rsidRPr="00B571EF">
        <w:rPr>
          <w:rFonts w:ascii="Arial" w:eastAsia="Times New Roman" w:hAnsi="Arial" w:cs="Arial"/>
          <w:bCs/>
          <w:color w:val="000000"/>
          <w:sz w:val="24"/>
          <w:szCs w:val="24"/>
        </w:rPr>
        <w:t>imunopreveníveis</w:t>
      </w:r>
      <w:proofErr w:type="spellEnd"/>
      <w:r w:rsidRPr="00B571EF">
        <w:rPr>
          <w:rFonts w:ascii="Arial" w:eastAsia="Times New Roman" w:hAnsi="Arial" w:cs="Arial"/>
          <w:bCs/>
          <w:color w:val="000000"/>
          <w:sz w:val="24"/>
          <w:szCs w:val="24"/>
        </w:rPr>
        <w:t>. Se comparados os anos de 2017 a 2019 com os anos de 2020 a 2022, nota-se uma queda significativa nos índices da população vacinada, o que culminou para baixa na cobertura vacinal de 87% para 59%, respectivamente, na população. Dentre os imunizantes analisados, destacam-se as vacinas contra o HPV, a DTP, a tríplice viral e pneumocócica com taxas expressivas de abandono, com foco no imunizante da hepatite B que apresentou nos anos de 2017-2019 alcance de aproximadamente 50% das crianças que receberam a primeira dose completando o esquema vacinal, enquanto em 2020-</w:t>
      </w:r>
      <w:r w:rsidR="004D0B63" w:rsidRPr="00B571EF">
        <w:rPr>
          <w:rFonts w:ascii="Arial" w:eastAsia="Times New Roman" w:hAnsi="Arial" w:cs="Arial"/>
          <w:bCs/>
          <w:color w:val="000000"/>
          <w:sz w:val="24"/>
          <w:szCs w:val="24"/>
        </w:rPr>
        <w:t>2022, apenas</w:t>
      </w:r>
      <w:r w:rsidRPr="00B571E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7%, aproximadamente, receberam as três doses preconizadas </w:t>
      </w:r>
      <w:r w:rsidRPr="00B571EF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>pelo Ministério da Saúde, constituída no esquema básico vacinal. Visto que, as vacinas de rotinas foram interrompidas ou suspensas durante a pandemia houve rápido declínio nas taxas de cobertura de vacinação.</w:t>
      </w:r>
      <w:r w:rsidR="004D0B6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D0B63">
        <w:rPr>
          <w:rFonts w:ascii="Arial" w:eastAsia="Times New Roman" w:hAnsi="Arial" w:cs="Arial"/>
          <w:b/>
          <w:color w:val="000000"/>
          <w:sz w:val="24"/>
          <w:szCs w:val="24"/>
        </w:rPr>
        <w:t>CONCLUSÃO:</w:t>
      </w:r>
      <w:r w:rsidRPr="00B571E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 vacinação constitui um dos métodos mais eficazes de promoção e prevenção da saúde. Desta forma a não adesão e a queda na cobertura vacinal resulta em consequências preocupantes à saúde pública, uma vez que a diminuição da porcentagem populacional imunizada ocasiona risco de reaparecimento de doenças antes consideradas sob controle ou erradicadas. </w:t>
      </w:r>
    </w:p>
    <w:p w14:paraId="69B7D9D2" w14:textId="77777777" w:rsidR="00B571EF" w:rsidRDefault="00B571EF" w:rsidP="00B571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656E02C4" w14:textId="7CED9FAC" w:rsidR="004D0B63" w:rsidRDefault="004D0B63" w:rsidP="00B571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D0B63">
        <w:rPr>
          <w:rFonts w:ascii="Arial" w:eastAsia="Times New Roman" w:hAnsi="Arial" w:cs="Arial"/>
          <w:b/>
          <w:color w:val="000000"/>
          <w:sz w:val="24"/>
          <w:szCs w:val="24"/>
        </w:rPr>
        <w:t>Descritores: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Imunização; Cobertura vacinal; Vacinação; Saúde.</w:t>
      </w:r>
    </w:p>
    <w:p w14:paraId="616B541D" w14:textId="77777777" w:rsidR="004D0B63" w:rsidRPr="00B571EF" w:rsidRDefault="004D0B63" w:rsidP="00B571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4D2C3211" w14:textId="77777777" w:rsidR="00B571EF" w:rsidRPr="004D0B63" w:rsidRDefault="00B571EF" w:rsidP="00B571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D0B63">
        <w:rPr>
          <w:rFonts w:ascii="Arial" w:eastAsia="Times New Roman" w:hAnsi="Arial" w:cs="Arial"/>
          <w:b/>
          <w:color w:val="000000"/>
          <w:sz w:val="24"/>
          <w:szCs w:val="24"/>
        </w:rPr>
        <w:t>REFERÊNCIAS</w:t>
      </w:r>
    </w:p>
    <w:p w14:paraId="33899BC8" w14:textId="77777777" w:rsidR="00B571EF" w:rsidRPr="00B571EF" w:rsidRDefault="00B571EF" w:rsidP="00B571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412A06D2" w14:textId="77777777" w:rsidR="00B571EF" w:rsidRPr="00B571EF" w:rsidRDefault="00B571EF" w:rsidP="001E5C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B571E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PROCIANOY, G. S. et </w:t>
      </w:r>
      <w:proofErr w:type="gramStart"/>
      <w:r w:rsidRPr="00B571EF">
        <w:rPr>
          <w:rFonts w:ascii="Arial" w:eastAsia="Times New Roman" w:hAnsi="Arial" w:cs="Arial"/>
          <w:bCs/>
          <w:color w:val="000000"/>
          <w:sz w:val="24"/>
          <w:szCs w:val="24"/>
        </w:rPr>
        <w:t>al..</w:t>
      </w:r>
      <w:proofErr w:type="gramEnd"/>
      <w:r w:rsidRPr="00B571E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Impacto da pandemia do COVID-19 na vacinação de crianças de até um ano de idade: um estudo ecológico. </w:t>
      </w:r>
      <w:r w:rsidRPr="00D75CD3">
        <w:rPr>
          <w:rFonts w:ascii="Arial" w:eastAsia="Times New Roman" w:hAnsi="Arial" w:cs="Arial"/>
          <w:b/>
          <w:color w:val="000000"/>
          <w:sz w:val="24"/>
          <w:szCs w:val="24"/>
        </w:rPr>
        <w:t>Ciência &amp; Saúde Coletiva</w:t>
      </w:r>
      <w:r w:rsidRPr="00B571EF">
        <w:rPr>
          <w:rFonts w:ascii="Arial" w:eastAsia="Times New Roman" w:hAnsi="Arial" w:cs="Arial"/>
          <w:bCs/>
          <w:color w:val="000000"/>
          <w:sz w:val="24"/>
          <w:szCs w:val="24"/>
        </w:rPr>
        <w:t>, v. 27, n. Ciênc. saúde coletiva, 2022 27(3), p. 969–978, mar. 2022.</w:t>
      </w:r>
    </w:p>
    <w:p w14:paraId="045484DA" w14:textId="77777777" w:rsidR="00B571EF" w:rsidRPr="00B571EF" w:rsidRDefault="00B571EF" w:rsidP="001E5C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39795B83" w14:textId="77777777" w:rsidR="00B571EF" w:rsidRPr="00B571EF" w:rsidRDefault="00B571EF" w:rsidP="001E5C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B571E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SILVA, T. P. R. </w:t>
      </w:r>
      <w:proofErr w:type="gramStart"/>
      <w:r w:rsidRPr="00B571EF">
        <w:rPr>
          <w:rFonts w:ascii="Arial" w:eastAsia="Times New Roman" w:hAnsi="Arial" w:cs="Arial"/>
          <w:bCs/>
          <w:color w:val="000000"/>
          <w:sz w:val="24"/>
          <w:szCs w:val="24"/>
        </w:rPr>
        <w:t>DA .</w:t>
      </w:r>
      <w:proofErr w:type="gramEnd"/>
      <w:r w:rsidRPr="00B571E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et </w:t>
      </w:r>
      <w:proofErr w:type="gramStart"/>
      <w:r w:rsidRPr="00B571EF">
        <w:rPr>
          <w:rFonts w:ascii="Arial" w:eastAsia="Times New Roman" w:hAnsi="Arial" w:cs="Arial"/>
          <w:bCs/>
          <w:color w:val="000000"/>
          <w:sz w:val="24"/>
          <w:szCs w:val="24"/>
        </w:rPr>
        <w:t>al..</w:t>
      </w:r>
      <w:proofErr w:type="gramEnd"/>
      <w:r w:rsidRPr="00B571E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Classificação de risco para transmissão de doenças </w:t>
      </w:r>
      <w:proofErr w:type="spellStart"/>
      <w:r w:rsidRPr="00B571EF">
        <w:rPr>
          <w:rFonts w:ascii="Arial" w:eastAsia="Times New Roman" w:hAnsi="Arial" w:cs="Arial"/>
          <w:bCs/>
          <w:color w:val="000000"/>
          <w:sz w:val="24"/>
          <w:szCs w:val="24"/>
        </w:rPr>
        <w:t>imunopreveníveis</w:t>
      </w:r>
      <w:proofErr w:type="spellEnd"/>
      <w:r w:rsidRPr="00B571E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em Minas Gerais, Brasil: dois anos desde o início da pandemia de COVID-19. Ciência &amp; Saúde Coletiva, v. 28, n. </w:t>
      </w:r>
      <w:r w:rsidRPr="00D75CD3">
        <w:rPr>
          <w:rFonts w:ascii="Arial" w:eastAsia="Times New Roman" w:hAnsi="Arial" w:cs="Arial"/>
          <w:b/>
          <w:color w:val="000000"/>
          <w:sz w:val="24"/>
          <w:szCs w:val="24"/>
        </w:rPr>
        <w:t>Ciênc. saúde coletiva</w:t>
      </w:r>
      <w:r w:rsidRPr="00B571EF">
        <w:rPr>
          <w:rFonts w:ascii="Arial" w:eastAsia="Times New Roman" w:hAnsi="Arial" w:cs="Arial"/>
          <w:bCs/>
          <w:color w:val="000000"/>
          <w:sz w:val="24"/>
          <w:szCs w:val="24"/>
        </w:rPr>
        <w:t>, 2023 28(3), p. 699–710, mar. 2023.</w:t>
      </w:r>
    </w:p>
    <w:p w14:paraId="7FB892E4" w14:textId="77777777" w:rsidR="00B571EF" w:rsidRPr="00B571EF" w:rsidRDefault="00B571EF" w:rsidP="001E5C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62BB9CE4" w14:textId="66E84104" w:rsidR="0089087E" w:rsidRPr="00B571EF" w:rsidRDefault="00B571EF" w:rsidP="001E5C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B571E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SATO, A. P. </w:t>
      </w:r>
      <w:proofErr w:type="gramStart"/>
      <w:r w:rsidRPr="00B571EF">
        <w:rPr>
          <w:rFonts w:ascii="Arial" w:eastAsia="Times New Roman" w:hAnsi="Arial" w:cs="Arial"/>
          <w:bCs/>
          <w:color w:val="000000"/>
          <w:sz w:val="24"/>
          <w:szCs w:val="24"/>
        </w:rPr>
        <w:t>S..</w:t>
      </w:r>
      <w:proofErr w:type="gramEnd"/>
      <w:r w:rsidRPr="00B571E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B571EF">
        <w:rPr>
          <w:rFonts w:ascii="Arial" w:eastAsia="Times New Roman" w:hAnsi="Arial" w:cs="Arial"/>
          <w:bCs/>
          <w:color w:val="000000"/>
          <w:sz w:val="24"/>
          <w:szCs w:val="24"/>
        </w:rPr>
        <w:t>National</w:t>
      </w:r>
      <w:proofErr w:type="spellEnd"/>
      <w:r w:rsidRPr="00B571E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B571EF">
        <w:rPr>
          <w:rFonts w:ascii="Arial" w:eastAsia="Times New Roman" w:hAnsi="Arial" w:cs="Arial"/>
          <w:bCs/>
          <w:color w:val="000000"/>
          <w:sz w:val="24"/>
          <w:szCs w:val="24"/>
        </w:rPr>
        <w:t>Immunization</w:t>
      </w:r>
      <w:proofErr w:type="spellEnd"/>
      <w:r w:rsidRPr="00B571E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B571EF">
        <w:rPr>
          <w:rFonts w:ascii="Arial" w:eastAsia="Times New Roman" w:hAnsi="Arial" w:cs="Arial"/>
          <w:bCs/>
          <w:color w:val="000000"/>
          <w:sz w:val="24"/>
          <w:szCs w:val="24"/>
        </w:rPr>
        <w:t>Program</w:t>
      </w:r>
      <w:proofErr w:type="spellEnd"/>
      <w:r w:rsidRPr="00B571E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 </w:t>
      </w:r>
      <w:proofErr w:type="spellStart"/>
      <w:r w:rsidRPr="00B571EF">
        <w:rPr>
          <w:rFonts w:ascii="Arial" w:eastAsia="Times New Roman" w:hAnsi="Arial" w:cs="Arial"/>
          <w:bCs/>
          <w:color w:val="000000"/>
          <w:sz w:val="24"/>
          <w:szCs w:val="24"/>
        </w:rPr>
        <w:t>Computerized</w:t>
      </w:r>
      <w:proofErr w:type="spellEnd"/>
      <w:r w:rsidRPr="00B571E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System as a tool for new </w:t>
      </w:r>
      <w:proofErr w:type="spellStart"/>
      <w:r w:rsidRPr="00B571EF">
        <w:rPr>
          <w:rFonts w:ascii="Arial" w:eastAsia="Times New Roman" w:hAnsi="Arial" w:cs="Arial"/>
          <w:bCs/>
          <w:color w:val="000000"/>
          <w:sz w:val="24"/>
          <w:szCs w:val="24"/>
        </w:rPr>
        <w:t>challenges</w:t>
      </w:r>
      <w:proofErr w:type="spellEnd"/>
      <w:r w:rsidRPr="00B571E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  <w:r w:rsidRPr="001E5CEC">
        <w:rPr>
          <w:rFonts w:ascii="Arial" w:eastAsia="Times New Roman" w:hAnsi="Arial" w:cs="Arial"/>
          <w:b/>
          <w:color w:val="000000"/>
          <w:sz w:val="24"/>
          <w:szCs w:val="24"/>
        </w:rPr>
        <w:t>Revista de Saúde Pública</w:t>
      </w:r>
      <w:r w:rsidRPr="00B571EF">
        <w:rPr>
          <w:rFonts w:ascii="Arial" w:eastAsia="Times New Roman" w:hAnsi="Arial" w:cs="Arial"/>
          <w:bCs/>
          <w:color w:val="000000"/>
          <w:sz w:val="24"/>
          <w:szCs w:val="24"/>
        </w:rPr>
        <w:t>, v. 49, n. Rev. Saúde Pública, 2015 49, 2015.</w:t>
      </w:r>
    </w:p>
    <w:sectPr w:rsidR="0089087E" w:rsidRPr="00B571EF" w:rsidSect="00211EE2">
      <w:headerReference w:type="default" r:id="rId7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F561A" w14:textId="77777777" w:rsidR="00335732" w:rsidRDefault="00335732" w:rsidP="006853BB">
      <w:pPr>
        <w:spacing w:after="0" w:line="240" w:lineRule="auto"/>
      </w:pPr>
      <w:r>
        <w:separator/>
      </w:r>
    </w:p>
  </w:endnote>
  <w:endnote w:type="continuationSeparator" w:id="0">
    <w:p w14:paraId="58D65949" w14:textId="77777777" w:rsidR="00335732" w:rsidRDefault="00335732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F7FC4" w14:textId="77777777" w:rsidR="00335732" w:rsidRDefault="00335732" w:rsidP="006853BB">
      <w:pPr>
        <w:spacing w:after="0" w:line="240" w:lineRule="auto"/>
      </w:pPr>
      <w:r>
        <w:separator/>
      </w:r>
    </w:p>
  </w:footnote>
  <w:footnote w:type="continuationSeparator" w:id="0">
    <w:p w14:paraId="6411FFA8" w14:textId="77777777" w:rsidR="00335732" w:rsidRDefault="00335732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39AA" w14:textId="77777777" w:rsidR="00AF0F0F" w:rsidRDefault="000C3D5D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AA836C1" wp14:editId="42494D8D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260" cy="10667365"/>
          <wp:effectExtent l="0" t="0" r="0" b="0"/>
          <wp:wrapNone/>
          <wp:docPr id="1" name="Imagem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66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BB"/>
    <w:rsid w:val="0000075E"/>
    <w:rsid w:val="00065EAD"/>
    <w:rsid w:val="00096961"/>
    <w:rsid w:val="000C3D5D"/>
    <w:rsid w:val="000E757C"/>
    <w:rsid w:val="000E77EB"/>
    <w:rsid w:val="000F7066"/>
    <w:rsid w:val="00143117"/>
    <w:rsid w:val="001D28BC"/>
    <w:rsid w:val="001E5CEC"/>
    <w:rsid w:val="001F4B7F"/>
    <w:rsid w:val="00211EE2"/>
    <w:rsid w:val="00287953"/>
    <w:rsid w:val="002B3914"/>
    <w:rsid w:val="002C49BB"/>
    <w:rsid w:val="0031484E"/>
    <w:rsid w:val="00315BFF"/>
    <w:rsid w:val="00335732"/>
    <w:rsid w:val="003523C1"/>
    <w:rsid w:val="00370D30"/>
    <w:rsid w:val="003E4BF5"/>
    <w:rsid w:val="00476044"/>
    <w:rsid w:val="004865C8"/>
    <w:rsid w:val="004A6AA6"/>
    <w:rsid w:val="004D0B63"/>
    <w:rsid w:val="00502D9D"/>
    <w:rsid w:val="0052131F"/>
    <w:rsid w:val="00534744"/>
    <w:rsid w:val="005453FF"/>
    <w:rsid w:val="00597AED"/>
    <w:rsid w:val="005B1112"/>
    <w:rsid w:val="005E00AA"/>
    <w:rsid w:val="005E17B8"/>
    <w:rsid w:val="005E32F3"/>
    <w:rsid w:val="006065E6"/>
    <w:rsid w:val="006853BB"/>
    <w:rsid w:val="006A07D2"/>
    <w:rsid w:val="006E36B9"/>
    <w:rsid w:val="00740989"/>
    <w:rsid w:val="007E2219"/>
    <w:rsid w:val="00803A5C"/>
    <w:rsid w:val="00806447"/>
    <w:rsid w:val="0089087E"/>
    <w:rsid w:val="0089163C"/>
    <w:rsid w:val="008A32E7"/>
    <w:rsid w:val="008B06B7"/>
    <w:rsid w:val="008F02C2"/>
    <w:rsid w:val="00925877"/>
    <w:rsid w:val="00926658"/>
    <w:rsid w:val="00957B6B"/>
    <w:rsid w:val="00964993"/>
    <w:rsid w:val="00A34333"/>
    <w:rsid w:val="00AB1579"/>
    <w:rsid w:val="00AC277F"/>
    <w:rsid w:val="00AF0F0F"/>
    <w:rsid w:val="00B57076"/>
    <w:rsid w:val="00B571EF"/>
    <w:rsid w:val="00B600C1"/>
    <w:rsid w:val="00B71BD7"/>
    <w:rsid w:val="00BB20D8"/>
    <w:rsid w:val="00BE0E3C"/>
    <w:rsid w:val="00C378A6"/>
    <w:rsid w:val="00CB1B25"/>
    <w:rsid w:val="00CF07C5"/>
    <w:rsid w:val="00D57075"/>
    <w:rsid w:val="00D62FD7"/>
    <w:rsid w:val="00D75CD3"/>
    <w:rsid w:val="00DF46EE"/>
    <w:rsid w:val="00E250A0"/>
    <w:rsid w:val="00E32852"/>
    <w:rsid w:val="00E46875"/>
    <w:rsid w:val="00E4744A"/>
    <w:rsid w:val="00E74014"/>
    <w:rsid w:val="00E846CA"/>
    <w:rsid w:val="00E92155"/>
    <w:rsid w:val="00EB1CB6"/>
    <w:rsid w:val="00EC6C9D"/>
    <w:rsid w:val="00ED116C"/>
    <w:rsid w:val="00F62B6C"/>
    <w:rsid w:val="00F75691"/>
    <w:rsid w:val="00F8323D"/>
    <w:rsid w:val="00FA543F"/>
    <w:rsid w:val="00FE1AFA"/>
    <w:rsid w:val="00FE1C72"/>
    <w:rsid w:val="00FE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D7E25"/>
  <w15:chartTrackingRefBased/>
  <w15:docId w15:val="{4CE6CC84-3927-0E46-B898-E7935E88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pPr>
      <w:spacing w:after="160" w:line="259" w:lineRule="auto"/>
    </w:pPr>
    <w:rPr>
      <w:rFonts w:cs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B571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2FFA9-CBE1-4A46-B022-859F4CF4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666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cp:lastModifiedBy>Isabel Menezes</cp:lastModifiedBy>
  <cp:revision>2</cp:revision>
  <dcterms:created xsi:type="dcterms:W3CDTF">2023-04-10T23:05:00Z</dcterms:created>
  <dcterms:modified xsi:type="dcterms:W3CDTF">2023-04-10T23:05:00Z</dcterms:modified>
</cp:coreProperties>
</file>