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50F12" w14:textId="77777777" w:rsidR="00686410" w:rsidRDefault="00686410" w:rsidP="003C46D8">
      <w:pPr>
        <w:autoSpaceDE w:val="0"/>
        <w:autoSpaceDN w:val="0"/>
        <w:spacing w:before="25" w:after="25" w:line="240" w:lineRule="auto"/>
        <w:ind w:left="720" w:right="720"/>
        <w:jc w:val="center"/>
        <w:rPr>
          <w:rFonts w:ascii="Times New Roman" w:eastAsia="Times New Roman" w:hAnsi="Times New Roman"/>
          <w:color w:val="000000"/>
          <w:sz w:val="24"/>
        </w:rPr>
      </w:pPr>
    </w:p>
    <w:p w14:paraId="249E2C20" w14:textId="77777777" w:rsidR="00343B69" w:rsidRDefault="00343B69" w:rsidP="00343B6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CONSIDERAÇÕES SISTEMICAS E ODONTOLÓGICAS NA SÍNDROME DE CORNÉLIA DE LANGE: RELATO DE CASO</w:t>
      </w:r>
    </w:p>
    <w:p w14:paraId="7B46139E" w14:textId="77777777" w:rsidR="003C46D8" w:rsidRDefault="003C46D8" w:rsidP="003C46D8">
      <w:pPr>
        <w:autoSpaceDE w:val="0"/>
        <w:autoSpaceDN w:val="0"/>
        <w:spacing w:before="25" w:after="25" w:line="240" w:lineRule="auto"/>
        <w:ind w:left="720" w:right="720"/>
        <w:jc w:val="center"/>
      </w:pPr>
    </w:p>
    <w:p w14:paraId="21A8A303" w14:textId="59A43F1C" w:rsidR="003C46D8" w:rsidRDefault="00343B69" w:rsidP="003C46D8">
      <w:pPr>
        <w:autoSpaceDE w:val="0"/>
        <w:autoSpaceDN w:val="0"/>
        <w:spacing w:before="26" w:after="26" w:line="360" w:lineRule="auto"/>
        <w:ind w:left="720" w:right="720"/>
        <w:jc w:val="right"/>
        <w:rPr>
          <w:rFonts w:ascii="Arial" w:eastAsia="Arial" w:hAnsi="Arial"/>
          <w:color w:val="000000"/>
          <w:sz w:val="10"/>
        </w:rPr>
      </w:pPr>
      <w:r w:rsidRPr="00343B69">
        <w:rPr>
          <w:rFonts w:ascii="Times New Roman" w:eastAsia="Times New Roman,Bold" w:hAnsi="Times New Roman" w:cs="Times New Roman"/>
          <w:b/>
          <w:color w:val="000000"/>
          <w:sz w:val="24"/>
        </w:rPr>
        <w:t>Isabela Mendonça Silva</w:t>
      </w:r>
      <w:r w:rsidR="00AE613E">
        <w:rPr>
          <w:rFonts w:ascii="Times New Roman" w:eastAsia="Times New Roman,Bold" w:hAnsi="Times New Roman" w:cs="Times New Roman"/>
          <w:b/>
          <w:color w:val="000000"/>
          <w:sz w:val="24"/>
          <w:vertAlign w:val="superscript"/>
        </w:rPr>
        <w:t>1</w:t>
      </w:r>
      <w:r w:rsidR="003D59CA" w:rsidRPr="00343B69">
        <w:rPr>
          <w:rFonts w:ascii="Times New Roman" w:eastAsia="Times New Roman,Bold" w:hAnsi="Times New Roman" w:cs="Times New Roman"/>
          <w:b/>
          <w:color w:val="000000"/>
          <w:sz w:val="24"/>
        </w:rPr>
        <w:t xml:space="preserve">; </w:t>
      </w:r>
      <w:r w:rsidRPr="00343B69">
        <w:rPr>
          <w:rFonts w:ascii="Times New Roman" w:eastAsia="Times New Roman,Bold" w:hAnsi="Times New Roman" w:cs="Times New Roman"/>
          <w:b/>
          <w:color w:val="000000"/>
          <w:sz w:val="24"/>
        </w:rPr>
        <w:t>Gustavo Yudi Sakamoto</w:t>
      </w:r>
      <w:r w:rsidR="0043127F">
        <w:rPr>
          <w:rFonts w:ascii="Times New Roman" w:eastAsia="Times New Roman,Bold" w:hAnsi="Times New Roman" w:cs="Times New Roman"/>
          <w:b/>
          <w:color w:val="000000"/>
          <w:sz w:val="24"/>
          <w:vertAlign w:val="superscript"/>
        </w:rPr>
        <w:t>2</w:t>
      </w:r>
      <w:r w:rsidRPr="00343B69">
        <w:rPr>
          <w:rFonts w:ascii="Times New Roman" w:eastAsia="Times New Roman,Bold" w:hAnsi="Times New Roman" w:cs="Times New Roman"/>
          <w:b/>
          <w:color w:val="000000"/>
          <w:sz w:val="24"/>
        </w:rPr>
        <w:t xml:space="preserve">; </w:t>
      </w:r>
      <w:r w:rsidR="0043127F" w:rsidRPr="00343B69">
        <w:rPr>
          <w:rFonts w:ascii="Times New Roman" w:eastAsia="Times New Roman,Bold" w:hAnsi="Times New Roman" w:cs="Times New Roman"/>
          <w:b/>
          <w:color w:val="000000"/>
          <w:sz w:val="24"/>
        </w:rPr>
        <w:t>Grace Anne</w:t>
      </w:r>
      <w:r w:rsidR="00036F77">
        <w:rPr>
          <w:rFonts w:ascii="Times New Roman" w:eastAsia="Times New Roman,Bold" w:hAnsi="Times New Roman" w:cs="Times New Roman"/>
          <w:b/>
          <w:color w:val="000000"/>
          <w:sz w:val="24"/>
        </w:rPr>
        <w:t xml:space="preserve"> Roman</w:t>
      </w:r>
      <w:r w:rsidR="0043127F" w:rsidRPr="00343B69">
        <w:rPr>
          <w:rFonts w:ascii="Times New Roman" w:eastAsia="Times New Roman,Bold" w:hAnsi="Times New Roman" w:cs="Times New Roman"/>
          <w:b/>
          <w:color w:val="000000"/>
          <w:sz w:val="24"/>
        </w:rPr>
        <w:t xml:space="preserve"> Garcia</w:t>
      </w:r>
      <w:r w:rsidR="004948FA">
        <w:rPr>
          <w:rFonts w:ascii="Times New Roman" w:eastAsia="Times New Roman,Bold" w:hAnsi="Times New Roman" w:cs="Times New Roman"/>
          <w:b/>
          <w:color w:val="000000"/>
          <w:sz w:val="24"/>
          <w:vertAlign w:val="superscript"/>
        </w:rPr>
        <w:t>3</w:t>
      </w:r>
      <w:r w:rsidR="0043127F" w:rsidRPr="00343B69">
        <w:rPr>
          <w:rFonts w:ascii="Times New Roman" w:eastAsia="Times New Roman,Bold" w:hAnsi="Times New Roman" w:cs="Times New Roman"/>
          <w:b/>
          <w:color w:val="000000"/>
          <w:sz w:val="24"/>
        </w:rPr>
        <w:t xml:space="preserve">; </w:t>
      </w:r>
      <w:r w:rsidRPr="00343B69">
        <w:rPr>
          <w:rFonts w:ascii="Times New Roman" w:hAnsi="Times New Roman" w:cs="Times New Roman"/>
          <w:b/>
          <w:sz w:val="24"/>
          <w:szCs w:val="24"/>
        </w:rPr>
        <w:t>Cristhiane Olívia Ferreira do Amaral</w:t>
      </w:r>
      <w:r w:rsidR="00AE613E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="003D59CA">
        <w:rPr>
          <w:rFonts w:ascii="Arial" w:eastAsia="Arial" w:hAnsi="Arial"/>
          <w:color w:val="000000"/>
          <w:sz w:val="10"/>
        </w:rPr>
        <w:t xml:space="preserve"> </w:t>
      </w:r>
    </w:p>
    <w:p w14:paraId="1B0A8123" w14:textId="2EC27197" w:rsidR="00343B69" w:rsidRDefault="00AE613E" w:rsidP="00AE613E">
      <w:pPr>
        <w:autoSpaceDE w:val="0"/>
        <w:autoSpaceDN w:val="0"/>
        <w:spacing w:before="26" w:after="26" w:line="360" w:lineRule="auto"/>
        <w:ind w:left="720" w:right="720"/>
        <w:jc w:val="right"/>
        <w:rPr>
          <w:rFonts w:ascii="Times New Roman" w:eastAsia="Times New Roman" w:hAnsi="Times New Roman"/>
          <w:color w:val="000000"/>
          <w:sz w:val="24"/>
        </w:rPr>
      </w:pPr>
      <w:r>
        <w:rPr>
          <w:rFonts w:ascii="Arial" w:eastAsia="Arial" w:hAnsi="Arial"/>
          <w:color w:val="000000"/>
          <w:sz w:val="10"/>
        </w:rPr>
        <w:t>1</w:t>
      </w:r>
      <w:r w:rsidR="00343B69">
        <w:rPr>
          <w:rFonts w:ascii="Times New Roman" w:eastAsia="Times New Roman" w:hAnsi="Times New Roman"/>
          <w:color w:val="000000"/>
          <w:sz w:val="24"/>
        </w:rPr>
        <w:t>Estudante</w:t>
      </w:r>
      <w:r w:rsidR="003D59CA">
        <w:rPr>
          <w:rFonts w:ascii="Times New Roman" w:eastAsia="Times New Roman" w:hAnsi="Times New Roman"/>
          <w:color w:val="000000"/>
          <w:sz w:val="24"/>
        </w:rPr>
        <w:t xml:space="preserve">, </w:t>
      </w:r>
      <w:r w:rsidR="00343B69">
        <w:rPr>
          <w:rFonts w:ascii="Times New Roman" w:eastAsia="Times New Roman" w:hAnsi="Times New Roman"/>
          <w:color w:val="000000"/>
          <w:sz w:val="24"/>
        </w:rPr>
        <w:t>Graduand</w:t>
      </w:r>
      <w:r w:rsidR="00EE0649">
        <w:rPr>
          <w:rFonts w:ascii="Times New Roman" w:eastAsia="Times New Roman" w:hAnsi="Times New Roman"/>
          <w:color w:val="000000"/>
          <w:sz w:val="24"/>
        </w:rPr>
        <w:t>a</w:t>
      </w:r>
      <w:r w:rsidR="00343B69">
        <w:rPr>
          <w:rFonts w:ascii="Times New Roman" w:eastAsia="Times New Roman" w:hAnsi="Times New Roman"/>
          <w:color w:val="000000"/>
          <w:sz w:val="24"/>
        </w:rPr>
        <w:t xml:space="preserve"> em odontologia, Universidade do Oeste Paulista</w:t>
      </w:r>
      <w:r w:rsidR="003D59CA">
        <w:rPr>
          <w:rFonts w:ascii="Times New Roman" w:eastAsia="Times New Roman" w:hAnsi="Times New Roman"/>
          <w:color w:val="000000"/>
          <w:sz w:val="24"/>
        </w:rPr>
        <w:t xml:space="preserve"> (</w:t>
      </w:r>
      <w:r w:rsidR="00343B69">
        <w:rPr>
          <w:rFonts w:ascii="Times New Roman" w:eastAsia="Times New Roman" w:hAnsi="Times New Roman"/>
          <w:color w:val="000000"/>
          <w:sz w:val="24"/>
        </w:rPr>
        <w:t>UNOESTE)</w:t>
      </w:r>
      <w:r w:rsidR="003D59CA">
        <w:rPr>
          <w:rFonts w:ascii="Times New Roman" w:eastAsia="Times New Roman" w:hAnsi="Times New Roman"/>
          <w:color w:val="000000"/>
          <w:sz w:val="24"/>
        </w:rPr>
        <w:t>,</w:t>
      </w:r>
      <w:r w:rsidR="00343B69">
        <w:rPr>
          <w:rFonts w:ascii="Times New Roman" w:eastAsia="Times New Roman" w:hAnsi="Times New Roman"/>
          <w:color w:val="000000"/>
          <w:sz w:val="24"/>
        </w:rPr>
        <w:t>Presidente Prudente</w:t>
      </w:r>
      <w:r w:rsidR="003D59CA">
        <w:rPr>
          <w:rFonts w:ascii="Times New Roman" w:eastAsia="Times New Roman" w:hAnsi="Times New Roman"/>
          <w:color w:val="000000"/>
          <w:sz w:val="24"/>
        </w:rPr>
        <w:t xml:space="preserve">, </w:t>
      </w:r>
      <w:r w:rsidR="00343B69">
        <w:rPr>
          <w:rFonts w:ascii="Times New Roman" w:eastAsia="Times New Roman" w:hAnsi="Times New Roman"/>
          <w:color w:val="000000"/>
          <w:sz w:val="24"/>
        </w:rPr>
        <w:t>SP</w:t>
      </w:r>
      <w:r w:rsidR="003D59CA">
        <w:rPr>
          <w:rFonts w:ascii="Times New Roman" w:eastAsia="Times New Roman" w:hAnsi="Times New Roman"/>
          <w:color w:val="000000"/>
          <w:sz w:val="24"/>
        </w:rPr>
        <w:t>.</w:t>
      </w:r>
    </w:p>
    <w:p w14:paraId="44C0B487" w14:textId="4151D153" w:rsidR="0043127F" w:rsidRDefault="0043127F" w:rsidP="0043127F">
      <w:pPr>
        <w:autoSpaceDE w:val="0"/>
        <w:autoSpaceDN w:val="0"/>
        <w:spacing w:before="26" w:after="26" w:line="360" w:lineRule="auto"/>
        <w:ind w:left="720" w:right="720"/>
        <w:jc w:val="right"/>
        <w:rPr>
          <w:rFonts w:ascii="Times New Roman" w:eastAsia="Times New Roman" w:hAnsi="Times New Roman"/>
          <w:color w:val="000000"/>
          <w:sz w:val="24"/>
        </w:rPr>
      </w:pPr>
      <w:r>
        <w:rPr>
          <w:rFonts w:ascii="Arial" w:eastAsia="Arial" w:hAnsi="Arial"/>
          <w:color w:val="000000"/>
          <w:sz w:val="10"/>
        </w:rPr>
        <w:t>2</w:t>
      </w:r>
      <w:r>
        <w:rPr>
          <w:rFonts w:ascii="Times New Roman" w:eastAsia="Times New Roman" w:hAnsi="Times New Roman"/>
          <w:color w:val="000000"/>
          <w:sz w:val="24"/>
        </w:rPr>
        <w:t>Estudante, Graduando em odontologia, Universidade do Oeste Paulista (UNOESTE),Presidente Prudente, SP.</w:t>
      </w:r>
    </w:p>
    <w:p w14:paraId="35F778C7" w14:textId="7A3D6D21" w:rsidR="00AE613E" w:rsidRDefault="004948FA" w:rsidP="00AE613E">
      <w:pPr>
        <w:autoSpaceDE w:val="0"/>
        <w:autoSpaceDN w:val="0"/>
        <w:spacing w:before="26" w:after="26" w:line="360" w:lineRule="auto"/>
        <w:ind w:left="720" w:right="720"/>
        <w:jc w:val="right"/>
        <w:rPr>
          <w:rFonts w:ascii="Times New Roman" w:eastAsia="Times New Roman" w:hAnsi="Times New Roman"/>
          <w:color w:val="000000"/>
          <w:sz w:val="24"/>
        </w:rPr>
      </w:pPr>
      <w:r>
        <w:rPr>
          <w:rFonts w:ascii="Arial" w:eastAsia="Arial" w:hAnsi="Arial"/>
          <w:color w:val="000000"/>
          <w:sz w:val="10"/>
        </w:rPr>
        <w:t>3</w:t>
      </w:r>
      <w:r w:rsidR="003D59CA">
        <w:rPr>
          <w:rFonts w:ascii="Arial" w:eastAsia="Arial" w:hAnsi="Arial"/>
          <w:color w:val="000000"/>
          <w:sz w:val="10"/>
        </w:rPr>
        <w:t xml:space="preserve"> </w:t>
      </w:r>
      <w:r w:rsidR="00AE613E">
        <w:rPr>
          <w:rFonts w:ascii="Times New Roman" w:eastAsia="Times New Roman" w:hAnsi="Times New Roman"/>
          <w:color w:val="000000"/>
          <w:sz w:val="24"/>
        </w:rPr>
        <w:t>Cirurgião-Dentista</w:t>
      </w:r>
      <w:r w:rsidR="003D59CA">
        <w:rPr>
          <w:rFonts w:ascii="Times New Roman" w:eastAsia="Times New Roman" w:hAnsi="Times New Roman"/>
          <w:color w:val="000000"/>
          <w:sz w:val="24"/>
        </w:rPr>
        <w:t xml:space="preserve">, </w:t>
      </w:r>
      <w:r w:rsidR="00AE613E">
        <w:rPr>
          <w:rFonts w:ascii="Times New Roman" w:eastAsia="Times New Roman" w:hAnsi="Times New Roman"/>
          <w:color w:val="000000"/>
          <w:sz w:val="24"/>
        </w:rPr>
        <w:t>Graduad</w:t>
      </w:r>
      <w:r w:rsidR="00EE0649">
        <w:rPr>
          <w:rFonts w:ascii="Times New Roman" w:eastAsia="Times New Roman" w:hAnsi="Times New Roman"/>
          <w:color w:val="000000"/>
          <w:sz w:val="24"/>
        </w:rPr>
        <w:t>a</w:t>
      </w:r>
      <w:r w:rsidR="00AE613E">
        <w:rPr>
          <w:rFonts w:ascii="Times New Roman" w:eastAsia="Times New Roman" w:hAnsi="Times New Roman"/>
          <w:color w:val="000000"/>
          <w:sz w:val="24"/>
        </w:rPr>
        <w:t xml:space="preserve"> em Odontologia, Universidade do Oeste Paulista(UNOESTE)</w:t>
      </w:r>
      <w:r w:rsidR="003D59CA">
        <w:rPr>
          <w:rFonts w:ascii="Times New Roman" w:eastAsia="Times New Roman" w:hAnsi="Times New Roman"/>
          <w:color w:val="000000"/>
          <w:sz w:val="24"/>
        </w:rPr>
        <w:t>,</w:t>
      </w:r>
      <w:r w:rsidR="00AE613E">
        <w:rPr>
          <w:rFonts w:ascii="Times New Roman" w:eastAsia="Times New Roman" w:hAnsi="Times New Roman"/>
          <w:color w:val="000000"/>
          <w:sz w:val="24"/>
        </w:rPr>
        <w:t xml:space="preserve"> Presidente Prudente, SP</w:t>
      </w:r>
      <w:r w:rsidR="003D59CA">
        <w:rPr>
          <w:rFonts w:ascii="Times New Roman" w:eastAsia="Times New Roman" w:hAnsi="Times New Roman"/>
          <w:color w:val="000000"/>
          <w:sz w:val="24"/>
        </w:rPr>
        <w:t>.</w:t>
      </w:r>
    </w:p>
    <w:p w14:paraId="4103DA2F" w14:textId="748C83F2" w:rsidR="00F852CF" w:rsidRPr="008755A6" w:rsidRDefault="00AE613E" w:rsidP="008755A6">
      <w:pPr>
        <w:autoSpaceDE w:val="0"/>
        <w:autoSpaceDN w:val="0"/>
        <w:spacing w:before="26" w:after="26" w:line="360" w:lineRule="auto"/>
        <w:ind w:left="720" w:right="720"/>
        <w:jc w:val="right"/>
        <w:rPr>
          <w:rFonts w:ascii="Times New Roman" w:eastAsia="Times New Roman" w:hAnsi="Times New Roman"/>
          <w:color w:val="000000"/>
          <w:sz w:val="24"/>
        </w:rPr>
      </w:pPr>
      <w:r>
        <w:rPr>
          <w:rFonts w:ascii="Arial" w:eastAsia="Arial" w:hAnsi="Arial"/>
          <w:color w:val="000000"/>
          <w:sz w:val="10"/>
        </w:rPr>
        <w:t>4</w:t>
      </w:r>
      <w:r w:rsidR="00EE0649">
        <w:rPr>
          <w:rFonts w:ascii="Times New Roman" w:eastAsia="Times New Roman" w:hAnsi="Times New Roman"/>
          <w:color w:val="000000"/>
          <w:sz w:val="24"/>
        </w:rPr>
        <w:t>Cirurgiã-Dentista</w:t>
      </w:r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r w:rsidR="00EE0649">
        <w:rPr>
          <w:rFonts w:ascii="Times New Roman" w:eastAsia="Times New Roman" w:hAnsi="Times New Roman"/>
          <w:color w:val="000000"/>
          <w:sz w:val="24"/>
        </w:rPr>
        <w:t>Doutora em Clínicas Odontológicas</w:t>
      </w:r>
      <w:r>
        <w:rPr>
          <w:rFonts w:ascii="Times New Roman" w:eastAsia="Times New Roman" w:hAnsi="Times New Roman"/>
          <w:color w:val="000000"/>
          <w:sz w:val="24"/>
        </w:rPr>
        <w:t xml:space="preserve">, Universidade </w:t>
      </w:r>
      <w:r w:rsidR="00EE0649">
        <w:rPr>
          <w:rFonts w:ascii="Times New Roman" w:eastAsia="Times New Roman" w:hAnsi="Times New Roman"/>
          <w:color w:val="000000"/>
          <w:sz w:val="24"/>
        </w:rPr>
        <w:t>Estadual Paulista Júlio de Mesquita Filho</w:t>
      </w:r>
      <w:r>
        <w:rPr>
          <w:rFonts w:ascii="Times New Roman" w:eastAsia="Times New Roman" w:hAnsi="Times New Roman"/>
          <w:color w:val="000000"/>
          <w:sz w:val="24"/>
        </w:rPr>
        <w:t xml:space="preserve"> (U</w:t>
      </w:r>
      <w:r w:rsidR="00EE0649">
        <w:rPr>
          <w:rFonts w:ascii="Times New Roman" w:eastAsia="Times New Roman" w:hAnsi="Times New Roman"/>
          <w:color w:val="000000"/>
          <w:sz w:val="24"/>
        </w:rPr>
        <w:t>NESP</w:t>
      </w:r>
      <w:r>
        <w:rPr>
          <w:rFonts w:ascii="Times New Roman" w:eastAsia="Times New Roman" w:hAnsi="Times New Roman"/>
          <w:color w:val="000000"/>
          <w:sz w:val="24"/>
        </w:rPr>
        <w:t>),</w:t>
      </w:r>
      <w:r w:rsidR="00EE0649">
        <w:rPr>
          <w:rFonts w:ascii="Times New Roman" w:eastAsia="Times New Roman" w:hAnsi="Times New Roman"/>
          <w:color w:val="000000"/>
          <w:sz w:val="24"/>
        </w:rPr>
        <w:t xml:space="preserve"> Botucatu</w:t>
      </w:r>
      <w:r>
        <w:rPr>
          <w:rFonts w:ascii="Times New Roman" w:eastAsia="Times New Roman" w:hAnsi="Times New Roman"/>
          <w:color w:val="000000"/>
          <w:sz w:val="24"/>
        </w:rPr>
        <w:t>, SP.</w:t>
      </w:r>
    </w:p>
    <w:p w14:paraId="4BD60C59" w14:textId="66AE13AE" w:rsidR="00F852CF" w:rsidRDefault="003D59CA">
      <w:pPr>
        <w:autoSpaceDE w:val="0"/>
        <w:autoSpaceDN w:val="0"/>
        <w:spacing w:before="244" w:after="0" w:line="332" w:lineRule="exact"/>
        <w:jc w:val="center"/>
      </w:pPr>
      <w:r>
        <w:rPr>
          <w:rFonts w:ascii="Times New Roman,Bold" w:eastAsia="Times New Roman,Bold" w:hAnsi="Times New Roman,Bold"/>
          <w:b/>
          <w:color w:val="000000"/>
          <w:sz w:val="24"/>
        </w:rPr>
        <w:t>(</w:t>
      </w:r>
      <w:r w:rsidR="00BE6FAF">
        <w:rPr>
          <w:rFonts w:ascii="Times New Roman,Bold" w:eastAsia="Times New Roman,Bold" w:hAnsi="Times New Roman,Bold"/>
          <w:b/>
          <w:color w:val="000000"/>
          <w:sz w:val="24"/>
        </w:rPr>
        <w:t>isabelamendonsasilva@hotmail.com</w:t>
      </w:r>
      <w:r>
        <w:rPr>
          <w:rFonts w:ascii="Times New Roman,Bold" w:eastAsia="Times New Roman,Bold" w:hAnsi="Times New Roman,Bold"/>
          <w:b/>
          <w:color w:val="000000"/>
          <w:sz w:val="24"/>
        </w:rPr>
        <w:t xml:space="preserve">) </w:t>
      </w:r>
    </w:p>
    <w:p w14:paraId="535212F3" w14:textId="77777777" w:rsidR="00686410" w:rsidRDefault="00686410" w:rsidP="00A235EC">
      <w:pPr>
        <w:autoSpaceDE w:val="0"/>
        <w:autoSpaceDN w:val="0"/>
        <w:spacing w:before="26" w:after="26" w:line="278" w:lineRule="auto"/>
        <w:ind w:left="440" w:right="720" w:hanging="220"/>
        <w:jc w:val="both"/>
        <w:rPr>
          <w:rFonts w:ascii="Times New Roman" w:eastAsia="Times New Roman" w:hAnsi="Times New Roman"/>
          <w:b/>
          <w:bCs/>
          <w:color w:val="000000"/>
        </w:rPr>
      </w:pPr>
    </w:p>
    <w:p w14:paraId="3236C7FB" w14:textId="1AC35283" w:rsidR="004106B6" w:rsidRPr="00F074E5" w:rsidRDefault="003D59CA" w:rsidP="00B35716">
      <w:pPr>
        <w:autoSpaceDE w:val="0"/>
        <w:autoSpaceDN w:val="0"/>
        <w:spacing w:before="26" w:after="26" w:line="278" w:lineRule="auto"/>
        <w:ind w:left="440" w:right="720" w:hanging="22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074E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RESUMO</w:t>
      </w:r>
    </w:p>
    <w:p w14:paraId="4C834B2D" w14:textId="345BC0C4" w:rsidR="00F852CF" w:rsidRPr="00F074E5" w:rsidRDefault="00F852CF" w:rsidP="00F074E5">
      <w:pPr>
        <w:autoSpaceDE w:val="0"/>
        <w:autoSpaceDN w:val="0"/>
        <w:spacing w:before="26" w:after="26" w:line="360" w:lineRule="auto"/>
        <w:ind w:left="220" w:right="720" w:hanging="220"/>
        <w:jc w:val="both"/>
        <w:rPr>
          <w:rFonts w:ascii="Times New Roman" w:hAnsi="Times New Roman" w:cs="Times New Roman"/>
          <w:sz w:val="24"/>
          <w:szCs w:val="24"/>
        </w:rPr>
      </w:pPr>
    </w:p>
    <w:p w14:paraId="27B1B863" w14:textId="190B1A8E" w:rsidR="00686410" w:rsidRDefault="00090158" w:rsidP="004948FA">
      <w:pPr>
        <w:tabs>
          <w:tab w:val="left" w:pos="904"/>
          <w:tab w:val="left" w:pos="1656"/>
          <w:tab w:val="left" w:pos="2160"/>
          <w:tab w:val="left" w:pos="2984"/>
          <w:tab w:val="left" w:pos="3954"/>
          <w:tab w:val="left" w:pos="4418"/>
          <w:tab w:val="left" w:pos="5574"/>
          <w:tab w:val="left" w:pos="6534"/>
        </w:tabs>
        <w:autoSpaceDE w:val="0"/>
        <w:autoSpaceDN w:val="0"/>
        <w:spacing w:before="26" w:after="26" w:line="360" w:lineRule="auto"/>
        <w:ind w:left="720" w:righ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74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Introdução: </w:t>
      </w:r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A Síndrome de Cornelia de Lange (CdLS) é uma doença genética rara que apresenta uma ampla variedade de manifestações fenotípicas. As manifestações clínicas principais incluem: déficit intelectual (DI), atraso do desenvolvimento neuropsicomotor (ADNPM),</w:t>
      </w:r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doença do refluxo gastroesofágico (DRGE), hipertricose, sobrancelha sinofris, dismorfismos faciais e anomalias em membros superiores. O diagnóstico pode ser desafiador em casos mais leves da doença.</w:t>
      </w:r>
      <w:r w:rsidRPr="00F074E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F074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Objetivo:</w:t>
      </w:r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74E5">
        <w:rPr>
          <w:rFonts w:ascii="Times New Roman" w:hAnsi="Times New Roman" w:cs="Times New Roman"/>
          <w:sz w:val="24"/>
          <w:szCs w:val="24"/>
        </w:rPr>
        <w:t xml:space="preserve">determinar os principais achados clínicos gerais, sistêmicos, características bucais, comportamentais de um paciente com diagnóstico de </w:t>
      </w:r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CdLS</w:t>
      </w:r>
      <w:r w:rsidRPr="00F074E5">
        <w:rPr>
          <w:rFonts w:ascii="Times New Roman" w:hAnsi="Times New Roman" w:cs="Times New Roman"/>
          <w:sz w:val="24"/>
          <w:szCs w:val="24"/>
        </w:rPr>
        <w:t xml:space="preserve"> e propor condutas adequadas para a abordagem odontológica. </w:t>
      </w:r>
      <w:r w:rsidRPr="00F074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Relato do caso clínico:</w:t>
      </w:r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74E5">
        <w:rPr>
          <w:rFonts w:ascii="Times New Roman" w:hAnsi="Times New Roman" w:cs="Times New Roman"/>
          <w:sz w:val="24"/>
          <w:szCs w:val="24"/>
        </w:rPr>
        <w:t xml:space="preserve">Descreve-se o caso de um paciente do sexo masculino, 13 anos de idade, que apresentou alterações fenotípicas compatíveis com a forma clássica da CdLS, cujo diagnóstico foi determinado clinicamente e com confirmação molecular. O voluntário da pesquisa foi submetido a exames clínicos densos e adequados, levando em conta os aspectos odontológicos, comportamentais e sistêmicos. Paciente com qualidade de saúde bucal, porém com barreira comportamental em relação ao tratamento odontológico, com comprometimentos sistêmicos, uso de diversos medicamentos. </w:t>
      </w:r>
      <w:r w:rsidRPr="00F074E5">
        <w:rPr>
          <w:rFonts w:ascii="Times New Roman" w:hAnsi="Times New Roman" w:cs="Times New Roman"/>
          <w:b/>
          <w:bCs/>
          <w:sz w:val="24"/>
          <w:szCs w:val="24"/>
        </w:rPr>
        <w:t>Discussão:</w:t>
      </w:r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 base nos resultados obtidos, podemos observar que o paciente deste estudo apresenta o fenótipo facial clássico da síndrome, conforme descrito na literatura. É importante destacar que as manifestações físicas e mentais da síndrome podem variar de leve a </w:t>
      </w:r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grave, com diferentes graus de envolvimento facial e dos membros.</w:t>
      </w:r>
      <w:r w:rsidRPr="00F074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Conclusão:</w:t>
      </w:r>
      <w:r w:rsidRPr="00F074E5">
        <w:rPr>
          <w:rFonts w:ascii="Times New Roman" w:hAnsi="Times New Roman" w:cs="Times New Roman"/>
          <w:sz w:val="24"/>
          <w:szCs w:val="24"/>
        </w:rPr>
        <w:t xml:space="preserve"> A Síndrome de Cornélia de Lange é caracterizada por uma série de características gerais, faciais, bucais, comportamentais e sistêmicas, sendo que o paciente deste relato de caso apresentou a maioria das manifestações clássicas da síndrome.</w:t>
      </w:r>
    </w:p>
    <w:p w14:paraId="46786F1E" w14:textId="77777777" w:rsidR="004948FA" w:rsidRPr="004948FA" w:rsidRDefault="004948FA" w:rsidP="004948FA">
      <w:pPr>
        <w:tabs>
          <w:tab w:val="left" w:pos="904"/>
          <w:tab w:val="left" w:pos="1656"/>
          <w:tab w:val="left" w:pos="2160"/>
          <w:tab w:val="left" w:pos="2984"/>
          <w:tab w:val="left" w:pos="3954"/>
          <w:tab w:val="left" w:pos="4418"/>
          <w:tab w:val="left" w:pos="5574"/>
          <w:tab w:val="left" w:pos="6534"/>
        </w:tabs>
        <w:autoSpaceDE w:val="0"/>
        <w:autoSpaceDN w:val="0"/>
        <w:spacing w:before="26" w:after="26" w:line="360" w:lineRule="auto"/>
        <w:ind w:left="720" w:righ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1FE343" w14:textId="77777777" w:rsidR="00F852CF" w:rsidRPr="00F074E5" w:rsidRDefault="003D59CA" w:rsidP="00F074E5">
      <w:pPr>
        <w:autoSpaceDE w:val="0"/>
        <w:autoSpaceDN w:val="0"/>
        <w:spacing w:before="25" w:after="25" w:line="360" w:lineRule="auto"/>
        <w:ind w:left="720" w:right="720"/>
        <w:jc w:val="both"/>
        <w:rPr>
          <w:rFonts w:ascii="Times New Roman" w:hAnsi="Times New Roman" w:cs="Times New Roman"/>
          <w:sz w:val="24"/>
          <w:szCs w:val="24"/>
        </w:rPr>
      </w:pPr>
      <w:r w:rsidRPr="00F074E5">
        <w:rPr>
          <w:rFonts w:ascii="Times New Roman" w:eastAsia="Times New Roman,Bold" w:hAnsi="Times New Roman" w:cs="Times New Roman"/>
          <w:b/>
          <w:color w:val="000000"/>
          <w:sz w:val="24"/>
          <w:szCs w:val="24"/>
        </w:rPr>
        <w:t xml:space="preserve">INTRODUÇÃO </w:t>
      </w:r>
    </w:p>
    <w:p w14:paraId="4A4F7B79" w14:textId="5F15AC94" w:rsidR="00090158" w:rsidRDefault="00090158" w:rsidP="00F074E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indivíduos afetados por essa síndrome podem apresentar diversas comorbidades, como problemas gastrointestinais, cardíacos, geniturinários, oftalmológicos, neurológicos, além de déficits no desenvolvimento, imunodeficiência e diminuição da audição devido ao estreitamento do canal auditivo, propenso a pneumonia aspirativa devido ao refluxo gastroesofágico. Durante a abordagem odontológica, o cirurgião-dentista pode enfrentar desafios devido à falta de rotina de atendimento odontológico do paciente e à busca tardia por cuidados dentários, o que pode resultar em quadros mais complexos. A colaboração limitada do paciente durante o atendimento também é um obstáculo a ser superado. Portanto, é crucial que o tratamento seja iniciado precocemente, enfatizando a importância da prevenção de problemas de saúde bucal e familiarizando o paciente com o profissional e o ambiente odontológico. A colaboração do cuidador é fundamental para manter a saúde bucal do paciente. Além disso, as terapias de desenvolvimento são essenciais para melhorar as funções motoras e cognitivas, promovendo adaptação social e uma vida mais independente e saudável. A abordagem clínica requer uma equipe multidisciplinar para acompanhar os aspectos dessa síndrome. Este relato de caso é relevante por destacar as características dos pacientes com SdCL, enfatizando a importância da prevenção odontológica, acompanhamento profissional, e conscientização dos cirurgiões-dentistas sobre os desafios potenciais no tratamento desses pacientes. </w:t>
      </w:r>
      <w:r w:rsidRPr="00F074E5">
        <w:rPr>
          <w:rFonts w:ascii="Times New Roman" w:hAnsi="Times New Roman" w:cs="Times New Roman"/>
          <w:color w:val="000000"/>
          <w:sz w:val="24"/>
          <w:szCs w:val="24"/>
        </w:rPr>
        <w:t xml:space="preserve">Este relato de caso tem como objetivo </w:t>
      </w:r>
      <w:r w:rsidRPr="00F074E5">
        <w:rPr>
          <w:rFonts w:ascii="Times New Roman" w:hAnsi="Times New Roman" w:cs="Times New Roman"/>
          <w:sz w:val="24"/>
          <w:szCs w:val="24"/>
        </w:rPr>
        <w:t xml:space="preserve">determinar os principais achados clínicos gerais, sistêmicos, características bucais, comportamentais de um paciente com diagnóstico de </w:t>
      </w:r>
      <w:r w:rsidRPr="00F074E5">
        <w:rPr>
          <w:rFonts w:ascii="Times New Roman" w:hAnsi="Times New Roman" w:cs="Times New Roman"/>
          <w:bCs/>
          <w:color w:val="000000"/>
          <w:sz w:val="24"/>
          <w:szCs w:val="24"/>
        </w:rPr>
        <w:t>CdLS</w:t>
      </w:r>
      <w:r w:rsidRPr="00F074E5">
        <w:rPr>
          <w:rFonts w:ascii="Times New Roman" w:hAnsi="Times New Roman" w:cs="Times New Roman"/>
          <w:sz w:val="24"/>
          <w:szCs w:val="24"/>
        </w:rPr>
        <w:t xml:space="preserve"> e propor condutas adequadas para a abordagem odontológica.</w:t>
      </w:r>
    </w:p>
    <w:p w14:paraId="32111AF8" w14:textId="77777777" w:rsidR="00B35716" w:rsidRPr="00F074E5" w:rsidRDefault="00B35716" w:rsidP="00F074E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CB7F5F" w14:textId="41457CB2" w:rsidR="00F852CF" w:rsidRPr="00F074E5" w:rsidRDefault="003D59CA" w:rsidP="00F074E5">
      <w:pPr>
        <w:autoSpaceDE w:val="0"/>
        <w:autoSpaceDN w:val="0"/>
        <w:spacing w:before="25" w:after="25" w:line="360" w:lineRule="auto"/>
        <w:ind w:left="720" w:right="720"/>
        <w:jc w:val="both"/>
        <w:rPr>
          <w:rFonts w:ascii="Times New Roman" w:eastAsia="Times New Roman,Bold" w:hAnsi="Times New Roman" w:cs="Times New Roman"/>
          <w:b/>
          <w:color w:val="000000"/>
          <w:sz w:val="24"/>
          <w:szCs w:val="24"/>
        </w:rPr>
      </w:pPr>
      <w:r w:rsidRPr="00F074E5">
        <w:rPr>
          <w:rFonts w:ascii="Times New Roman" w:eastAsia="Times New Roman,Bold" w:hAnsi="Times New Roman" w:cs="Times New Roman"/>
          <w:b/>
          <w:color w:val="000000"/>
          <w:sz w:val="24"/>
          <w:szCs w:val="24"/>
        </w:rPr>
        <w:t xml:space="preserve">METODOLOGIA </w:t>
      </w:r>
    </w:p>
    <w:p w14:paraId="21CD92F4" w14:textId="77777777" w:rsidR="00F67D2B" w:rsidRPr="00F074E5" w:rsidRDefault="00F67D2B" w:rsidP="00F074E5">
      <w:pPr>
        <w:autoSpaceDE w:val="0"/>
        <w:autoSpaceDN w:val="0"/>
        <w:spacing w:before="25" w:after="25" w:line="360" w:lineRule="auto"/>
        <w:ind w:left="720" w:right="720"/>
        <w:jc w:val="both"/>
        <w:rPr>
          <w:rFonts w:ascii="Times New Roman" w:hAnsi="Times New Roman" w:cs="Times New Roman"/>
          <w:sz w:val="24"/>
          <w:szCs w:val="24"/>
        </w:rPr>
      </w:pPr>
    </w:p>
    <w:p w14:paraId="3F43D9BE" w14:textId="4341F8B4" w:rsidR="006862F6" w:rsidRPr="00F074E5" w:rsidRDefault="006862F6" w:rsidP="00F074E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O estudo realizado é um relato de caso descritivo de um paciente do sexo masculino, com 13 anos de idade, brasileiro, residente de Presidente Prudente estado de São Paulo, diagnosticado com a Síndrome de Cornélia de Lange da forma clássica com</w:t>
      </w:r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mutações no gene NIPBL. Durante a pesquisa foi realizada uma avaliação de relatórios e laudos médicos, entrevista estruturada destinada aos responsáveis. Foi avaliado:  histórico de saúde geral, presença de alterações sistêmicas relacionadas a CdLS, uso de medicamentos, desvios comportamentais, desenvolvimento cognitivo. Para a avaliação buco dental foi efetuado o </w:t>
      </w:r>
      <w:r w:rsidRPr="00F074E5">
        <w:rPr>
          <w:rFonts w:ascii="Times New Roman" w:hAnsi="Times New Roman" w:cs="Times New Roman"/>
          <w:bCs/>
          <w:sz w:val="24"/>
          <w:szCs w:val="24"/>
        </w:rPr>
        <w:t>índice de placa visível (IPV),</w:t>
      </w:r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Índice de experiência de cárie por meio do </w:t>
      </w:r>
      <w:r w:rsidRPr="00F074E5">
        <w:rPr>
          <w:rFonts w:ascii="Times New Roman" w:eastAsia="Calibri" w:hAnsi="Times New Roman" w:cs="Times New Roman"/>
          <w:sz w:val="24"/>
          <w:szCs w:val="24"/>
        </w:rPr>
        <w:t>International Caries Detection and Assessment System (</w:t>
      </w:r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ICDAS) e averiguação de presença ou ausência de gengivite, calculo dentário, defeitos no desenvolvimento do esmalte </w:t>
      </w:r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dentário,</w:t>
      </w:r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anomalias dentárias de número e forma, oclusão, e manifestações </w:t>
      </w:r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e aspectos buco faciais inerentes a </w:t>
      </w:r>
      <w:r w:rsidRPr="00F074E5">
        <w:rPr>
          <w:rFonts w:ascii="Times New Roman" w:hAnsi="Times New Roman" w:cs="Times New Roman"/>
          <w:bCs/>
          <w:color w:val="000000"/>
          <w:sz w:val="24"/>
          <w:szCs w:val="24"/>
        </w:rPr>
        <w:t>CdLS</w:t>
      </w:r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  <w:r w:rsidRPr="00F074E5">
        <w:rPr>
          <w:rFonts w:ascii="Times New Roman" w:hAnsi="Times New Roman" w:cs="Times New Roman"/>
          <w:sz w:val="24"/>
          <w:szCs w:val="24"/>
        </w:rPr>
        <w:t xml:space="preserve"> Este relato de caso foi submetido ao Comitê de Ética e Pesquisa - CEP da UNOESTE, Plataforma Brasil e aprovado sob o CAAE: 65526022.8.0000.5515. Os responsáveis pelo paciente desta pesquisa, foram informados da finalidade da mesma, bem como dos métodos utilizados neste estudo e o caso foi relatado somente após assinatura do Termo de Consentimento Livre e Esclarecido, que foi baseado nos aspectos éticos específicos de acordo com os princípios originados da Declaração de Helsinki.</w:t>
      </w:r>
    </w:p>
    <w:p w14:paraId="58103B7D" w14:textId="290516A1" w:rsidR="006862F6" w:rsidRPr="00F074E5" w:rsidRDefault="006862F6" w:rsidP="00F074E5">
      <w:pPr>
        <w:pStyle w:val="Corpodetexto2"/>
        <w:spacing w:line="360" w:lineRule="auto"/>
        <w:ind w:firstLine="709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31057645" w14:textId="010AAE53" w:rsidR="00F852CF" w:rsidRPr="00F074E5" w:rsidRDefault="003D59CA" w:rsidP="00F074E5">
      <w:pPr>
        <w:autoSpaceDE w:val="0"/>
        <w:autoSpaceDN w:val="0"/>
        <w:spacing w:before="25" w:after="25" w:line="360" w:lineRule="auto"/>
        <w:ind w:left="720" w:right="720"/>
        <w:jc w:val="both"/>
        <w:rPr>
          <w:rFonts w:ascii="Times New Roman" w:eastAsia="Times New Roman,Bold" w:hAnsi="Times New Roman" w:cs="Times New Roman"/>
          <w:b/>
          <w:color w:val="000000"/>
          <w:sz w:val="24"/>
          <w:szCs w:val="24"/>
        </w:rPr>
      </w:pPr>
      <w:r w:rsidRPr="00F074E5">
        <w:rPr>
          <w:rFonts w:ascii="Times New Roman" w:eastAsia="Times New Roman,Bold" w:hAnsi="Times New Roman" w:cs="Times New Roman"/>
          <w:b/>
          <w:color w:val="000000"/>
          <w:sz w:val="24"/>
          <w:szCs w:val="24"/>
        </w:rPr>
        <w:t xml:space="preserve">RESULTADOS E DISCUSSÕES </w:t>
      </w:r>
    </w:p>
    <w:p w14:paraId="0E4B4C82" w14:textId="77777777" w:rsidR="00F67D2B" w:rsidRPr="00F074E5" w:rsidRDefault="00F67D2B" w:rsidP="00F074E5">
      <w:pPr>
        <w:autoSpaceDE w:val="0"/>
        <w:autoSpaceDN w:val="0"/>
        <w:spacing w:before="25" w:after="25" w:line="360" w:lineRule="auto"/>
        <w:ind w:left="720" w:right="720"/>
        <w:jc w:val="both"/>
        <w:rPr>
          <w:rFonts w:ascii="Times New Roman" w:hAnsi="Times New Roman" w:cs="Times New Roman"/>
          <w:sz w:val="24"/>
          <w:szCs w:val="24"/>
        </w:rPr>
      </w:pPr>
    </w:p>
    <w:p w14:paraId="143DD853" w14:textId="713F7CAF" w:rsidR="006862F6" w:rsidRPr="00F074E5" w:rsidRDefault="00F074E5" w:rsidP="00F074E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hd w:val="clear" w:color="auto" w:fill="FFFFFF"/>
        </w:rPr>
      </w:pPr>
      <w:r w:rsidRPr="00F074E5">
        <w:rPr>
          <w:rFonts w:ascii="Times New Roman" w:hAnsi="Times New Roman"/>
          <w:shd w:val="clear" w:color="auto" w:fill="FFFFFF"/>
        </w:rPr>
        <w:t>Com base nos resultados obtidos, podemos observar que o paciente deste estudo apresenta o fenótipo facial clássico da síndrome, conforme descrito na literatura. É importante destacar que as manifestações físicas e mentais da síndrome podem variar de leve a grave, com diferentes graus de envolvimento facial e dos membros. Muitos pacientes com a síndrome de Cornelia de Lange apresentam distúrbios comportamentais e déficit cognitivo. Esses aspectos podem tornar o tratamento odontológico mais desafiador, sendo necessário utilizar técnicas de manejo apropriadas. Os achados relacionados à condição bucal má posição, má oclusão e superlotação dentária, estão de acordo com os dados encontrados na literatura. Esses aspectos bucais podem influenciar o surgimento de cáries, uma vez que o mau posicionamento dos dentes, associado à presença de biofilme e higiene deficiente, pode levar ao desenvolvimento de cárie e/ou doença periodontal. O paciente recebe alimentação por via bucal, o que pode resultar na retenção de resíduos alimentares. Portanto, é fundamental o acompanhamento odontológico visando o desenvolvimento adequado da oclusão. A deficiência no crescimento é comum na síndrome de Cornelia de Lange. De acordo com a literatura, o uso de equipamentos adaptativos como órteses, tripés e cadeiras de rodas é importante para melhorar a função motora e facilitar as atividades do cotidiano. No caso do paciente deste estudo, apesar de fazer uso da cadeira de rodas, ele é capaz de andar, embora com algumas limitações. Isso interfere nas maneiras de posicioná-lo durante o atendimento odontológico. Uma alternativa é utilizar a própria cadeira de rodas do paciente e ajustá-la com o encosto de cabeça da cadeira do consultório. Outra opção é o responsável sentar-se com o paciente no colo para ajudar a estabilizá-lo em casos em que ele não consiga cooperar.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F074E5">
        <w:rPr>
          <w:rFonts w:ascii="Times New Roman" w:hAnsi="Times New Roman"/>
          <w:shd w:val="clear" w:color="auto" w:fill="FFFFFF"/>
        </w:rPr>
        <w:t>É importante que o cirurgião-dentista esteja atento as características sistêmicas presentes na síndrome, como doença do refluxo gastroesofágico (DRGE), cardiopatia congênita e convulsões ou epilepsia. A DRGE, em particular, é a patologia mais importante associada à síndrome de Cornelia de Lange, aumentando o risco de aspiração e pneumonias. O paciente deste estudo também apresenta DRGE, que evoluiu para esôfago de Barrett. A DRGE pode se manifestar com sintomas atípicos, como hiperatividade, autoagressão, vômitos, bruxismo e sono agitado. Devido à possibilidade de biocorrosão nos dentes, medidas preventivas específicas devem ser tomadas para esse aspecto.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F074E5">
        <w:rPr>
          <w:rFonts w:ascii="Times New Roman" w:hAnsi="Times New Roman"/>
          <w:shd w:val="clear" w:color="auto" w:fill="FFFFFF"/>
        </w:rPr>
        <w:t xml:space="preserve">A presença de cardiopatia congênita também deve </w:t>
      </w:r>
      <w:r w:rsidRPr="00F074E5">
        <w:rPr>
          <w:rFonts w:ascii="Times New Roman" w:hAnsi="Times New Roman"/>
          <w:shd w:val="clear" w:color="auto" w:fill="FFFFFF"/>
        </w:rPr>
        <w:lastRenderedPageBreak/>
        <w:t xml:space="preserve">ser considerada, pois isso pode influenciar o plano de tratamento, incluindo a escolha de anestésicos e profilaxia antibiótica antes de procedimentos invasivos que possam causar sangramento. No presente estudo, o paciente foi diagnosticado com malformação cardíaca, o que está de acordo com a prevalência encontrada em estudos anteriores.As convulsões também é uma preocupação sistêmica, exigindo cuidados necessários. No caso deste estudo, o paciente já havia tido duas convulsões, mas elas estavam sob controle e ele não utilizava medicamentos para esse quadro. No caso do paciente deste estudo, foi utilizada a técnica de distração, por meio de vídeos de desenhos animados que ele assiste com frequência. Além disso, foi necessário o uso de abridores de boca e estabilização protetora, com a ajuda do responsável do paciente, para realizar o exame clínico. Se houver necessidade pode ser indicado sedação ou anestesia geral. </w:t>
      </w:r>
      <w:r w:rsidR="006862F6" w:rsidRPr="00F074E5">
        <w:rPr>
          <w:rFonts w:ascii="Times New Roman" w:hAnsi="Times New Roman"/>
          <w:shd w:val="clear" w:color="auto" w:fill="FFFFFF"/>
        </w:rPr>
        <w:t>A importância deste estudo é destacar as características dessa síndrome rara, a fim de ampliar o conhecimento e evitar subdiagnósticos que possam prejudicar o processo de tratamento. Isso permite que os profissionais de saúde tenham uma conduta adequada no atendimento a pacientes com a síndrome, sabendo lidar com as alterações, complicações e necessidades específicas. Durante o atendimento, foram encontradas dificuldades significativas, sendo uma das maiores a cooperação do paciente. Para garantir sua segurança, pediu-se para que o responsável se sentasse com ele no colo, proporcionando estabilidade durante o procedimento. Para tornar a situação mais lúdica, foi utilizado um celular com desenhos animados, músicas, entre outros recursos, a fim de distrair o paciente e obter sua colaboração. Na hora de tirar fotos, encontrou-se mais uma dificuldade para abrir a boca, mas foi possível de uma forma bem dificultosa.</w:t>
      </w:r>
    </w:p>
    <w:p w14:paraId="2DC28FA6" w14:textId="23A0AAC4" w:rsidR="00F852CF" w:rsidRPr="00F074E5" w:rsidRDefault="003D59CA" w:rsidP="00F074E5">
      <w:pPr>
        <w:autoSpaceDE w:val="0"/>
        <w:autoSpaceDN w:val="0"/>
        <w:spacing w:before="25" w:after="25" w:line="360" w:lineRule="auto"/>
        <w:ind w:left="720" w:right="720"/>
        <w:jc w:val="both"/>
        <w:rPr>
          <w:rFonts w:ascii="Times New Roman" w:hAnsi="Times New Roman" w:cs="Times New Roman"/>
          <w:sz w:val="24"/>
          <w:szCs w:val="24"/>
        </w:rPr>
      </w:pPr>
      <w:r w:rsidRPr="00F07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7B53E44" w14:textId="6B4DE9BA" w:rsidR="00F67D2B" w:rsidRPr="00F074E5" w:rsidRDefault="003D59CA" w:rsidP="00F074E5">
      <w:pPr>
        <w:autoSpaceDE w:val="0"/>
        <w:autoSpaceDN w:val="0"/>
        <w:spacing w:before="25" w:after="25" w:line="360" w:lineRule="auto"/>
        <w:ind w:left="720" w:right="720"/>
        <w:jc w:val="both"/>
        <w:rPr>
          <w:rFonts w:ascii="Times New Roman" w:eastAsia="Times New Roman,Bold" w:hAnsi="Times New Roman" w:cs="Times New Roman"/>
          <w:b/>
          <w:color w:val="000000"/>
          <w:sz w:val="24"/>
          <w:szCs w:val="24"/>
        </w:rPr>
      </w:pPr>
      <w:r w:rsidRPr="00F074E5">
        <w:rPr>
          <w:rFonts w:ascii="Times New Roman" w:eastAsia="Times New Roman,Bold" w:hAnsi="Times New Roman" w:cs="Times New Roman"/>
          <w:b/>
          <w:color w:val="000000"/>
          <w:sz w:val="24"/>
          <w:szCs w:val="24"/>
        </w:rPr>
        <w:t xml:space="preserve"> CONCLUSÃO </w:t>
      </w:r>
    </w:p>
    <w:p w14:paraId="514A767C" w14:textId="2B9F31EC" w:rsidR="00F67D2B" w:rsidRPr="00F074E5" w:rsidRDefault="006862F6" w:rsidP="00F074E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74E5">
        <w:rPr>
          <w:rFonts w:ascii="Times New Roman" w:hAnsi="Times New Roman" w:cs="Times New Roman"/>
          <w:sz w:val="24"/>
          <w:szCs w:val="24"/>
        </w:rPr>
        <w:t xml:space="preserve">A Síndrome de Cornélia de Lange é caracterizada por uma série de características gerais, faciais, bucais, comportamentais e sistêmicas, sendo que o paciente deste relato de caso apresentou a maioria das manifestações clássicas da síndrome. Entre essas manifestações principais de interesse odontológico estão: ADNPM, DRGE, agitação, ansiedade, Transtorno de déficit de atenção e hiperatividade, cardiopatia congênita, convulsão, má oclusão, bruxismo, atraso na erupção dentária, dificuldade de abordagem odontológica. A prevenção de doenças bucais e atendimento odontológico precoce são fundamentais para evitar tratamentos dentários complexos e invasivos em pacientes com condições raras. </w:t>
      </w:r>
    </w:p>
    <w:p w14:paraId="7706AC2F" w14:textId="77777777" w:rsidR="00F67D2B" w:rsidRPr="00F074E5" w:rsidRDefault="00F67D2B" w:rsidP="00F074E5">
      <w:pPr>
        <w:autoSpaceDE w:val="0"/>
        <w:autoSpaceDN w:val="0"/>
        <w:spacing w:before="25" w:after="25" w:line="360" w:lineRule="auto"/>
        <w:ind w:left="720" w:righ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318D87" w14:textId="5C9DBDE2" w:rsidR="1EB40627" w:rsidRDefault="1EB40627" w:rsidP="1EB40627">
      <w:pPr>
        <w:spacing w:before="25" w:after="25" w:line="360" w:lineRule="auto"/>
        <w:ind w:left="720" w:righ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E3E3BFE" w14:textId="1D1CE300" w:rsidR="1EB40627" w:rsidRDefault="1EB40627" w:rsidP="1EB40627">
      <w:pPr>
        <w:spacing w:before="25" w:after="25" w:line="360" w:lineRule="auto"/>
        <w:ind w:left="720" w:righ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9BFB333" w14:textId="6446FFD1" w:rsidR="1EB40627" w:rsidRDefault="1EB40627" w:rsidP="1EB40627">
      <w:pPr>
        <w:spacing w:before="25" w:after="25" w:line="360" w:lineRule="auto"/>
        <w:ind w:left="720" w:righ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252A312" w14:textId="59C380A3" w:rsidR="1EB40627" w:rsidRDefault="1EB40627" w:rsidP="1EB40627">
      <w:pPr>
        <w:spacing w:before="25" w:after="25" w:line="360" w:lineRule="auto"/>
        <w:ind w:left="720" w:righ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7752B1E" w14:textId="49C0C0B7" w:rsidR="1EB40627" w:rsidRDefault="1EB40627" w:rsidP="004948FA">
      <w:pPr>
        <w:spacing w:before="25" w:after="25" w:line="360" w:lineRule="auto"/>
        <w:ind w:righ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0BFFD85" w14:textId="377C1A4A" w:rsidR="1EB40627" w:rsidRDefault="1EB40627" w:rsidP="1EB40627">
      <w:pPr>
        <w:spacing w:before="25" w:after="25" w:line="360" w:lineRule="auto"/>
        <w:ind w:left="720" w:righ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278D1B9" w14:textId="77777777" w:rsidR="00F67D2B" w:rsidRDefault="00F67D2B" w:rsidP="00F074E5">
      <w:pPr>
        <w:autoSpaceDE w:val="0"/>
        <w:autoSpaceDN w:val="0"/>
        <w:spacing w:before="25" w:after="25" w:line="360" w:lineRule="auto"/>
        <w:ind w:left="720" w:righ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74E5">
        <w:rPr>
          <w:rFonts w:ascii="Times New Roman" w:eastAsia="Times New Roman,Bold" w:hAnsi="Times New Roman" w:cs="Times New Roman"/>
          <w:b/>
          <w:color w:val="000000"/>
          <w:sz w:val="24"/>
          <w:szCs w:val="24"/>
        </w:rPr>
        <w:t>PRINCIPAIS REFERÊNCIAS</w:t>
      </w:r>
      <w:r w:rsidRPr="00F07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3A5DA80" w14:textId="77777777" w:rsidR="00B35716" w:rsidRPr="00F074E5" w:rsidRDefault="00B35716" w:rsidP="00F074E5">
      <w:pPr>
        <w:autoSpaceDE w:val="0"/>
        <w:autoSpaceDN w:val="0"/>
        <w:spacing w:before="25" w:after="25" w:line="360" w:lineRule="auto"/>
        <w:ind w:left="720" w:righ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775FFB" w14:textId="03937F11" w:rsidR="1EB40627" w:rsidRPr="00BE6FAF" w:rsidRDefault="1EB40627" w:rsidP="00BE6FAF">
      <w:pPr>
        <w:spacing w:before="60" w:after="60" w:line="360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FAF">
        <w:rPr>
          <w:rFonts w:ascii="Times New Roman" w:eastAsia="Times New Roman" w:hAnsi="Times New Roman" w:cs="Times New Roman"/>
          <w:sz w:val="24"/>
          <w:szCs w:val="24"/>
        </w:rPr>
        <w:t xml:space="preserve">DOWSETT, Leah </w:t>
      </w:r>
      <w:r w:rsidRPr="00BE6FAF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 w:rsidRPr="00BE6F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E6FAF">
        <w:rPr>
          <w:rFonts w:ascii="Times New Roman" w:eastAsia="Times New Roman" w:hAnsi="Times New Roman" w:cs="Times New Roman"/>
          <w:b/>
          <w:bCs/>
          <w:sz w:val="24"/>
          <w:szCs w:val="24"/>
        </w:rPr>
        <w:t>Cornelia de Lange syndrome in diverse populations</w:t>
      </w:r>
      <w:r w:rsidRPr="00BE6F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E6FAF">
        <w:rPr>
          <w:rFonts w:ascii="Times New Roman" w:eastAsia="Times New Roman" w:hAnsi="Times New Roman" w:cs="Times New Roman"/>
          <w:b/>
          <w:bCs/>
          <w:sz w:val="24"/>
          <w:szCs w:val="24"/>
        </w:rPr>
        <w:t>American Journal of Medical Genetics Part A</w:t>
      </w:r>
      <w:r w:rsidRPr="00BE6FAF">
        <w:rPr>
          <w:rFonts w:ascii="Times New Roman" w:eastAsia="Times New Roman" w:hAnsi="Times New Roman" w:cs="Times New Roman"/>
          <w:sz w:val="24"/>
          <w:szCs w:val="24"/>
        </w:rPr>
        <w:t xml:space="preserve">, American Journal of Medical Genetics Part A, ano 2019, v. 179, n. 2, p. 150-158, 6 jan. 2019. DOI </w:t>
      </w:r>
      <w:hyperlink r:id="rId6">
        <w:r w:rsidRPr="00BE6FA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https://doi.org/10.1002/ajmg.a.61033</w:t>
        </w:r>
      </w:hyperlink>
      <w:r w:rsidRPr="00BE6FAF">
        <w:rPr>
          <w:rFonts w:ascii="Times New Roman" w:eastAsia="Times New Roman" w:hAnsi="Times New Roman" w:cs="Times New Roman"/>
          <w:sz w:val="24"/>
          <w:szCs w:val="24"/>
        </w:rPr>
        <w:t xml:space="preserve">. Disponível em: </w:t>
      </w:r>
      <w:hyperlink r:id="rId7">
        <w:r w:rsidRPr="00BE6FA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https://onlinelibrary.wiley.com/doi/10.1002/ajmg.a.61033</w:t>
        </w:r>
      </w:hyperlink>
      <w:r w:rsidRPr="00BE6FAF">
        <w:rPr>
          <w:rFonts w:ascii="Times New Roman" w:eastAsia="Times New Roman" w:hAnsi="Times New Roman" w:cs="Times New Roman"/>
          <w:sz w:val="24"/>
          <w:szCs w:val="24"/>
        </w:rPr>
        <w:t>. Acesso em: 1 fev. 2024.</w:t>
      </w:r>
    </w:p>
    <w:p w14:paraId="5D4772C7" w14:textId="77777777" w:rsidR="004948FA" w:rsidRPr="00BE6FAF" w:rsidRDefault="004948FA" w:rsidP="00BE6FAF">
      <w:pPr>
        <w:spacing w:before="60" w:after="60" w:line="360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5AD2E0" w14:textId="77777777" w:rsidR="004948FA" w:rsidRPr="00BE6FAF" w:rsidRDefault="1EB40627" w:rsidP="00BE6FA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FAF">
        <w:rPr>
          <w:rFonts w:ascii="Times New Roman" w:eastAsia="Times New Roman" w:hAnsi="Times New Roman" w:cs="Times New Roman"/>
          <w:sz w:val="24"/>
          <w:szCs w:val="24"/>
        </w:rPr>
        <w:t>LARANGEIRA, G. H. T.; DE SOUZA, L. M. S. G.; DE ALMEIDA, J. V.; MORAES, Y. C. de A.; CORREIA, P. S.; HOROVITZ, D. D. G.; JUNIOR, J. C. L. Síndrome de Cornelia de Lange: análise de uma série de 33 pacientes em um centro de referência. Clinical and Biomedical Research, [S. l.], v. 42, n. 1, 2022. Disponível em: https://seer.ufrgs.br/index.php/hcpa/article/view/117215. Acesso em: 17 fev. 2024.</w:t>
      </w:r>
    </w:p>
    <w:p w14:paraId="79C0A58A" w14:textId="0F7E779B" w:rsidR="6E2F0011" w:rsidRPr="00BE6FAF" w:rsidRDefault="1EB40627" w:rsidP="00BE6FA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6E2F0011" w:rsidRPr="00BE6FAF" w:rsidSect="003612FC">
          <w:pgSz w:w="11904" w:h="16838"/>
          <w:pgMar w:top="720" w:right="720" w:bottom="720" w:left="720" w:header="720" w:footer="720" w:gutter="0"/>
          <w:cols w:space="720" w:equalWidth="0">
            <w:col w:w="9744"/>
          </w:cols>
          <w:docGrid w:linePitch="360"/>
        </w:sectPr>
      </w:pPr>
      <w:r w:rsidRPr="00BE6FAF">
        <w:rPr>
          <w:rFonts w:ascii="Times New Roman" w:eastAsia="Times New Roman" w:hAnsi="Times New Roman" w:cs="Times New Roman"/>
          <w:sz w:val="24"/>
          <w:szCs w:val="24"/>
        </w:rPr>
        <w:t>Sarogni, Patrizia et al. Cornelia de Lange syndrome: from molecular diagnosis to therapeutic approach. Journal of medical genetics vol. 57,5 (2020): 289-295. doi:10.1136/jmedgenet-2019-106</w:t>
      </w:r>
      <w:r w:rsidR="00036F7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941DE3" w14:textId="54569068" w:rsidR="00F852CF" w:rsidRDefault="00F852CF" w:rsidP="00F074E5">
      <w:pPr>
        <w:autoSpaceDE w:val="0"/>
        <w:autoSpaceDN w:val="0"/>
        <w:spacing w:after="0" w:line="360" w:lineRule="auto"/>
        <w:ind w:right="144"/>
      </w:pPr>
    </w:p>
    <w:sectPr w:rsidR="00F852CF" w:rsidSect="003612FC">
      <w:pgSz w:w="11904" w:h="16838"/>
      <w:pgMar w:top="720" w:right="720" w:bottom="720" w:left="720" w:header="720" w:footer="720" w:gutter="0"/>
      <w:cols w:space="720" w:equalWidth="0">
        <w:col w:w="974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17012761">
    <w:abstractNumId w:val="8"/>
  </w:num>
  <w:num w:numId="2" w16cid:durableId="240874103">
    <w:abstractNumId w:val="6"/>
  </w:num>
  <w:num w:numId="3" w16cid:durableId="631254976">
    <w:abstractNumId w:val="5"/>
  </w:num>
  <w:num w:numId="4" w16cid:durableId="1433625143">
    <w:abstractNumId w:val="4"/>
  </w:num>
  <w:num w:numId="5" w16cid:durableId="1746993380">
    <w:abstractNumId w:val="7"/>
  </w:num>
  <w:num w:numId="6" w16cid:durableId="1883899177">
    <w:abstractNumId w:val="3"/>
  </w:num>
  <w:num w:numId="7" w16cid:durableId="1880120995">
    <w:abstractNumId w:val="2"/>
  </w:num>
  <w:num w:numId="8" w16cid:durableId="1379205490">
    <w:abstractNumId w:val="1"/>
  </w:num>
  <w:num w:numId="9" w16cid:durableId="50423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36F77"/>
    <w:rsid w:val="0006063C"/>
    <w:rsid w:val="00090158"/>
    <w:rsid w:val="000F6264"/>
    <w:rsid w:val="0015074B"/>
    <w:rsid w:val="0029639D"/>
    <w:rsid w:val="00326F90"/>
    <w:rsid w:val="00343B69"/>
    <w:rsid w:val="003612FC"/>
    <w:rsid w:val="003C46D8"/>
    <w:rsid w:val="003D59CA"/>
    <w:rsid w:val="004106B6"/>
    <w:rsid w:val="0043127F"/>
    <w:rsid w:val="004948FA"/>
    <w:rsid w:val="004969DD"/>
    <w:rsid w:val="006035AC"/>
    <w:rsid w:val="006862F6"/>
    <w:rsid w:val="00686410"/>
    <w:rsid w:val="008755A6"/>
    <w:rsid w:val="00891689"/>
    <w:rsid w:val="0099429C"/>
    <w:rsid w:val="009D1C28"/>
    <w:rsid w:val="00A235EC"/>
    <w:rsid w:val="00AA1D8D"/>
    <w:rsid w:val="00AE613E"/>
    <w:rsid w:val="00B35716"/>
    <w:rsid w:val="00B47730"/>
    <w:rsid w:val="00B67D6A"/>
    <w:rsid w:val="00BE6FAF"/>
    <w:rsid w:val="00CB0664"/>
    <w:rsid w:val="00D904A6"/>
    <w:rsid w:val="00EE0649"/>
    <w:rsid w:val="00F074E5"/>
    <w:rsid w:val="00F67D2B"/>
    <w:rsid w:val="00F852CF"/>
    <w:rsid w:val="00FC693F"/>
    <w:rsid w:val="1EB40627"/>
    <w:rsid w:val="6E2F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ADA51E"/>
  <w14:defaultImageDpi w14:val="300"/>
  <w15:docId w15:val="{B5FE651B-6E55-4B7E-908F-E81517400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6862F6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nlinelibrary.wiley.com/doi/10.1002/ajmg.a.610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002/ajmg.a.610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6</Pages>
  <Words>1881</Words>
  <Characters>10158</Characters>
  <Application>Microsoft Office Word</Application>
  <DocSecurity>0</DocSecurity>
  <Lines>84</Lines>
  <Paragraphs>24</Paragraphs>
  <ScaleCrop>false</ScaleCrop>
  <Manager/>
  <Company/>
  <LinksUpToDate>false</LinksUpToDate>
  <CharactersWithSpaces>12015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mayumi mayumi</cp:lastModifiedBy>
  <cp:revision>7</cp:revision>
  <dcterms:created xsi:type="dcterms:W3CDTF">2024-02-17T15:54:00Z</dcterms:created>
  <dcterms:modified xsi:type="dcterms:W3CDTF">2024-02-18T23:51:00Z</dcterms:modified>
  <cp:category/>
</cp:coreProperties>
</file>