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sz w:val="28"/>
          <w:szCs w:val="28"/>
        </w:rPr>
      </w:pPr>
      <w:r w:rsidDel="00000000" w:rsidR="00000000" w:rsidRPr="00000000">
        <w:rPr>
          <w:rtl w:val="0"/>
        </w:rPr>
        <w:t xml:space="preserve">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-1066162</wp:posOffset>
            </wp:positionH>
            <wp:positionV relativeFrom="paragraph">
              <wp:posOffset>-753704</wp:posOffset>
            </wp:positionV>
            <wp:extent cx="7530353" cy="1035685"/>
            <wp:effectExtent b="0" l="0" r="0" t="0"/>
            <wp:wrapNone/>
            <wp:docPr id="1479148639" name="image1.jpg"/>
            <a:graphic>
              <a:graphicData uri="http://schemas.openxmlformats.org/drawingml/2006/picture">
                <pic:pic>
                  <pic:nvPicPr>
                    <pic:cNvPr id="0" name="image1.jpg"/>
                    <pic:cNvPicPr preferRelativeResize="0"/>
                  </pic:nvPicPr>
                  <pic:blipFill>
                    <a:blip r:embed="rId7"/>
                    <a:srcRect b="28376" l="0" r="0" t="28901"/>
                    <a:stretch>
                      <a:fillRect/>
                    </a:stretch>
                  </pic:blipFill>
                  <pic:spPr>
                    <a:xfrm>
                      <a:off x="0" y="0"/>
                      <a:ext cx="7530353" cy="1035685"/>
                    </a:xfrm>
                    <a:prstGeom prst="rect"/>
                    <a:ln/>
                  </pic:spPr>
                </pic:pic>
              </a:graphicData>
            </a:graphic>
          </wp:anchor>
        </w:drawing>
      </w:r>
    </w:p>
    <w:p w:rsidR="00000000" w:rsidDel="00000000" w:rsidP="00000000" w:rsidRDefault="00000000" w:rsidRPr="00000000" w14:paraId="00000002">
      <w:pPr>
        <w:spacing w:after="240" w:before="240" w:lineRule="auto"/>
        <w:jc w:val="center"/>
        <w:rPr>
          <w:rFonts w:ascii="Arial" w:cs="Arial" w:eastAsia="Arial" w:hAnsi="Arial"/>
          <w:b w:val="1"/>
          <w:sz w:val="26"/>
          <w:szCs w:val="26"/>
        </w:rPr>
      </w:pPr>
      <w:r w:rsidDel="00000000" w:rsidR="00000000" w:rsidRPr="00000000">
        <w:rPr>
          <w:rtl w:val="0"/>
        </w:rPr>
      </w:r>
    </w:p>
    <w:p w:rsidR="00000000" w:rsidDel="00000000" w:rsidP="00000000" w:rsidRDefault="00000000" w:rsidRPr="00000000" w14:paraId="00000003">
      <w:pPr>
        <w:spacing w:after="240" w:before="240" w:lineRule="auto"/>
        <w:jc w:val="center"/>
        <w:rPr>
          <w:rFonts w:ascii="Arial" w:cs="Arial" w:eastAsia="Arial" w:hAnsi="Arial"/>
          <w:sz w:val="28"/>
          <w:szCs w:val="28"/>
        </w:rPr>
      </w:pPr>
      <w:r w:rsidDel="00000000" w:rsidR="00000000" w:rsidRPr="00000000">
        <w:rPr>
          <w:rFonts w:ascii="Arial" w:cs="Arial" w:eastAsia="Arial" w:hAnsi="Arial"/>
          <w:b w:val="1"/>
          <w:sz w:val="28"/>
          <w:szCs w:val="28"/>
          <w:rtl w:val="0"/>
        </w:rPr>
        <w:t xml:space="preserve">DEVELOPMENT OF ORGANOGEL-BASED MICROEMULSIONS CONTAINING BROWN PROPOLIS FROM ALAGOAS</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04">
      <w:pPr>
        <w:spacing w:after="120" w:lineRule="auto"/>
        <w:ind w:right="-427"/>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highlight w:val="white"/>
          <w:u w:val="single"/>
          <w:rtl w:val="0"/>
        </w:rPr>
        <w:t xml:space="preserve">Emanoel G. da Silva Junior </w:t>
      </w:r>
      <w:r w:rsidDel="00000000" w:rsidR="00000000" w:rsidRPr="00000000">
        <w:rPr>
          <w:rFonts w:ascii="Arial" w:cs="Arial" w:eastAsia="Arial" w:hAnsi="Arial"/>
          <w:b w:val="1"/>
          <w:sz w:val="20"/>
          <w:szCs w:val="20"/>
          <w:u w:val="single"/>
          <w:rtl w:val="0"/>
        </w:rPr>
        <w:t xml:space="preserve">(PG)</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b w:val="1"/>
          <w:sz w:val="20"/>
          <w:szCs w:val="20"/>
          <w:rtl w:val="0"/>
        </w:rPr>
        <w:t xml:space="preserve">Monique A. Vila Nova (PG)</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 Lucas R. de Oliveira Silva(PG)</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b w:val="1"/>
          <w:sz w:val="20"/>
          <w:szCs w:val="20"/>
          <w:rtl w:val="0"/>
        </w:rPr>
        <w:t xml:space="preserve">Kathylen V. Ferreira Santos (G)</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Nataly C. Soares Gama (PG)</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 Salvana P. Manso Costa (Res)</w:t>
      </w:r>
      <w:r w:rsidDel="00000000" w:rsidR="00000000" w:rsidRPr="00000000">
        <w:rPr>
          <w:rFonts w:ascii="Arial" w:cs="Arial" w:eastAsia="Arial" w:hAnsi="Arial"/>
          <w:b w:val="1"/>
          <w:sz w:val="20"/>
          <w:szCs w:val="20"/>
          <w:vertAlign w:val="superscript"/>
          <w:rtl w:val="0"/>
        </w:rPr>
        <w:t xml:space="preserve">3</w:t>
      </w:r>
      <w:r w:rsidDel="00000000" w:rsidR="00000000" w:rsidRPr="00000000">
        <w:rPr>
          <w:rFonts w:ascii="Arial" w:cs="Arial" w:eastAsia="Arial" w:hAnsi="Arial"/>
          <w:b w:val="1"/>
          <w:sz w:val="20"/>
          <w:szCs w:val="20"/>
          <w:rtl w:val="0"/>
        </w:rPr>
        <w:t xml:space="preserve">; Arthur Luy Tavares F. Borges (PG)</w:t>
      </w:r>
      <w:r w:rsidDel="00000000" w:rsidR="00000000" w:rsidRPr="00000000">
        <w:rPr>
          <w:rFonts w:ascii="Arial" w:cs="Arial" w:eastAsia="Arial" w:hAnsi="Arial"/>
          <w:b w:val="1"/>
          <w:sz w:val="20"/>
          <w:szCs w:val="20"/>
          <w:vertAlign w:val="superscript"/>
          <w:rtl w:val="0"/>
        </w:rPr>
        <w:t xml:space="preserve">4</w:t>
      </w:r>
      <w:r w:rsidDel="00000000" w:rsidR="00000000" w:rsidRPr="00000000">
        <w:rPr>
          <w:rFonts w:ascii="Arial" w:cs="Arial" w:eastAsia="Arial" w:hAnsi="Arial"/>
          <w:b w:val="1"/>
          <w:sz w:val="20"/>
          <w:szCs w:val="20"/>
          <w:rtl w:val="0"/>
        </w:rPr>
        <w:t xml:space="preserve">,</w:t>
      </w:r>
      <w:r w:rsidDel="00000000" w:rsidR="00000000" w:rsidRPr="00000000">
        <w:rPr>
          <w:rFonts w:ascii="Arial" w:cs="Arial" w:eastAsia="Arial" w:hAnsi="Arial"/>
          <w:b w:val="1"/>
          <w:sz w:val="20"/>
          <w:szCs w:val="20"/>
          <w:highlight w:val="white"/>
          <w:rtl w:val="0"/>
        </w:rPr>
        <w:t xml:space="preserve"> Fernanda Geny C. Silva (PG)</w:t>
      </w:r>
      <w:r w:rsidDel="00000000" w:rsidR="00000000" w:rsidRPr="00000000">
        <w:rPr>
          <w:rFonts w:ascii="Arial" w:cs="Arial" w:eastAsia="Arial" w:hAnsi="Arial"/>
          <w:b w:val="1"/>
          <w:sz w:val="20"/>
          <w:szCs w:val="20"/>
          <w:highlight w:val="white"/>
          <w:vertAlign w:val="superscript"/>
          <w:rtl w:val="0"/>
        </w:rPr>
        <w:t xml:space="preserve">4</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b w:val="1"/>
          <w:sz w:val="20"/>
          <w:szCs w:val="20"/>
          <w:shd w:fill="f9fbfd" w:val="clear"/>
          <w:rtl w:val="0"/>
        </w:rPr>
        <w:t xml:space="preserve">Shirley Vidal Amorim </w:t>
      </w:r>
      <w:r w:rsidDel="00000000" w:rsidR="00000000" w:rsidRPr="00000000">
        <w:rPr>
          <w:rFonts w:ascii="Arial" w:cs="Arial" w:eastAsia="Arial" w:hAnsi="Arial"/>
          <w:b w:val="1"/>
          <w:sz w:val="20"/>
          <w:szCs w:val="20"/>
          <w:highlight w:val="white"/>
          <w:rtl w:val="0"/>
        </w:rPr>
        <w:t xml:space="preserve">(PG)</w:t>
      </w:r>
      <w:r w:rsidDel="00000000" w:rsidR="00000000" w:rsidRPr="00000000">
        <w:rPr>
          <w:rFonts w:ascii="Arial" w:cs="Arial" w:eastAsia="Arial" w:hAnsi="Arial"/>
          <w:b w:val="1"/>
          <w:sz w:val="20"/>
          <w:szCs w:val="20"/>
          <w:highlight w:val="white"/>
          <w:vertAlign w:val="superscript"/>
          <w:rtl w:val="0"/>
        </w:rPr>
        <w:t xml:space="preserve">4</w:t>
      </w:r>
      <w:r w:rsidDel="00000000" w:rsidR="00000000" w:rsidRPr="00000000">
        <w:rPr>
          <w:rFonts w:ascii="Arial" w:cs="Arial" w:eastAsia="Arial" w:hAnsi="Arial"/>
          <w:b w:val="1"/>
          <w:sz w:val="20"/>
          <w:szCs w:val="20"/>
          <w:shd w:fill="f9fbfd" w:val="clear"/>
          <w:rtl w:val="0"/>
        </w:rPr>
        <w:t xml:space="preserve">,</w:t>
      </w:r>
      <w:r w:rsidDel="00000000" w:rsidR="00000000" w:rsidRPr="00000000">
        <w:rPr>
          <w:rFonts w:ascii="Arial" w:cs="Arial" w:eastAsia="Arial" w:hAnsi="Arial"/>
          <w:b w:val="1"/>
          <w:sz w:val="20"/>
          <w:szCs w:val="20"/>
          <w:highlight w:val="white"/>
          <w:rtl w:val="0"/>
        </w:rPr>
        <w:t xml:space="preserve"> João Victor Lessa de Oliveira (PG)</w:t>
      </w:r>
      <w:r w:rsidDel="00000000" w:rsidR="00000000" w:rsidRPr="00000000">
        <w:rPr>
          <w:rFonts w:ascii="Arial" w:cs="Arial" w:eastAsia="Arial" w:hAnsi="Arial"/>
          <w:b w:val="1"/>
          <w:sz w:val="20"/>
          <w:szCs w:val="20"/>
          <w:highlight w:val="white"/>
          <w:vertAlign w:val="superscript"/>
          <w:rtl w:val="0"/>
        </w:rPr>
        <w:t xml:space="preserve">5</w:t>
      </w:r>
      <w:r w:rsidDel="00000000" w:rsidR="00000000" w:rsidRPr="00000000">
        <w:rPr>
          <w:rFonts w:ascii="Arial" w:cs="Arial" w:eastAsia="Arial" w:hAnsi="Arial"/>
          <w:b w:val="1"/>
          <w:sz w:val="20"/>
          <w:szCs w:val="20"/>
          <w:highlight w:val="white"/>
          <w:rtl w:val="0"/>
        </w:rPr>
        <w:t xml:space="preserve">, </w:t>
      </w:r>
      <w:r w:rsidDel="00000000" w:rsidR="00000000" w:rsidRPr="00000000">
        <w:rPr>
          <w:rFonts w:ascii="Arial" w:cs="Arial" w:eastAsia="Arial" w:hAnsi="Arial"/>
          <w:b w:val="1"/>
          <w:sz w:val="20"/>
          <w:szCs w:val="20"/>
          <w:highlight w:val="white"/>
          <w:rtl w:val="0"/>
        </w:rPr>
        <w:t xml:space="preserve">Mariote dos Santos Brito Netto (Prof)</w:t>
      </w:r>
      <w:r w:rsidDel="00000000" w:rsidR="00000000" w:rsidRPr="00000000">
        <w:rPr>
          <w:rFonts w:ascii="Arial" w:cs="Arial" w:eastAsia="Arial" w:hAnsi="Arial"/>
          <w:b w:val="1"/>
          <w:sz w:val="20"/>
          <w:szCs w:val="20"/>
          <w:highlight w:val="white"/>
          <w:vertAlign w:val="superscript"/>
          <w:rtl w:val="0"/>
        </w:rPr>
        <w:t xml:space="preserve">2</w:t>
      </w:r>
      <w:r w:rsidDel="00000000" w:rsidR="00000000" w:rsidRPr="00000000">
        <w:rPr>
          <w:rFonts w:ascii="Arial" w:cs="Arial" w:eastAsia="Arial" w:hAnsi="Arial"/>
          <w:b w:val="1"/>
          <w:sz w:val="20"/>
          <w:szCs w:val="20"/>
          <w:highlight w:val="white"/>
          <w:rtl w:val="0"/>
        </w:rPr>
        <w:t xml:space="preserve">,</w:t>
      </w:r>
      <w:r w:rsidDel="00000000" w:rsidR="00000000" w:rsidRPr="00000000">
        <w:rPr>
          <w:rFonts w:ascii="Times New Roman" w:cs="Times New Roman" w:eastAsia="Times New Roman" w:hAnsi="Times New Roman"/>
          <w:b w:val="1"/>
          <w:color w:val="b8a123"/>
          <w:sz w:val="16"/>
          <w:szCs w:val="16"/>
          <w:rtl w:val="0"/>
        </w:rPr>
        <w:t xml:space="preserve"> </w:t>
      </w:r>
      <w:r w:rsidDel="00000000" w:rsidR="00000000" w:rsidRPr="00000000">
        <w:rPr>
          <w:rFonts w:ascii="Arial" w:cs="Arial" w:eastAsia="Arial" w:hAnsi="Arial"/>
          <w:b w:val="1"/>
          <w:sz w:val="20"/>
          <w:szCs w:val="20"/>
          <w:rtl w:val="0"/>
        </w:rPr>
        <w:t xml:space="preserve">Ticiano G. do Nascimento (Prof)</w:t>
      </w:r>
      <w:r w:rsidDel="00000000" w:rsidR="00000000" w:rsidRPr="00000000">
        <w:rPr>
          <w:rFonts w:ascii="Arial" w:cs="Arial" w:eastAsia="Arial" w:hAnsi="Arial"/>
          <w:b w:val="1"/>
          <w:sz w:val="20"/>
          <w:szCs w:val="20"/>
          <w:vertAlign w:val="superscript"/>
          <w:rtl w:val="0"/>
        </w:rPr>
        <w:t xml:space="preserve">1</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05">
      <w:pPr>
        <w:spacing w:after="120" w:lineRule="auto"/>
        <w:ind w:right="-427"/>
        <w:jc w:val="both"/>
        <w:rPr>
          <w:rFonts w:ascii="Arial" w:cs="Arial" w:eastAsia="Arial" w:hAnsi="Arial"/>
          <w:b w:val="1"/>
          <w:sz w:val="20"/>
          <w:szCs w:val="20"/>
          <w:u w:val="single"/>
        </w:rPr>
      </w:pPr>
      <w:r w:rsidDel="00000000" w:rsidR="00000000" w:rsidRPr="00000000">
        <w:rPr>
          <w:rFonts w:ascii="Arial" w:cs="Arial" w:eastAsia="Arial" w:hAnsi="Arial"/>
          <w:b w:val="1"/>
          <w:sz w:val="20"/>
          <w:szCs w:val="20"/>
          <w:u w:val="single"/>
          <w:rtl w:val="0"/>
        </w:rPr>
        <w:t xml:space="preserve">emanoel.junior@icf.ufal.br</w:t>
      </w:r>
      <w:r w:rsidDel="00000000" w:rsidR="00000000" w:rsidRPr="00000000">
        <w:rPr>
          <w:rtl w:val="0"/>
        </w:rPr>
      </w:r>
    </w:p>
    <w:p w:rsidR="00000000" w:rsidDel="00000000" w:rsidP="00000000" w:rsidRDefault="00000000" w:rsidRPr="00000000" w14:paraId="00000006">
      <w:pPr>
        <w:spacing w:after="80" w:line="276"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1</w:t>
      </w:r>
      <w:r w:rsidDel="00000000" w:rsidR="00000000" w:rsidRPr="00000000">
        <w:rPr>
          <w:rFonts w:ascii="Arial" w:cs="Arial" w:eastAsia="Arial" w:hAnsi="Arial"/>
          <w:sz w:val="20"/>
          <w:szCs w:val="20"/>
          <w:rtl w:val="0"/>
        </w:rPr>
        <w:t xml:space="preserve">Institute of Pharmaceutical Sciences, Federal University of Alagoas</w:t>
      </w:r>
    </w:p>
    <w:p w:rsidR="00000000" w:rsidDel="00000000" w:rsidP="00000000" w:rsidRDefault="00000000" w:rsidRPr="00000000" w14:paraId="00000007">
      <w:pPr>
        <w:spacing w:after="80" w:line="276"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2</w:t>
      </w:r>
      <w:r w:rsidDel="00000000" w:rsidR="00000000" w:rsidRPr="00000000">
        <w:rPr>
          <w:rFonts w:ascii="Arial" w:cs="Arial" w:eastAsia="Arial" w:hAnsi="Arial"/>
          <w:sz w:val="20"/>
          <w:szCs w:val="20"/>
          <w:rtl w:val="0"/>
        </w:rPr>
        <w:t xml:space="preserve">Campus of Agricultural Engineering and Sciences, Federal University of Alagoas</w:t>
      </w:r>
    </w:p>
    <w:p w:rsidR="00000000" w:rsidDel="00000000" w:rsidP="00000000" w:rsidRDefault="00000000" w:rsidRPr="00000000" w14:paraId="00000008">
      <w:pPr>
        <w:spacing w:after="80" w:line="276"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3</w:t>
      </w:r>
      <w:r w:rsidDel="00000000" w:rsidR="00000000" w:rsidRPr="00000000">
        <w:rPr>
          <w:rFonts w:ascii="Arial" w:cs="Arial" w:eastAsia="Arial" w:hAnsi="Arial"/>
          <w:sz w:val="20"/>
          <w:szCs w:val="20"/>
          <w:rtl w:val="0"/>
        </w:rPr>
        <w:t xml:space="preserve">Postgraduate program in Pharmaceutical Science, Federal University of Alagoas</w:t>
      </w:r>
    </w:p>
    <w:p w:rsidR="00000000" w:rsidDel="00000000" w:rsidP="00000000" w:rsidRDefault="00000000" w:rsidRPr="00000000" w14:paraId="00000009">
      <w:pPr>
        <w:spacing w:after="80" w:line="276"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4</w:t>
      </w:r>
      <w:r w:rsidDel="00000000" w:rsidR="00000000" w:rsidRPr="00000000">
        <w:rPr>
          <w:rFonts w:ascii="Arial" w:cs="Arial" w:eastAsia="Arial" w:hAnsi="Arial"/>
          <w:sz w:val="20"/>
          <w:szCs w:val="20"/>
          <w:rtl w:val="0"/>
        </w:rPr>
        <w:t xml:space="preserve">Postgraduate program in Materials, Federal University of Alagoas</w:t>
      </w:r>
    </w:p>
    <w:p w:rsidR="00000000" w:rsidDel="00000000" w:rsidP="00000000" w:rsidRDefault="00000000" w:rsidRPr="00000000" w14:paraId="0000000A">
      <w:pPr>
        <w:spacing w:after="80" w:line="276" w:lineRule="auto"/>
        <w:jc w:val="center"/>
        <w:rPr>
          <w:rFonts w:ascii="Arial" w:cs="Arial" w:eastAsia="Arial" w:hAnsi="Arial"/>
          <w:sz w:val="20"/>
          <w:szCs w:val="20"/>
        </w:rPr>
      </w:pPr>
      <w:r w:rsidDel="00000000" w:rsidR="00000000" w:rsidRPr="00000000">
        <w:rPr>
          <w:rFonts w:ascii="Arial" w:cs="Arial" w:eastAsia="Arial" w:hAnsi="Arial"/>
          <w:sz w:val="20"/>
          <w:szCs w:val="20"/>
          <w:vertAlign w:val="superscript"/>
          <w:rtl w:val="0"/>
        </w:rPr>
        <w:t xml:space="preserve">5</w:t>
      </w:r>
      <w:r w:rsidDel="00000000" w:rsidR="00000000" w:rsidRPr="00000000">
        <w:rPr>
          <w:rFonts w:ascii="Arial" w:cs="Arial" w:eastAsia="Arial" w:hAnsi="Arial"/>
          <w:sz w:val="20"/>
          <w:szCs w:val="20"/>
          <w:rtl w:val="0"/>
        </w:rPr>
        <w:t xml:space="preserve">Postgraduate program in Health Sciences, Federal University of Alagoas</w:t>
      </w:r>
    </w:p>
    <w:p w:rsidR="00000000" w:rsidDel="00000000" w:rsidP="00000000" w:rsidRDefault="00000000" w:rsidRPr="00000000" w14:paraId="0000000B">
      <w:pPr>
        <w:spacing w:after="80" w:line="276"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C">
      <w:pPr>
        <w:ind w:right="-427"/>
        <w:rPr>
          <w:rFonts w:ascii="Arial" w:cs="Arial" w:eastAsia="Arial" w:hAnsi="Arial"/>
          <w:b w:val="1"/>
          <w:color w:val="f8f8f8"/>
          <w:sz w:val="24"/>
          <w:szCs w:val="24"/>
        </w:rPr>
      </w:pPr>
      <w:r w:rsidDel="00000000" w:rsidR="00000000" w:rsidRPr="00000000">
        <w:rPr>
          <w:rFonts w:ascii="Arial" w:cs="Arial" w:eastAsia="Arial" w:hAnsi="Arial"/>
          <w:i w:val="1"/>
          <w:sz w:val="18"/>
          <w:szCs w:val="18"/>
          <w:rtl w:val="0"/>
        </w:rPr>
        <w:t xml:space="preserve">Keywords: Brown propolis, organogel, microemulsion, bioavailability.</w:t>
      </w:r>
      <w:r w:rsidDel="00000000" w:rsidR="00000000" w:rsidRPr="00000000">
        <w:rPr>
          <w:rFonts w:ascii="Arial" w:cs="Arial" w:eastAsia="Arial" w:hAnsi="Arial"/>
          <w:b w:val="1"/>
          <w:i w:val="1"/>
          <w:color w:val="f8f8f8"/>
          <w:sz w:val="18"/>
          <w:szCs w:val="18"/>
          <w:rtl w:val="0"/>
        </w:rPr>
        <w:t xml:space="preserve">AB</w:t>
      </w:r>
      <w:r w:rsidDel="00000000" w:rsidR="00000000" w:rsidRPr="00000000">
        <w:rPr>
          <w:rFonts w:ascii="Arial" w:cs="Arial" w:eastAsia="Arial" w:hAnsi="Arial"/>
          <w:b w:val="1"/>
          <w:color w:val="f8f8f8"/>
          <w:sz w:val="24"/>
          <w:szCs w:val="24"/>
          <w:rtl w:val="0"/>
        </w:rPr>
        <w:t xml:space="preserve">STRACT</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0</wp:posOffset>
                </wp:positionH>
                <wp:positionV relativeFrom="paragraph">
                  <wp:posOffset>165100</wp:posOffset>
                </wp:positionV>
                <wp:extent cx="5684520" cy="297180"/>
                <wp:effectExtent b="0" l="0" r="0" t="0"/>
                <wp:wrapNone/>
                <wp:docPr id="1479148638" name=""/>
                <a:graphic>
                  <a:graphicData uri="http://schemas.microsoft.com/office/word/2010/wordprocessingShape">
                    <wps:wsp>
                      <wps:cNvSpPr/>
                      <wps:cNvPr id="2" name="Shape 2"/>
                      <wps:spPr>
                        <a:xfrm>
                          <a:off x="2522790" y="3650460"/>
                          <a:ext cx="5646420" cy="259080"/>
                        </a:xfrm>
                        <a:prstGeom prst="rect">
                          <a:avLst/>
                        </a:prstGeom>
                        <a:solidFill>
                          <a:srgbClr val="D45516"/>
                        </a:solidFill>
                        <a:ln cap="flat" cmpd="sng" w="12700">
                          <a:solidFill>
                            <a:srgbClr val="D4551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0</wp:posOffset>
                </wp:positionH>
                <wp:positionV relativeFrom="paragraph">
                  <wp:posOffset>165100</wp:posOffset>
                </wp:positionV>
                <wp:extent cx="5684520" cy="297180"/>
                <wp:effectExtent b="0" l="0" r="0" t="0"/>
                <wp:wrapNone/>
                <wp:docPr id="147914863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684520" cy="297180"/>
                        </a:xfrm>
                        <a:prstGeom prst="rect"/>
                        <a:ln/>
                      </pic:spPr>
                    </pic:pic>
                  </a:graphicData>
                </a:graphic>
              </wp:anchor>
            </w:drawing>
          </mc:Fallback>
        </mc:AlternateContent>
      </w:r>
    </w:p>
    <w:p w:rsidR="00000000" w:rsidDel="00000000" w:rsidP="00000000" w:rsidRDefault="00000000" w:rsidRPr="00000000" w14:paraId="0000000D">
      <w:pPr>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E">
      <w:pPr>
        <w:spacing w:after="240" w:befor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Introduction: </w:t>
      </w:r>
      <w:r w:rsidDel="00000000" w:rsidR="00000000" w:rsidRPr="00000000">
        <w:rPr>
          <w:rFonts w:ascii="Arial" w:cs="Arial" w:eastAsia="Arial" w:hAnsi="Arial"/>
          <w:sz w:val="20"/>
          <w:szCs w:val="20"/>
          <w:rtl w:val="0"/>
        </w:rPr>
        <w:t xml:space="preserve">Propolis is a natural product obtained from buds and plant exudates collected by bees. The flora surrounding bee communities is a determining factor in the composition of propolis and, therefore, in its biological and medicinal properties. Brown propolis is one of the most important types of propolis in Brazil and is characterized by the presence of high levels of triterpenoids. It has been the subject of several studies due to its important biological properties such as antioxidant and anti-inflammatory, among others, and is an important therapeutic alternative, from an economic point of view, as it is pharmacologically efficient and easy to obtain. However, its topical application is limited by its low solubility in water and low permeability through the stratum corneum. To overcome this limitation, microemulsion systems based on organogels have proven to be an innovative way of delivering hydrophobic substances such as propolis. Organogels are thermally reversible viscoelastic materials that are formed due to intermolecular interactions between an organic liquid and small concentrations of gelling agents with relatively low molecular weight. </w:t>
      </w:r>
      <w:r w:rsidDel="00000000" w:rsidR="00000000" w:rsidRPr="00000000">
        <w:rPr>
          <w:rFonts w:ascii="Arial" w:cs="Arial" w:eastAsia="Arial" w:hAnsi="Arial"/>
          <w:b w:val="1"/>
          <w:sz w:val="20"/>
          <w:szCs w:val="20"/>
          <w:rtl w:val="0"/>
        </w:rPr>
        <w:t xml:space="preserve">Objective: </w:t>
      </w:r>
      <w:r w:rsidDel="00000000" w:rsidR="00000000" w:rsidRPr="00000000">
        <w:rPr>
          <w:rFonts w:ascii="Arial" w:cs="Arial" w:eastAsia="Arial" w:hAnsi="Arial"/>
          <w:sz w:val="20"/>
          <w:szCs w:val="20"/>
          <w:rtl w:val="0"/>
        </w:rPr>
        <w:t xml:space="preserve">The present work aims to develop and characterize organogel-based microemulsions containing brown propolis extract from Alagoas (BPEA). </w:t>
      </w:r>
      <w:r w:rsidDel="00000000" w:rsidR="00000000" w:rsidRPr="00000000">
        <w:rPr>
          <w:rFonts w:ascii="Arial" w:cs="Arial" w:eastAsia="Arial" w:hAnsi="Arial"/>
          <w:b w:val="1"/>
          <w:sz w:val="20"/>
          <w:szCs w:val="20"/>
          <w:rtl w:val="0"/>
        </w:rPr>
        <w:t xml:space="preserve">Methodology: </w:t>
      </w:r>
      <w:r w:rsidDel="00000000" w:rsidR="00000000" w:rsidRPr="00000000">
        <w:rPr>
          <w:rFonts w:ascii="Arial" w:cs="Arial" w:eastAsia="Arial" w:hAnsi="Arial"/>
          <w:sz w:val="20"/>
          <w:szCs w:val="20"/>
          <w:rtl w:val="0"/>
        </w:rPr>
        <w:t xml:space="preserve">A pseudoternary phase diagram was constructed to evaluate the phase behavior and obtain the systems. Subsequently, BPEA was incorporated in different proportions to the formulations. These were characterized through polarized light microscopy (PLM), pH and conductivity. The antioxidant activity was confirmed through the DPPH (2,2-Diphenyl-1-Picryl-Hydrazyl) radical scavenging assay. The determination of total flavonoids was performed by a spectrophotometric method using aluminum chloride. </w:t>
      </w:r>
      <w:r w:rsidDel="00000000" w:rsidR="00000000" w:rsidRPr="00000000">
        <w:rPr>
          <w:rFonts w:ascii="Arial" w:cs="Arial" w:eastAsia="Arial" w:hAnsi="Arial"/>
          <w:b w:val="1"/>
          <w:sz w:val="20"/>
          <w:szCs w:val="20"/>
          <w:rtl w:val="0"/>
        </w:rPr>
        <w:t xml:space="preserve">Results and discussion:</w:t>
      </w:r>
      <w:r w:rsidDel="00000000" w:rsidR="00000000" w:rsidRPr="00000000">
        <w:rPr>
          <w:rFonts w:ascii="Arial" w:cs="Arial" w:eastAsia="Arial" w:hAnsi="Arial"/>
          <w:sz w:val="20"/>
          <w:szCs w:val="20"/>
          <w:rtl w:val="0"/>
        </w:rPr>
        <w:t xml:space="preserve"> The PLM, pH and conductivity measurements indicated that the evaluated formulations are promising, as they presented the desired characteristics for cosmetic applications for the delivery of BPEA. In addition, the formulations showed antioxidant activity as well as the presence of flavonoids. </w:t>
      </w:r>
      <w:r w:rsidDel="00000000" w:rsidR="00000000" w:rsidRPr="00000000">
        <w:rPr>
          <w:rFonts w:ascii="Arial" w:cs="Arial" w:eastAsia="Arial" w:hAnsi="Arial"/>
          <w:b w:val="1"/>
          <w:sz w:val="20"/>
          <w:szCs w:val="20"/>
          <w:rtl w:val="0"/>
        </w:rPr>
        <w:t xml:space="preserve">Conclusion:</w:t>
      </w:r>
      <w:r w:rsidDel="00000000" w:rsidR="00000000" w:rsidRPr="00000000">
        <w:rPr>
          <w:rFonts w:ascii="Arial" w:cs="Arial" w:eastAsia="Arial" w:hAnsi="Arial"/>
          <w:sz w:val="20"/>
          <w:szCs w:val="20"/>
          <w:rtl w:val="0"/>
        </w:rPr>
        <w:t xml:space="preserve"> In general, the samples showed biocompatibility and possible applicability for topical use. Therefore, this study showed that organogels containing brown propolis extract may serve as an alternative delivery system for this natural product, potentially allowing an optimized release of lipophilic substances, such as propolis, and improving their bioavailability.</w:t>
      </w:r>
    </w:p>
    <w:sectPr>
      <w:footerReference r:id="rId9" w:type="default"/>
      <w:pgSz w:h="16838" w:w="11906" w:orient="portrait"/>
      <w:pgMar w:bottom="426" w:top="1134" w:left="1701" w:right="1285.8661417322844" w:header="708" w:footer="47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both"/>
      <w:rPr>
        <w:rFonts w:ascii="Times New Roman" w:cs="Times New Roman" w:eastAsia="Times New Roman" w:hAnsi="Times New Roman"/>
        <w:i w:val="1"/>
        <w:color w:val="000000"/>
        <w:sz w:val="18"/>
        <w:szCs w:val="18"/>
      </w:rPr>
    </w:pPr>
    <w:r w:rsidDel="00000000" w:rsidR="00000000" w:rsidRPr="00000000">
      <w:rPr>
        <w:rFonts w:ascii="Times New Roman" w:cs="Times New Roman" w:eastAsia="Times New Roman" w:hAnsi="Times New Roman"/>
        <w:i w:val="1"/>
        <w:color w:val="000000"/>
        <w:sz w:val="18"/>
        <w:szCs w:val="18"/>
        <w:rtl w:val="0"/>
      </w:rPr>
      <w:t xml:space="preserve">3rd Brazil-France Symposium on Medicinal Chemistry: Advances in Drug Design and Discovery. Maceió-AL, 2024.</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A30AF6"/>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A30AF6"/>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A30AF6"/>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A30AF6"/>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A30AF6"/>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A30AF6"/>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A30AF6"/>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A30AF6"/>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A30AF6"/>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link w:val="TtuloChar"/>
    <w:uiPriority w:val="10"/>
    <w:qFormat w:val="1"/>
    <w:rsid w:val="00A30AF6"/>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1Char" w:customStyle="1">
    <w:name w:val="Título 1 Char"/>
    <w:basedOn w:val="Fontepargpadro"/>
    <w:link w:val="Ttulo1"/>
    <w:uiPriority w:val="9"/>
    <w:rsid w:val="00A30AF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A30AF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A30AF6"/>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A30AF6"/>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A30AF6"/>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A30AF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A30AF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A30AF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A30AF6"/>
    <w:rPr>
      <w:rFonts w:cstheme="majorBidi" w:eastAsiaTheme="majorEastAsia"/>
      <w:color w:val="272727" w:themeColor="text1" w:themeTint="0000D8"/>
    </w:rPr>
  </w:style>
  <w:style w:type="character" w:styleId="TtuloChar" w:customStyle="1">
    <w:name w:val="Título Char"/>
    <w:basedOn w:val="Fontepargpadro"/>
    <w:link w:val="Ttulo"/>
    <w:uiPriority w:val="10"/>
    <w:rsid w:val="00A30AF6"/>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Pr>
      <w:color w:val="595959"/>
      <w:sz w:val="28"/>
      <w:szCs w:val="28"/>
    </w:rPr>
  </w:style>
  <w:style w:type="character" w:styleId="SubttuloChar" w:customStyle="1">
    <w:name w:val="Subtítulo Char"/>
    <w:basedOn w:val="Fontepargpadro"/>
    <w:link w:val="Subttulo"/>
    <w:uiPriority w:val="11"/>
    <w:rsid w:val="00A30AF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A30AF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A30AF6"/>
    <w:rPr>
      <w:i w:val="1"/>
      <w:iCs w:val="1"/>
      <w:color w:val="404040" w:themeColor="text1" w:themeTint="0000BF"/>
    </w:rPr>
  </w:style>
  <w:style w:type="paragraph" w:styleId="PargrafodaLista">
    <w:name w:val="List Paragraph"/>
    <w:basedOn w:val="Normal"/>
    <w:uiPriority w:val="34"/>
    <w:qFormat w:val="1"/>
    <w:rsid w:val="00A30AF6"/>
    <w:pPr>
      <w:ind w:left="720"/>
      <w:contextualSpacing w:val="1"/>
    </w:pPr>
  </w:style>
  <w:style w:type="character" w:styleId="nfaseIntensa">
    <w:name w:val="Intense Emphasis"/>
    <w:basedOn w:val="Fontepargpadro"/>
    <w:uiPriority w:val="21"/>
    <w:qFormat w:val="1"/>
    <w:rsid w:val="00A30AF6"/>
    <w:rPr>
      <w:i w:val="1"/>
      <w:iCs w:val="1"/>
      <w:color w:val="0f4761" w:themeColor="accent1" w:themeShade="0000BF"/>
    </w:rPr>
  </w:style>
  <w:style w:type="paragraph" w:styleId="CitaoIntensa">
    <w:name w:val="Intense Quote"/>
    <w:basedOn w:val="Normal"/>
    <w:next w:val="Normal"/>
    <w:link w:val="CitaoIntensaChar"/>
    <w:uiPriority w:val="30"/>
    <w:qFormat w:val="1"/>
    <w:rsid w:val="00A30AF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A30AF6"/>
    <w:rPr>
      <w:i w:val="1"/>
      <w:iCs w:val="1"/>
      <w:color w:val="0f4761" w:themeColor="accent1" w:themeShade="0000BF"/>
    </w:rPr>
  </w:style>
  <w:style w:type="character" w:styleId="RefernciaIntensa">
    <w:name w:val="Intense Reference"/>
    <w:basedOn w:val="Fontepargpadro"/>
    <w:uiPriority w:val="32"/>
    <w:qFormat w:val="1"/>
    <w:rsid w:val="00A30AF6"/>
    <w:rPr>
      <w:b w:val="1"/>
      <w:bCs w:val="1"/>
      <w:smallCaps w:val="1"/>
      <w:color w:val="0f4761" w:themeColor="accent1" w:themeShade="0000BF"/>
      <w:spacing w:val="5"/>
    </w:rPr>
  </w:style>
  <w:style w:type="paragraph" w:styleId="Cabealho">
    <w:name w:val="header"/>
    <w:basedOn w:val="Normal"/>
    <w:link w:val="CabealhoChar"/>
    <w:uiPriority w:val="99"/>
    <w:unhideWhenUsed w:val="1"/>
    <w:rsid w:val="00A30AF6"/>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A30AF6"/>
  </w:style>
  <w:style w:type="paragraph" w:styleId="Rodap">
    <w:name w:val="footer"/>
    <w:basedOn w:val="Normal"/>
    <w:link w:val="RodapChar"/>
    <w:uiPriority w:val="99"/>
    <w:unhideWhenUsed w:val="1"/>
    <w:rsid w:val="00A30AF6"/>
    <w:pPr>
      <w:tabs>
        <w:tab w:val="center" w:pos="4252"/>
        <w:tab w:val="right" w:pos="8504"/>
      </w:tabs>
      <w:spacing w:after="0" w:line="240" w:lineRule="auto"/>
    </w:pPr>
  </w:style>
  <w:style w:type="character" w:styleId="RodapChar" w:customStyle="1">
    <w:name w:val="Rodapé Char"/>
    <w:basedOn w:val="Fontepargpadro"/>
    <w:link w:val="Rodap"/>
    <w:uiPriority w:val="99"/>
    <w:rsid w:val="00A30AF6"/>
  </w:style>
  <w:style w:type="character" w:styleId="Hyperlink">
    <w:name w:val="Hyperlink"/>
    <w:basedOn w:val="Fontepargpadro"/>
    <w:uiPriority w:val="99"/>
    <w:unhideWhenUsed w:val="1"/>
    <w:rsid w:val="00936C7A"/>
    <w:rPr>
      <w:color w:val="467886" w:themeColor="hyperlink"/>
      <w:u w:val="single"/>
    </w:rPr>
  </w:style>
  <w:style w:type="character" w:styleId="MenoPendente">
    <w:name w:val="Unresolved Mention"/>
    <w:basedOn w:val="Fontepargpadro"/>
    <w:uiPriority w:val="99"/>
    <w:semiHidden w:val="1"/>
    <w:unhideWhenUsed w:val="1"/>
    <w:rsid w:val="00936C7A"/>
    <w:rPr>
      <w:color w:val="605e5c"/>
      <w:shd w:color="auto" w:fill="e1dfdd" w:val="clear"/>
    </w:rPr>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SkOmSxBYLY+M3C0F0+gfiA1ktA==">CgMxLjA4AHIhMUYxSi13VXNzQnA0TWE5cWN4c3pONFFNWDZGcEhNMDZW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2024-07-21T02:48:00Z</dcterms:created>
  <dc:creator>nathalia monteiro</dc:creator>
</cp:coreProperties>
</file>