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5D4D0C6" w:rsidR="0027518C" w:rsidRDefault="006B7AA4">
          <w:r>
            <w:rPr>
              <w:noProof/>
              <w:lang w:eastAsia="pt-BR"/>
            </w:rPr>
            <mc:AlternateContent>
              <mc:Choice Requires="wps">
                <w:drawing>
                  <wp:anchor distT="0" distB="0" distL="114300" distR="114300" simplePos="0" relativeHeight="251665408" behindDoc="0" locked="0" layoutInCell="1" allowOverlap="1" wp14:anchorId="784170F8" wp14:editId="6E8597A7">
                    <wp:simplePos x="0" y="0"/>
                    <wp:positionH relativeFrom="column">
                      <wp:posOffset>518795</wp:posOffset>
                    </wp:positionH>
                    <wp:positionV relativeFrom="paragraph">
                      <wp:posOffset>6856730</wp:posOffset>
                    </wp:positionV>
                    <wp:extent cx="933450"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933450" cy="494030"/>
                            </a:xfrm>
                            <a:prstGeom prst="rect">
                              <a:avLst/>
                            </a:prstGeom>
                            <a:noFill/>
                            <a:ln w="6350">
                              <a:noFill/>
                            </a:ln>
                          </wps:spPr>
                          <wps:txbx>
                            <w:txbxContent>
                              <w:p w14:paraId="7AC046C5" w14:textId="27BFEF3C" w:rsidR="0053021A" w:rsidRPr="00733AFB" w:rsidRDefault="006B7AA4" w:rsidP="0053021A">
                                <w:pPr>
                                  <w:rPr>
                                    <w:rFonts w:ascii="Antonio" w:hAnsi="Antonio"/>
                                    <w:color w:val="F8EDD1"/>
                                    <w:sz w:val="44"/>
                                    <w:szCs w:val="44"/>
                                  </w:rPr>
                                </w:pPr>
                                <w:r>
                                  <w:rPr>
                                    <w:rFonts w:ascii="Antonio" w:hAnsi="Antonio"/>
                                    <w:color w:val="F8EDD1"/>
                                    <w:sz w:val="44"/>
                                    <w:szCs w:val="44"/>
                                  </w:rPr>
                                  <w:t>GT03</w:t>
                                </w:r>
                                <w:r w:rsidR="0053021A" w:rsidRPr="006B7AA4">
                                  <w:rPr>
                                    <w:rFonts w:ascii="Antonio" w:hAnsi="Antonio"/>
                                    <w:color w:val="FFFFFF" w:themeColor="background1"/>
                                    <w:sz w:val="44"/>
                                    <w:szCs w:val="44"/>
                                  </w:rPr>
                                  <w:t xml:space="preserve"> </w:t>
                                </w:r>
                                <w:r>
                                  <w:rPr>
                                    <w:rFonts w:ascii="Antonio" w:hAnsi="Antonio"/>
                                    <w:color w:val="FFFFFF" w:themeColor="background1"/>
                                    <w:sz w:val="44"/>
                                    <w:szCs w:val="44"/>
                                  </w:rPr>
                                  <w:t>0</w:t>
                                </w:r>
                                <w:r>
                                  <w:rPr>
                                    <w:rFonts w:ascii="Antonio" w:hAnsi="Antonio"/>
                                    <w:color w:val="F8EDD1"/>
                                    <w:sz w:val="44"/>
                                    <w:szCs w:val="44"/>
                                  </w:rPr>
                                  <w:t>0303</w:t>
                                </w:r>
                                <w:r w:rsidR="0053021A"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84170F8" id="_x0000_t202" coordsize="21600,21600" o:spt="202" path="m,l,21600r21600,l21600,xe">
                    <v:stroke joinstyle="miter"/>
                    <v:path gradientshapeok="t" o:connecttype="rect"/>
                  </v:shapetype>
                  <v:shape id="Caixa de Texto 4" o:spid="_x0000_s1026" type="#_x0000_t202" style="position:absolute;margin-left:40.85pt;margin-top:539.9pt;width:73.5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" filled="f" stroked="f" strokeweight=".5pt">
                    <v:textbox>
                      <w:txbxContent>
                        <w:p w14:paraId="7AC046C5" w14:textId="27BFEF3C" w:rsidR="0053021A" w:rsidRPr="00733AFB" w:rsidRDefault="006B7AA4" w:rsidP="0053021A">
                          <w:pPr>
                            <w:rPr>
                              <w:rFonts w:ascii="Antonio" w:hAnsi="Antonio"/>
                              <w:color w:val="F8EDD1"/>
                              <w:sz w:val="44"/>
                              <w:szCs w:val="44"/>
                            </w:rPr>
                          </w:pPr>
                          <w:r>
                            <w:rPr>
                              <w:rFonts w:ascii="Antonio" w:hAnsi="Antonio"/>
                              <w:color w:val="F8EDD1"/>
                              <w:sz w:val="44"/>
                              <w:szCs w:val="44"/>
                            </w:rPr>
                            <w:t>GT03</w:t>
                          </w:r>
                          <w:r w:rsidR="0053021A" w:rsidRPr="006B7AA4">
                            <w:rPr>
                              <w:rFonts w:ascii="Antonio" w:hAnsi="Antonio"/>
                              <w:color w:val="FFFFFF" w:themeColor="background1"/>
                              <w:sz w:val="44"/>
                              <w:szCs w:val="44"/>
                            </w:rPr>
                            <w:t xml:space="preserve"> </w:t>
                          </w:r>
                          <w:r>
                            <w:rPr>
                              <w:rFonts w:ascii="Antonio" w:hAnsi="Antonio"/>
                              <w:color w:val="FFFFFF" w:themeColor="background1"/>
                              <w:sz w:val="44"/>
                              <w:szCs w:val="44"/>
                            </w:rPr>
                            <w:t>0</w:t>
                          </w:r>
                          <w:r>
                            <w:rPr>
                              <w:rFonts w:ascii="Antonio" w:hAnsi="Antonio"/>
                              <w:color w:val="F8EDD1"/>
                              <w:sz w:val="44"/>
                              <w:szCs w:val="44"/>
                            </w:rPr>
                            <w:t>0303</w:t>
                          </w:r>
                          <w:r w:rsidR="0053021A" w:rsidRPr="00733AFB">
                            <w:rPr>
                              <w:rFonts w:ascii="Antonio" w:hAnsi="Antonio"/>
                              <w:color w:val="F8EDD1"/>
                              <w:sz w:val="44"/>
                              <w:szCs w:val="44"/>
                            </w:rPr>
                            <w:t>01:</w:t>
                          </w:r>
                        </w:p>
                      </w:txbxContent>
                    </v:textbox>
                  </v:shape>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6BC66427">
                    <wp:simplePos x="0" y="0"/>
                    <wp:positionH relativeFrom="column">
                      <wp:posOffset>1328420</wp:posOffset>
                    </wp:positionH>
                    <wp:positionV relativeFrom="paragraph">
                      <wp:posOffset>6847205</wp:posOffset>
                    </wp:positionV>
                    <wp:extent cx="3694430" cy="39052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390525"/>
                            </a:xfrm>
                            <a:prstGeom prst="rect">
                              <a:avLst/>
                            </a:prstGeom>
                            <a:noFill/>
                            <a:ln w="6350">
                              <a:noFill/>
                            </a:ln>
                          </wps:spPr>
                          <wps:txbx>
                            <w:txbxContent>
                              <w:p w14:paraId="638EDCFA" w14:textId="46E95114" w:rsidR="0053021A" w:rsidRPr="00733AFB" w:rsidRDefault="006B7AA4" w:rsidP="0053021A">
                                <w:pPr>
                                  <w:rPr>
                                    <w:rFonts w:ascii="Antonio" w:hAnsi="Antonio"/>
                                    <w:color w:val="1A9B3C"/>
                                    <w:sz w:val="36"/>
                                    <w:szCs w:val="36"/>
                                  </w:rPr>
                                </w:pPr>
                                <w:r w:rsidRPr="006B7AA4">
                                  <w:rPr>
                                    <w:rFonts w:ascii="Antonio" w:hAnsi="Antonio"/>
                                    <w:color w:val="1A9B3C"/>
                                    <w:sz w:val="36"/>
                                    <w:szCs w:val="36"/>
                                  </w:rPr>
                                  <w:t xml:space="preserve">Ruralidades e Meio Ambiente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E65D060" id="Caixa de Texto 2" o:spid="_x0000_s1027" type="#_x0000_t202" style="position:absolute;margin-left:104.6pt;margin-top:539.15pt;width:290.9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" filled="f" stroked="f" strokeweight=".5pt">
                    <v:textbox>
                      <w:txbxContent>
                        <w:p w14:paraId="638EDCFA" w14:textId="46E95114" w:rsidR="0053021A" w:rsidRPr="00733AFB" w:rsidRDefault="006B7AA4" w:rsidP="0053021A">
                          <w:pPr>
                            <w:rPr>
                              <w:rFonts w:ascii="Antonio" w:hAnsi="Antonio"/>
                              <w:color w:val="1A9B3C"/>
                              <w:sz w:val="36"/>
                              <w:szCs w:val="36"/>
                            </w:rPr>
                          </w:pPr>
                          <w:r w:rsidRPr="006B7AA4">
                            <w:rPr>
                              <w:rFonts w:ascii="Antonio" w:hAnsi="Antonio"/>
                              <w:color w:val="1A9B3C"/>
                              <w:sz w:val="36"/>
                              <w:szCs w:val="36"/>
                            </w:rPr>
                            <w:t xml:space="preserve">Ruralidades e Meio Ambiente </w:t>
                          </w:r>
                        </w:p>
                      </w:txbxContent>
                    </v:textbox>
                  </v:shape>
                </w:pict>
              </mc:Fallback>
            </mc:AlternateContent>
          </w:r>
          <w:r w:rsidR="0053021A">
            <w:rPr>
              <w:noProof/>
              <w:lang w:eastAsia="pt-BR"/>
            </w:rPr>
            <mc:AlternateContent>
              <mc:Choice Requires="wps">
                <w:drawing>
                  <wp:anchor distT="0" distB="0" distL="114300" distR="114300" simplePos="0" relativeHeight="251667456" behindDoc="1" locked="0" layoutInCell="1" allowOverlap="1" wp14:anchorId="486A8980" wp14:editId="005A3F6F">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A68E24E"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" fillcolor="#1a9b3c" stroked="f" strokeweight="1pt">
                    <v:stroke joinstyle="miter"/>
                  </v:roundrect>
                </w:pict>
              </mc:Fallback>
            </mc:AlternateContent>
          </w:r>
          <w:r w:rsidR="0053021A">
            <w:br w:type="page"/>
          </w:r>
        </w:p>
      </w:sdtContent>
    </w:sdt>
    <w:p w14:paraId="5754FE1E" w14:textId="267CD515" w:rsidR="00FD63F8" w:rsidRDefault="00FD63F8" w:rsidP="00FD63F8">
      <w:pPr>
        <w:jc w:val="center"/>
        <w:rPr>
          <w:rFonts w:eastAsia="Arial"/>
          <w:b/>
          <w:bCs/>
        </w:rPr>
      </w:pPr>
      <w:r>
        <w:rPr>
          <w:rFonts w:eastAsia="Arial"/>
          <w:b/>
          <w:bCs/>
        </w:rPr>
        <w:lastRenderedPageBreak/>
        <w:t>RETRATO</w:t>
      </w:r>
      <w:r w:rsidR="00E9035C">
        <w:rPr>
          <w:rFonts w:eastAsia="Arial"/>
          <w:b/>
          <w:bCs/>
        </w:rPr>
        <w:t>S</w:t>
      </w:r>
      <w:r>
        <w:rPr>
          <w:rFonts w:eastAsia="Arial"/>
          <w:b/>
          <w:bCs/>
        </w:rPr>
        <w:t xml:space="preserve"> DE</w:t>
      </w:r>
      <w:r w:rsidR="00383B98">
        <w:rPr>
          <w:rFonts w:eastAsia="Arial"/>
          <w:b/>
          <w:bCs/>
        </w:rPr>
        <w:t xml:space="preserve"> </w:t>
      </w:r>
      <w:r>
        <w:rPr>
          <w:rFonts w:eastAsia="Arial"/>
          <w:b/>
          <w:bCs/>
        </w:rPr>
        <w:t>UM ECOCÍDIO:</w:t>
      </w:r>
    </w:p>
    <w:p w14:paraId="2DD22C58" w14:textId="40D77962" w:rsidR="00216EFF" w:rsidRPr="00216EFF" w:rsidRDefault="00FD63F8" w:rsidP="00FD63F8">
      <w:pPr>
        <w:jc w:val="center"/>
        <w:rPr>
          <w:rFonts w:eastAsia="Arial"/>
          <w:b/>
          <w:bCs/>
        </w:rPr>
      </w:pPr>
      <w:r>
        <w:rPr>
          <w:rFonts w:eastAsia="Arial"/>
          <w:b/>
          <w:bCs/>
        </w:rPr>
        <w:t>PECUÁRIA FAMILIAR E</w:t>
      </w:r>
      <w:r w:rsidR="00E9035C">
        <w:rPr>
          <w:rFonts w:eastAsia="Arial"/>
          <w:b/>
          <w:bCs/>
        </w:rPr>
        <w:t xml:space="preserve"> </w:t>
      </w:r>
      <w:r>
        <w:rPr>
          <w:rFonts w:eastAsia="Arial"/>
          <w:b/>
          <w:bCs/>
        </w:rPr>
        <w:t>PAMPA GAÚCHO SOB O IMPÉRIO DA SOJA</w:t>
      </w:r>
    </w:p>
    <w:p w14:paraId="6709A51A" w14:textId="77777777" w:rsidR="00FD63F8" w:rsidRDefault="00FD63F8" w:rsidP="00216EFF">
      <w:pPr>
        <w:spacing w:line="360" w:lineRule="auto"/>
        <w:ind w:hanging="2"/>
        <w:jc w:val="center"/>
        <w:rPr>
          <w:rFonts w:eastAsia="Arial" w:cs="Arial"/>
        </w:rPr>
      </w:pPr>
    </w:p>
    <w:p w14:paraId="50A5D750" w14:textId="602268B6" w:rsidR="00216EFF" w:rsidRPr="00216EFF" w:rsidRDefault="00154C6D" w:rsidP="00216EFF">
      <w:pPr>
        <w:spacing w:line="360" w:lineRule="auto"/>
        <w:ind w:hanging="2"/>
        <w:jc w:val="center"/>
        <w:rPr>
          <w:rFonts w:eastAsia="Arial" w:cs="Arial"/>
          <w:vertAlign w:val="superscript"/>
        </w:rPr>
      </w:pPr>
      <w:r>
        <w:rPr>
          <w:rFonts w:eastAsia="Arial" w:cs="Arial"/>
        </w:rPr>
        <w:t>Flávio Sacco dos Anjos</w:t>
      </w:r>
      <w:r w:rsidR="00216EFF" w:rsidRPr="00216EFF">
        <w:rPr>
          <w:rStyle w:val="Refdenotaderodap"/>
          <w:rFonts w:eastAsia="Arial" w:cs="Arial"/>
        </w:rPr>
        <w:footnoteReference w:id="1"/>
      </w:r>
    </w:p>
    <w:p w14:paraId="05420B62" w14:textId="3D25543F" w:rsidR="00216EFF" w:rsidRDefault="00154C6D" w:rsidP="00216EFF">
      <w:pPr>
        <w:spacing w:line="360" w:lineRule="auto"/>
        <w:ind w:hanging="2"/>
        <w:jc w:val="center"/>
        <w:rPr>
          <w:rFonts w:eastAsia="Arial" w:cs="Arial"/>
        </w:rPr>
      </w:pPr>
      <w:r>
        <w:rPr>
          <w:rFonts w:eastAsia="Arial" w:cs="Arial"/>
        </w:rPr>
        <w:t>Nádia Velleda Caldas</w:t>
      </w:r>
      <w:r w:rsidR="00216EFF" w:rsidRPr="00216EFF">
        <w:rPr>
          <w:rStyle w:val="Refdenotaderodap"/>
          <w:rFonts w:eastAsia="Arial" w:cs="Arial"/>
        </w:rPr>
        <w:footnoteReference w:id="2"/>
      </w:r>
    </w:p>
    <w:p w14:paraId="5C1DD505" w14:textId="220D8C82" w:rsidR="00154C6D" w:rsidRPr="00216EFF" w:rsidRDefault="00154C6D" w:rsidP="00216EFF">
      <w:pPr>
        <w:spacing w:line="360" w:lineRule="auto"/>
        <w:ind w:hanging="2"/>
        <w:jc w:val="center"/>
        <w:rPr>
          <w:rFonts w:eastAsia="Arial" w:cs="Arial"/>
        </w:rPr>
      </w:pPr>
      <w:r>
        <w:rPr>
          <w:rFonts w:eastAsia="Arial" w:cs="Arial"/>
        </w:rPr>
        <w:t>Joélio Farias Maia</w:t>
      </w:r>
      <w:r>
        <w:rPr>
          <w:rStyle w:val="Refdenotaderodap"/>
          <w:rFonts w:eastAsia="Arial" w:cs="Arial"/>
        </w:rPr>
        <w:footnoteReference w:id="3"/>
      </w:r>
    </w:p>
    <w:p w14:paraId="197CC6C0" w14:textId="511EA7BD" w:rsidR="00216EFF" w:rsidRPr="00216EFF" w:rsidRDefault="00216EFF" w:rsidP="00FD63F8">
      <w:pPr>
        <w:spacing w:before="120" w:line="360" w:lineRule="auto"/>
        <w:rPr>
          <w:rFonts w:eastAsia="Arial" w:cs="Arial"/>
          <w:color w:val="FF0000"/>
        </w:rPr>
      </w:pPr>
      <w:r w:rsidRPr="00216EFF">
        <w:rPr>
          <w:rFonts w:eastAsia="Arial" w:cs="Arial"/>
          <w:b/>
        </w:rPr>
        <w:t xml:space="preserve">GT </w:t>
      </w:r>
      <w:r w:rsidR="00154C6D">
        <w:rPr>
          <w:rFonts w:eastAsia="Arial" w:cs="Arial"/>
          <w:b/>
        </w:rPr>
        <w:t>03</w:t>
      </w:r>
      <w:r w:rsidRPr="00216EFF">
        <w:rPr>
          <w:rFonts w:eastAsia="Arial" w:cs="Arial"/>
          <w:b/>
        </w:rPr>
        <w:t>:</w:t>
      </w:r>
      <w:r w:rsidRPr="00216EFF">
        <w:rPr>
          <w:rFonts w:eastAsia="Arial" w:cs="Arial"/>
        </w:rPr>
        <w:t xml:space="preserve"> </w:t>
      </w:r>
      <w:r w:rsidR="00154C6D" w:rsidRPr="00154C6D">
        <w:rPr>
          <w:rFonts w:eastAsia="Arial" w:cs="Arial"/>
        </w:rPr>
        <w:t>Ruralidades e Meio Ambiente</w:t>
      </w: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3159EEA0" w:rsidR="00216EFF" w:rsidRPr="00216EFF" w:rsidRDefault="001B79B8" w:rsidP="001B79B8">
      <w:pPr>
        <w:spacing w:line="360" w:lineRule="auto"/>
        <w:ind w:hanging="2"/>
        <w:jc w:val="both"/>
        <w:rPr>
          <w:rFonts w:eastAsia="Arial" w:cs="Arial"/>
        </w:rPr>
      </w:pPr>
      <w:r>
        <w:rPr>
          <w:rFonts w:eastAsia="Arial" w:cs="Arial"/>
          <w:color w:val="000000"/>
        </w:rPr>
        <w:t xml:space="preserve">O artigo aborda o processo de sojização sobre o bioma pampa, bem como as implicações que este fenômeno acarreta sobre a pecuária extensiva com ênfase no caso da pecuária familiar, uma categoria social que abarca 86% dos estabelecimentos rurais dedicados a uma atividade secular, plenamente integrada ao território sul-rio-grandense, de grande importância social, ambiental e cultural para o estado do Rio Grande do Sul. O estudo atenta para as graves ameaças que esta expansão acarreta, assim como a incapacidade do </w:t>
      </w:r>
      <w:r w:rsidR="001E5DCF">
        <w:rPr>
          <w:rFonts w:eastAsia="Arial" w:cs="Arial"/>
          <w:color w:val="000000"/>
        </w:rPr>
        <w:t xml:space="preserve">governo estadual em </w:t>
      </w:r>
      <w:r>
        <w:rPr>
          <w:rFonts w:eastAsia="Arial" w:cs="Arial"/>
          <w:color w:val="000000"/>
        </w:rPr>
        <w:t xml:space="preserve">regular a matéria diante da pressão exercida por poderosos setores do agronegócio brasileiro. </w:t>
      </w:r>
      <w:r w:rsidR="00FD63F8">
        <w:rPr>
          <w:rFonts w:eastAsia="Arial" w:cs="Arial"/>
          <w:color w:val="000000"/>
        </w:rPr>
        <w:t>A realidade do Pampa gaúcho traduz com clareza o retrato de um ecocídio.</w:t>
      </w:r>
    </w:p>
    <w:p w14:paraId="480B2C1C" w14:textId="606A1721" w:rsidR="00216EFF" w:rsidRPr="00216EFF" w:rsidRDefault="001E5DCF" w:rsidP="001E5DCF">
      <w:pPr>
        <w:spacing w:line="360" w:lineRule="auto"/>
        <w:jc w:val="both"/>
        <w:rPr>
          <w:rFonts w:eastAsia="Arial" w:cs="Arial"/>
        </w:rPr>
      </w:pPr>
      <w:r>
        <w:rPr>
          <w:rFonts w:eastAsia="Arial" w:cs="Arial"/>
        </w:rPr>
        <w:t>Palavras-chave: sojização; bioma pampa; pecuária familiar; Rio Grande do Sul.</w:t>
      </w:r>
    </w:p>
    <w:p w14:paraId="0580E319" w14:textId="77777777" w:rsidR="00422AE7" w:rsidRDefault="00422AE7" w:rsidP="00216EFF">
      <w:pPr>
        <w:spacing w:line="360" w:lineRule="auto"/>
        <w:jc w:val="both"/>
        <w:rPr>
          <w:rFonts w:eastAsia="Arial" w:cs="Arial"/>
        </w:rPr>
      </w:pPr>
    </w:p>
    <w:p w14:paraId="25F4F952" w14:textId="16B05385" w:rsidR="00216EFF" w:rsidRPr="000E28BA" w:rsidRDefault="00216EFF" w:rsidP="00216EFF">
      <w:pPr>
        <w:spacing w:line="360" w:lineRule="auto"/>
        <w:jc w:val="both"/>
        <w:rPr>
          <w:rFonts w:eastAsia="Arial" w:cs="Arial"/>
        </w:rPr>
      </w:pPr>
      <w:r w:rsidRPr="000E28BA">
        <w:rPr>
          <w:rFonts w:eastAsia="Arial" w:cs="Arial"/>
        </w:rPr>
        <w:t>INTRODUÇÃO</w:t>
      </w:r>
    </w:p>
    <w:p w14:paraId="05267724" w14:textId="251F0DDB" w:rsidR="001B79B8" w:rsidRDefault="001B79B8" w:rsidP="001B79B8">
      <w:pPr>
        <w:spacing w:line="360" w:lineRule="auto"/>
        <w:jc w:val="both"/>
        <w:rPr>
          <w:rFonts w:ascii="Trebuchet MS" w:hAnsi="Trebuchet MS"/>
        </w:rPr>
      </w:pPr>
      <w:r w:rsidRPr="0021404E">
        <w:rPr>
          <w:rFonts w:ascii="Trebuchet MS" w:hAnsi="Trebuchet MS"/>
        </w:rPr>
        <w:t>O reconhecimento do Pampa como bioma b</w:t>
      </w:r>
      <w:r w:rsidR="006B7AA4" w:rsidRPr="0021404E">
        <w:rPr>
          <w:rFonts w:ascii="Trebuchet MS" w:hAnsi="Trebuchet MS"/>
        </w:rPr>
        <w:t xml:space="preserve">rasileiro aconteceu </w:t>
      </w:r>
      <w:r w:rsidR="0021404E">
        <w:rPr>
          <w:rFonts w:ascii="Trebuchet MS" w:hAnsi="Trebuchet MS"/>
        </w:rPr>
        <w:t xml:space="preserve">em </w:t>
      </w:r>
      <w:r w:rsidRPr="0021404E">
        <w:rPr>
          <w:rFonts w:ascii="Trebuchet MS" w:hAnsi="Trebuchet MS"/>
        </w:rPr>
        <w:t>2004</w:t>
      </w:r>
      <w:r w:rsidR="0021404E">
        <w:rPr>
          <w:rFonts w:ascii="Trebuchet MS" w:hAnsi="Trebuchet MS"/>
        </w:rPr>
        <w:t xml:space="preserve">. Até então considerado como parte da Mata Atlântica e sendo referido simplesmente </w:t>
      </w:r>
      <w:r w:rsidR="00EC2E48">
        <w:rPr>
          <w:rFonts w:ascii="Trebuchet MS" w:hAnsi="Trebuchet MS"/>
        </w:rPr>
        <w:t xml:space="preserve">como </w:t>
      </w:r>
      <w:r w:rsidR="00EC2E48" w:rsidRPr="0021404E">
        <w:rPr>
          <w:rFonts w:ascii="Trebuchet MS" w:hAnsi="Trebuchet MS"/>
        </w:rPr>
        <w:t>“</w:t>
      </w:r>
      <w:r w:rsidR="0021404E">
        <w:rPr>
          <w:rFonts w:ascii="Trebuchet MS" w:hAnsi="Trebuchet MS"/>
        </w:rPr>
        <w:t>C</w:t>
      </w:r>
      <w:r>
        <w:rPr>
          <w:rFonts w:ascii="Trebuchet MS" w:hAnsi="Trebuchet MS"/>
        </w:rPr>
        <w:t xml:space="preserve">ampos </w:t>
      </w:r>
      <w:r w:rsidR="0021404E">
        <w:rPr>
          <w:rFonts w:ascii="Trebuchet MS" w:hAnsi="Trebuchet MS"/>
        </w:rPr>
        <w:t>S</w:t>
      </w:r>
      <w:r>
        <w:rPr>
          <w:rFonts w:ascii="Trebuchet MS" w:hAnsi="Trebuchet MS"/>
        </w:rPr>
        <w:t xml:space="preserve">ulinos”. Alguns aspectos são cruciais para compreender as singularidades do Pampa, entre as quais, a de que é um bioma que não pertence exclusivamente ao Brasil, se temos em mente que abarca uma extensa região natural que abrange todo </w:t>
      </w:r>
      <w:r>
        <w:rPr>
          <w:rFonts w:ascii="Trebuchet MS" w:hAnsi="Trebuchet MS"/>
        </w:rPr>
        <w:lastRenderedPageBreak/>
        <w:t>o território do Uruguai, centro-leste da Argentina e o extremo sudeste do Paraguai</w:t>
      </w:r>
      <w:r w:rsidR="0021404E">
        <w:rPr>
          <w:rFonts w:ascii="Trebuchet MS" w:hAnsi="Trebuchet MS"/>
        </w:rPr>
        <w:t xml:space="preserve"> e grande parte do Rio Grande do Sul</w:t>
      </w:r>
      <w:r>
        <w:rPr>
          <w:rFonts w:ascii="Trebuchet MS" w:hAnsi="Trebuchet MS"/>
        </w:rPr>
        <w:t>. A segunda singularidade que se deve sublinhar é que a parte brasileira, correspondente a uma superfície de 178 mil km</w:t>
      </w:r>
      <w:r w:rsidRPr="00BA0873">
        <w:rPr>
          <w:rFonts w:ascii="Trebuchet MS" w:hAnsi="Trebuchet MS"/>
          <w:vertAlign w:val="superscript"/>
        </w:rPr>
        <w:t>2</w:t>
      </w:r>
      <w:r>
        <w:rPr>
          <w:rFonts w:ascii="Trebuchet MS" w:hAnsi="Trebuchet MS"/>
        </w:rPr>
        <w:t xml:space="preserve">, está totalmente circunscrita ao estado do Rio Grande do Sul, absorvendo 2/3 do território desta unidade federativa. </w:t>
      </w:r>
    </w:p>
    <w:p w14:paraId="2FB545B2" w14:textId="77777777" w:rsidR="001B79B8" w:rsidRDefault="001B79B8" w:rsidP="001B79B8">
      <w:pPr>
        <w:spacing w:line="360" w:lineRule="auto"/>
        <w:jc w:val="both"/>
        <w:rPr>
          <w:rFonts w:ascii="Trebuchet MS" w:hAnsi="Trebuchet MS"/>
        </w:rPr>
      </w:pPr>
      <w:r>
        <w:rPr>
          <w:rFonts w:ascii="Trebuchet MS" w:hAnsi="Trebuchet MS"/>
        </w:rPr>
        <w:t>Por não contar com uma cobertura florestal exuberante, o Pampa é comumente considerado como um bioma de menor expressão, se comparado com a Amazônia ou Mata Atlântica. Não obstante, é detentor de rica biodiversidade, além do fato de ser</w:t>
      </w:r>
    </w:p>
    <w:p w14:paraId="583F782F" w14:textId="434BA8B3" w:rsidR="001B79B8" w:rsidRDefault="001B79B8" w:rsidP="0021404E">
      <w:pPr>
        <w:spacing w:after="60"/>
        <w:ind w:left="2268"/>
        <w:jc w:val="both"/>
        <w:rPr>
          <w:rFonts w:ascii="Trebuchet MS" w:hAnsi="Trebuchet MS"/>
          <w:sz w:val="20"/>
          <w:szCs w:val="20"/>
        </w:rPr>
      </w:pPr>
      <w:r w:rsidRPr="00EB4307">
        <w:rPr>
          <w:rFonts w:ascii="Trebuchet MS" w:hAnsi="Trebuchet MS"/>
          <w:sz w:val="20"/>
          <w:szCs w:val="20"/>
        </w:rPr>
        <w:t>[...] responsável pelo provimento de inúmeros serviços ecossistêmicos que contribuem para o sustento e o bem-estar humano, como a purificação das águas, o controle de pragas agrícolas, a estocagem de carbono (que contribui para a regulação do clima do planeta), o controle da erosão e a reposição da fertilidade do solo, além de ser uma importante fonte de recursos genéticos, principalmente de plantas forrageiras e ornamentais</w:t>
      </w:r>
      <w:r w:rsidR="00383B98">
        <w:rPr>
          <w:rFonts w:ascii="Trebuchet MS" w:hAnsi="Trebuchet MS"/>
          <w:sz w:val="20"/>
          <w:szCs w:val="20"/>
        </w:rPr>
        <w:t xml:space="preserve"> (</w:t>
      </w:r>
      <w:r w:rsidR="001114A3">
        <w:rPr>
          <w:rFonts w:ascii="Trebuchet MS" w:hAnsi="Trebuchet MS"/>
          <w:sz w:val="20"/>
          <w:szCs w:val="20"/>
        </w:rPr>
        <w:t>CHOMENKO</w:t>
      </w:r>
      <w:r w:rsidR="00383B98">
        <w:rPr>
          <w:rFonts w:ascii="Trebuchet MS" w:hAnsi="Trebuchet MS"/>
          <w:sz w:val="20"/>
          <w:szCs w:val="20"/>
        </w:rPr>
        <w:t xml:space="preserve"> e B</w:t>
      </w:r>
      <w:r w:rsidR="001114A3">
        <w:rPr>
          <w:rFonts w:ascii="Trebuchet MS" w:hAnsi="Trebuchet MS"/>
          <w:sz w:val="20"/>
          <w:szCs w:val="20"/>
        </w:rPr>
        <w:t>ENCKE</w:t>
      </w:r>
      <w:r w:rsidR="00383B98">
        <w:rPr>
          <w:rFonts w:ascii="Trebuchet MS" w:hAnsi="Trebuchet MS"/>
          <w:sz w:val="20"/>
          <w:szCs w:val="20"/>
        </w:rPr>
        <w:t>, 2016, p.19)</w:t>
      </w:r>
      <w:r w:rsidRPr="00EB4307">
        <w:rPr>
          <w:rFonts w:ascii="Trebuchet MS" w:hAnsi="Trebuchet MS"/>
          <w:sz w:val="20"/>
          <w:szCs w:val="20"/>
        </w:rPr>
        <w:t>.</w:t>
      </w:r>
    </w:p>
    <w:p w14:paraId="15F27799" w14:textId="6CA8347E" w:rsidR="001B79B8" w:rsidRDefault="001B79B8" w:rsidP="001B79B8">
      <w:pPr>
        <w:spacing w:line="360" w:lineRule="auto"/>
        <w:jc w:val="both"/>
        <w:rPr>
          <w:rFonts w:ascii="Trebuchet MS" w:hAnsi="Trebuchet MS"/>
        </w:rPr>
      </w:pPr>
      <w:r>
        <w:rPr>
          <w:rFonts w:ascii="Trebuchet MS" w:hAnsi="Trebuchet MS"/>
        </w:rPr>
        <w:t xml:space="preserve">As imensas planícies onduladas (coxilhas) emolduram um vasto cenário onde se desenvolve uma atividade produtiva – a pecuária extensiva – sobre o qual foi erguida a lendária figura do gaúcho, o centauro dos pampas, retratado na trilogia “O tempo e o vento”, de Érico Veríssimo, no caso brasileiro, ou de “Martin Fierro”, obra imortal de José Hernández, no caso argentino. Pensar no Pampa remete inexoravelmente à figura do gaúcho, personagem que traduz a miscigenação entre indígenas (Charrua, Kaingang, </w:t>
      </w:r>
      <w:r w:rsidRPr="00CC7CA4">
        <w:rPr>
          <w:rFonts w:ascii="Trebuchet MS" w:hAnsi="Trebuchet MS"/>
        </w:rPr>
        <w:t>Guarani</w:t>
      </w:r>
      <w:r>
        <w:rPr>
          <w:rFonts w:ascii="Trebuchet MS" w:hAnsi="Trebuchet MS"/>
        </w:rPr>
        <w:t>s</w:t>
      </w:r>
      <w:r w:rsidRPr="00CC7CA4">
        <w:rPr>
          <w:rFonts w:ascii="Trebuchet MS" w:hAnsi="Trebuchet MS"/>
        </w:rPr>
        <w:t xml:space="preserve"> e Xokleng</w:t>
      </w:r>
      <w:r>
        <w:rPr>
          <w:rFonts w:ascii="Trebuchet MS" w:hAnsi="Trebuchet MS"/>
        </w:rPr>
        <w:t>) e o elemento ibérico</w:t>
      </w:r>
      <w:r w:rsidRPr="00CC7CA4">
        <w:rPr>
          <w:rFonts w:ascii="Trebuchet MS" w:hAnsi="Trebuchet MS"/>
        </w:rPr>
        <w:t>.</w:t>
      </w:r>
      <w:r>
        <w:rPr>
          <w:rFonts w:ascii="Trebuchet MS" w:hAnsi="Trebuchet MS"/>
        </w:rPr>
        <w:t xml:space="preserve"> Foram as missões jesuíticas (séc. XVI) responsáveis pela introdução de rebanhos (ovinos, bovinos, equinos) que se expandiram com extrema rapidez nas imensas pradarias, fazendo </w:t>
      </w:r>
      <w:r w:rsidR="00F447B5">
        <w:rPr>
          <w:rFonts w:ascii="Trebuchet MS" w:hAnsi="Trebuchet MS"/>
        </w:rPr>
        <w:t xml:space="preserve">surgir </w:t>
      </w:r>
      <w:r>
        <w:rPr>
          <w:rFonts w:ascii="Trebuchet MS" w:hAnsi="Trebuchet MS"/>
        </w:rPr>
        <w:t>as grandes Vacarias (do Mar e dos Pinhais) e, mais adiante, as grandes estâncias, de onde partiam manadas de reses levadas, pela mão dos tropeiros, para as grandes feiras do sudeste brasileiro</w:t>
      </w:r>
      <w:r w:rsidR="00383B98">
        <w:rPr>
          <w:rFonts w:ascii="Trebuchet MS" w:hAnsi="Trebuchet MS"/>
        </w:rPr>
        <w:t xml:space="preserve"> e para as charqueadas do extremo sul gaúcho.</w:t>
      </w:r>
    </w:p>
    <w:p w14:paraId="11E2D7DD" w14:textId="66D06BD5" w:rsidR="001B79B8" w:rsidRPr="00460621" w:rsidRDefault="001B79B8" w:rsidP="001B79B8">
      <w:pPr>
        <w:spacing w:line="360" w:lineRule="auto"/>
        <w:jc w:val="both"/>
        <w:rPr>
          <w:rFonts w:ascii="Trebuchet MS" w:hAnsi="Trebuchet MS"/>
        </w:rPr>
      </w:pPr>
      <w:r>
        <w:rPr>
          <w:rFonts w:ascii="Trebuchet MS" w:hAnsi="Trebuchet MS"/>
        </w:rPr>
        <w:t>A criação extensiva de gado converteu-se na atividade econômica mais importante do Rio Grande do Sul até meados do século XVIII. A palavra Pampa provém do idioma quéchua e significa campos abertos, eventualmente intercalad</w:t>
      </w:r>
      <w:r w:rsidR="001114A3">
        <w:rPr>
          <w:rFonts w:ascii="Trebuchet MS" w:hAnsi="Trebuchet MS"/>
        </w:rPr>
        <w:t>os</w:t>
      </w:r>
      <w:r>
        <w:rPr>
          <w:rFonts w:ascii="Trebuchet MS" w:hAnsi="Trebuchet MS"/>
        </w:rPr>
        <w:t xml:space="preserve"> pelos chamados “capões de mato” e “matas em galeria”</w:t>
      </w:r>
      <w:r w:rsidRPr="00A76A3E">
        <w:t xml:space="preserve"> </w:t>
      </w:r>
      <w:r w:rsidRPr="00A76A3E">
        <w:rPr>
          <w:rFonts w:ascii="Trebuchet MS" w:hAnsi="Trebuchet MS"/>
        </w:rPr>
        <w:t xml:space="preserve">ou florestas ripárias, formações que ocorrem </w:t>
      </w:r>
      <w:r w:rsidRPr="00A76A3E">
        <w:rPr>
          <w:rFonts w:ascii="Trebuchet MS" w:hAnsi="Trebuchet MS"/>
        </w:rPr>
        <w:lastRenderedPageBreak/>
        <w:t xml:space="preserve">às margens de </w:t>
      </w:r>
      <w:r>
        <w:rPr>
          <w:rFonts w:ascii="Trebuchet MS" w:hAnsi="Trebuchet MS"/>
        </w:rPr>
        <w:t xml:space="preserve">rios, lagos, córregos e riachos. Apesar de ser uma atividade claramente vocacionada para grandes áreas, há um segmento – a pecuária familiar - cuja importância </w:t>
      </w:r>
      <w:r w:rsidR="001114A3">
        <w:rPr>
          <w:rFonts w:ascii="Trebuchet MS" w:hAnsi="Trebuchet MS"/>
        </w:rPr>
        <w:t xml:space="preserve">vem sendo </w:t>
      </w:r>
      <w:r>
        <w:rPr>
          <w:rFonts w:ascii="Trebuchet MS" w:hAnsi="Trebuchet MS"/>
        </w:rPr>
        <w:t xml:space="preserve">resgatada </w:t>
      </w:r>
      <w:r w:rsidR="001114A3">
        <w:rPr>
          <w:rFonts w:ascii="Trebuchet MS" w:hAnsi="Trebuchet MS"/>
        </w:rPr>
        <w:t>recentemente (WAQUIL et al, 2016)</w:t>
      </w:r>
      <w:r>
        <w:rPr>
          <w:rFonts w:ascii="Trebuchet MS" w:hAnsi="Trebuchet MS"/>
        </w:rPr>
        <w:t>. Surge, assim, uma legislação específica, a lei 13.515 de setembro de 2010 que institui uma</w:t>
      </w:r>
      <w:r w:rsidRPr="008B34AD">
        <w:rPr>
          <w:rFonts w:ascii="Trebuchet MS" w:hAnsi="Trebuchet MS"/>
        </w:rPr>
        <w:t xml:space="preserve"> Política Estadual </w:t>
      </w:r>
      <w:r w:rsidR="001114A3">
        <w:rPr>
          <w:rFonts w:ascii="Trebuchet MS" w:hAnsi="Trebuchet MS"/>
        </w:rPr>
        <w:t>que visa</w:t>
      </w:r>
      <w:r w:rsidRPr="008B34AD">
        <w:rPr>
          <w:rFonts w:ascii="Trebuchet MS" w:hAnsi="Trebuchet MS"/>
        </w:rPr>
        <w:t xml:space="preserve"> promover </w:t>
      </w:r>
      <w:r>
        <w:rPr>
          <w:rFonts w:ascii="Trebuchet MS" w:hAnsi="Trebuchet MS"/>
        </w:rPr>
        <w:t xml:space="preserve">o desenvolvimento sustentável dessa atividade e valorizar uma categoria social que permanecia quase que totalmente invisível. Alguns estudos colocam especial atenção na necessidade de desmistificar a ideia de que a produção </w:t>
      </w:r>
      <w:r w:rsidRPr="00460621">
        <w:rPr>
          <w:rFonts w:ascii="Trebuchet MS" w:hAnsi="Trebuchet MS"/>
        </w:rPr>
        <w:t>pecuária do Rio Grande do Sul seja necessariamente realizada</w:t>
      </w:r>
      <w:r>
        <w:rPr>
          <w:rFonts w:ascii="Trebuchet MS" w:hAnsi="Trebuchet MS"/>
        </w:rPr>
        <w:t xml:space="preserve"> no interior de latifúndios e/ou por grandes empresários rurais. Nesse contexto,</w:t>
      </w:r>
      <w:r w:rsidRPr="00460621">
        <w:rPr>
          <w:rFonts w:ascii="Trebuchet MS" w:hAnsi="Trebuchet MS"/>
        </w:rPr>
        <w:t xml:space="preserve"> </w:t>
      </w:r>
    </w:p>
    <w:p w14:paraId="4680045D" w14:textId="435526D9" w:rsidR="001B79B8" w:rsidRPr="00460621" w:rsidRDefault="001B79B8" w:rsidP="001114A3">
      <w:pPr>
        <w:spacing w:after="60"/>
        <w:ind w:left="2268"/>
        <w:jc w:val="both"/>
        <w:rPr>
          <w:rFonts w:ascii="Trebuchet MS" w:hAnsi="Trebuchet MS"/>
          <w:sz w:val="20"/>
          <w:szCs w:val="20"/>
        </w:rPr>
      </w:pPr>
      <w:r w:rsidRPr="00460621">
        <w:rPr>
          <w:rFonts w:ascii="Trebuchet MS" w:hAnsi="Trebuchet MS"/>
          <w:sz w:val="20"/>
          <w:szCs w:val="20"/>
        </w:rPr>
        <w:t xml:space="preserve">Essa percepção errônea permaneceu por muito tempo enraizada no pensamento social e econômico, e também no campo político e </w:t>
      </w:r>
      <w:proofErr w:type="spellStart"/>
      <w:r w:rsidRPr="00460621">
        <w:rPr>
          <w:rFonts w:ascii="Trebuchet MS" w:hAnsi="Trebuchet MS"/>
          <w:sz w:val="20"/>
          <w:szCs w:val="20"/>
        </w:rPr>
        <w:t>tecnocientífico</w:t>
      </w:r>
      <w:proofErr w:type="spellEnd"/>
      <w:r w:rsidRPr="00460621">
        <w:rPr>
          <w:rFonts w:ascii="Trebuchet MS" w:hAnsi="Trebuchet MS"/>
          <w:sz w:val="20"/>
          <w:szCs w:val="20"/>
        </w:rPr>
        <w:t>, o que contribui para a longa ocultação desses produtores familiares. Existem no Rio Grande do Sul em torno de 60 mil famílias de pecuaristas familiares, as quais representam 70% do total de empreendimentos rurais dedicados à atividade da pecuária de corte (WAQUIL</w:t>
      </w:r>
      <w:r w:rsidR="00B22322">
        <w:rPr>
          <w:rFonts w:ascii="Trebuchet MS" w:hAnsi="Trebuchet MS"/>
          <w:sz w:val="20"/>
          <w:szCs w:val="20"/>
        </w:rPr>
        <w:t xml:space="preserve"> </w:t>
      </w:r>
      <w:r w:rsidR="00B22322" w:rsidRPr="001114A3">
        <w:rPr>
          <w:rFonts w:ascii="Trebuchet MS" w:hAnsi="Trebuchet MS"/>
          <w:i/>
          <w:iCs/>
          <w:sz w:val="20"/>
          <w:szCs w:val="20"/>
        </w:rPr>
        <w:t>et al</w:t>
      </w:r>
      <w:r w:rsidRPr="00460621">
        <w:rPr>
          <w:rFonts w:ascii="Trebuchet MS" w:hAnsi="Trebuchet MS"/>
          <w:sz w:val="20"/>
          <w:szCs w:val="20"/>
        </w:rPr>
        <w:t>, 2016, p.12).</w:t>
      </w:r>
    </w:p>
    <w:p w14:paraId="38343DC6" w14:textId="2210EE79" w:rsidR="001B79B8" w:rsidRDefault="001B79B8" w:rsidP="001B79B8">
      <w:pPr>
        <w:spacing w:line="360" w:lineRule="auto"/>
        <w:jc w:val="both"/>
        <w:rPr>
          <w:rFonts w:ascii="Trebuchet MS" w:hAnsi="Trebuchet MS"/>
        </w:rPr>
      </w:pPr>
      <w:r>
        <w:rPr>
          <w:rFonts w:ascii="Trebuchet MS" w:hAnsi="Trebuchet MS"/>
        </w:rPr>
        <w:t>Estes estabelecimentos surgiram nas fímbrias dos latifúndios. Antigos peões de estâncias e outros trabalhadores subalternos tiveram acesso à terra em decorrência do fracionamento de grandes propriedades ou da aquisição de pequenas glebas, destinadas à criação de seus rebanhos mediante o emprego da força de trabalho da própria familia. Baseadas em dados do censo agropecuário (IBGE, 2006) alguns estudos estimaram que do total de estabelecimentos implicados com a pecuária de corte, 86% são de caráter familiar. Além disso, reiteram que de um total de 11,2 milhões de cabeças do rebanho bovino gaúcho, 36,3% pertenceriam a estabelecimentos de caráter familiar (</w:t>
      </w:r>
      <w:r w:rsidR="00565C15">
        <w:rPr>
          <w:rFonts w:ascii="Trebuchet MS" w:hAnsi="Trebuchet MS"/>
        </w:rPr>
        <w:t>ANDREATTA</w:t>
      </w:r>
      <w:r>
        <w:rPr>
          <w:rFonts w:ascii="Trebuchet MS" w:hAnsi="Trebuchet MS"/>
        </w:rPr>
        <w:t xml:space="preserve">, </w:t>
      </w:r>
      <w:r w:rsidR="00565C15">
        <w:rPr>
          <w:rFonts w:ascii="Trebuchet MS" w:hAnsi="Trebuchet MS"/>
        </w:rPr>
        <w:t xml:space="preserve">WAQUIL </w:t>
      </w:r>
      <w:r>
        <w:rPr>
          <w:rFonts w:ascii="Trebuchet MS" w:hAnsi="Trebuchet MS"/>
        </w:rPr>
        <w:t xml:space="preserve">e </w:t>
      </w:r>
      <w:r w:rsidR="00565C15">
        <w:rPr>
          <w:rFonts w:ascii="Trebuchet MS" w:hAnsi="Trebuchet MS"/>
        </w:rPr>
        <w:t>MIGUEL</w:t>
      </w:r>
      <w:r>
        <w:rPr>
          <w:rFonts w:ascii="Trebuchet MS" w:hAnsi="Trebuchet MS"/>
        </w:rPr>
        <w:t xml:space="preserve">, 2016, p.68-69). Mas não se pode olvidar o fato de que </w:t>
      </w:r>
      <w:r w:rsidR="00935FC1">
        <w:rPr>
          <w:rFonts w:ascii="Trebuchet MS" w:hAnsi="Trebuchet MS"/>
        </w:rPr>
        <w:t xml:space="preserve">sempre houve </w:t>
      </w:r>
      <w:r>
        <w:rPr>
          <w:rFonts w:ascii="Trebuchet MS" w:hAnsi="Trebuchet MS"/>
        </w:rPr>
        <w:t>uma plêiade de atores sociais gravita</w:t>
      </w:r>
      <w:r w:rsidR="00935FC1">
        <w:rPr>
          <w:rFonts w:ascii="Trebuchet MS" w:hAnsi="Trebuchet MS"/>
        </w:rPr>
        <w:t>ndo</w:t>
      </w:r>
      <w:r>
        <w:rPr>
          <w:rFonts w:ascii="Trebuchet MS" w:hAnsi="Trebuchet MS"/>
        </w:rPr>
        <w:t xml:space="preserve"> em torno da pecuária. Domadores de cavalos, esquiladores, peões, alambradores são alguns dos ofícios ligados a uma atividade produtiva secular, sem desconsiderar outras ocupações e fontes de geração de renda, a exemplo do artesanato em lã e</w:t>
      </w:r>
      <w:r w:rsidR="00ED3299">
        <w:rPr>
          <w:rFonts w:ascii="Trebuchet MS" w:hAnsi="Trebuchet MS"/>
        </w:rPr>
        <w:t xml:space="preserve"> em</w:t>
      </w:r>
      <w:r>
        <w:rPr>
          <w:rFonts w:ascii="Trebuchet MS" w:hAnsi="Trebuchet MS"/>
        </w:rPr>
        <w:t xml:space="preserve"> couro que são tradicionais e carregadas de um forte simbolismo. </w:t>
      </w:r>
      <w:r w:rsidR="00ED3299">
        <w:rPr>
          <w:rFonts w:ascii="Trebuchet MS" w:hAnsi="Trebuchet MS"/>
        </w:rPr>
        <w:t>A pecuária é u</w:t>
      </w:r>
      <w:r>
        <w:rPr>
          <w:rFonts w:ascii="Trebuchet MS" w:hAnsi="Trebuchet MS"/>
        </w:rPr>
        <w:t xml:space="preserve">ma atividade integrada ao território, com um nível </w:t>
      </w:r>
      <w:r>
        <w:rPr>
          <w:rFonts w:ascii="Trebuchet MS" w:hAnsi="Trebuchet MS"/>
        </w:rPr>
        <w:lastRenderedPageBreak/>
        <w:t xml:space="preserve">reduzido de interferência nas condições edafoclimáticas e que inclusive é apontada como capaz de produzir externalidades positivas na conservação ecossistêmica. </w:t>
      </w:r>
      <w:r w:rsidRPr="00BB0270">
        <w:rPr>
          <w:rFonts w:ascii="Trebuchet MS" w:hAnsi="Trebuchet MS"/>
        </w:rPr>
        <w:t>Esse é o argumento central qu</w:t>
      </w:r>
      <w:r>
        <w:rPr>
          <w:rFonts w:ascii="Trebuchet MS" w:hAnsi="Trebuchet MS"/>
        </w:rPr>
        <w:t>e ensejou a criação, em 2006, da “</w:t>
      </w:r>
      <w:proofErr w:type="spellStart"/>
      <w:r>
        <w:rPr>
          <w:rFonts w:ascii="Trebuchet MS" w:hAnsi="Trebuchet MS"/>
        </w:rPr>
        <w:t>Alianza</w:t>
      </w:r>
      <w:proofErr w:type="spellEnd"/>
      <w:r>
        <w:rPr>
          <w:rFonts w:ascii="Trebuchet MS" w:hAnsi="Trebuchet MS"/>
        </w:rPr>
        <w:t xml:space="preserve"> </w:t>
      </w:r>
      <w:proofErr w:type="spellStart"/>
      <w:r>
        <w:rPr>
          <w:rFonts w:ascii="Trebuchet MS" w:hAnsi="Trebuchet MS"/>
        </w:rPr>
        <w:t>del</w:t>
      </w:r>
      <w:proofErr w:type="spellEnd"/>
      <w:r>
        <w:rPr>
          <w:rFonts w:ascii="Trebuchet MS" w:hAnsi="Trebuchet MS"/>
        </w:rPr>
        <w:t xml:space="preserve"> </w:t>
      </w:r>
      <w:proofErr w:type="spellStart"/>
      <w:r>
        <w:rPr>
          <w:rFonts w:ascii="Trebuchet MS" w:hAnsi="Trebuchet MS"/>
        </w:rPr>
        <w:t>Pastizal</w:t>
      </w:r>
      <w:proofErr w:type="spellEnd"/>
      <w:r>
        <w:rPr>
          <w:rFonts w:ascii="Trebuchet MS" w:hAnsi="Trebuchet MS"/>
        </w:rPr>
        <w:t>”</w:t>
      </w:r>
      <w:r w:rsidRPr="00BB0270">
        <w:rPr>
          <w:rFonts w:ascii="Trebuchet MS" w:hAnsi="Trebuchet MS"/>
        </w:rPr>
        <w:t xml:space="preserve"> uma </w:t>
      </w:r>
      <w:r>
        <w:rPr>
          <w:rFonts w:ascii="Trebuchet MS" w:hAnsi="Trebuchet MS"/>
        </w:rPr>
        <w:t xml:space="preserve">estratégia </w:t>
      </w:r>
      <w:r w:rsidRPr="00BB0270">
        <w:rPr>
          <w:rFonts w:ascii="Trebuchet MS" w:hAnsi="Trebuchet MS"/>
        </w:rPr>
        <w:t>de conservação</w:t>
      </w:r>
      <w:r>
        <w:rPr>
          <w:rFonts w:ascii="Trebuchet MS" w:hAnsi="Trebuchet MS"/>
        </w:rPr>
        <w:t>, valorização</w:t>
      </w:r>
      <w:r w:rsidRPr="00BB0270">
        <w:rPr>
          <w:rFonts w:ascii="Trebuchet MS" w:hAnsi="Trebuchet MS"/>
        </w:rPr>
        <w:t xml:space="preserve"> e articulação regional, coordenada originalmente pela </w:t>
      </w:r>
      <w:r>
        <w:rPr>
          <w:rFonts w:ascii="Trebuchet MS" w:hAnsi="Trebuchet MS"/>
        </w:rPr>
        <w:t>“</w:t>
      </w:r>
      <w:proofErr w:type="spellStart"/>
      <w:r w:rsidRPr="00BB0270">
        <w:rPr>
          <w:rFonts w:ascii="Trebuchet MS" w:hAnsi="Trebuchet MS"/>
        </w:rPr>
        <w:t>BirdLife</w:t>
      </w:r>
      <w:proofErr w:type="spellEnd"/>
      <w:r w:rsidRPr="00BB0270">
        <w:rPr>
          <w:rFonts w:ascii="Trebuchet MS" w:hAnsi="Trebuchet MS"/>
        </w:rPr>
        <w:t xml:space="preserve"> </w:t>
      </w:r>
      <w:proofErr w:type="spellStart"/>
      <w:r w:rsidRPr="00BB0270">
        <w:rPr>
          <w:rFonts w:ascii="Trebuchet MS" w:hAnsi="Trebuchet MS"/>
        </w:rPr>
        <w:t>International</w:t>
      </w:r>
      <w:proofErr w:type="spellEnd"/>
      <w:r>
        <w:rPr>
          <w:rFonts w:ascii="Trebuchet MS" w:hAnsi="Trebuchet MS"/>
        </w:rPr>
        <w:t>”</w:t>
      </w:r>
      <w:r w:rsidRPr="00BB0270">
        <w:rPr>
          <w:rFonts w:ascii="Trebuchet MS" w:hAnsi="Trebuchet MS"/>
        </w:rPr>
        <w:t>. A iniciativa</w:t>
      </w:r>
      <w:r>
        <w:rPr>
          <w:rStyle w:val="Refdenotaderodap"/>
          <w:rFonts w:ascii="Trebuchet MS" w:hAnsi="Trebuchet MS"/>
        </w:rPr>
        <w:footnoteReference w:id="4"/>
      </w:r>
      <w:r w:rsidRPr="00BB0270">
        <w:rPr>
          <w:rFonts w:ascii="Trebuchet MS" w:hAnsi="Trebuchet MS"/>
        </w:rPr>
        <w:t xml:space="preserve"> </w:t>
      </w:r>
      <w:r w:rsidR="00ED3299">
        <w:rPr>
          <w:rFonts w:ascii="Trebuchet MS" w:hAnsi="Trebuchet MS"/>
        </w:rPr>
        <w:t xml:space="preserve">visa </w:t>
      </w:r>
      <w:r w:rsidRPr="00BB0270">
        <w:rPr>
          <w:rFonts w:ascii="Trebuchet MS" w:hAnsi="Trebuchet MS"/>
        </w:rPr>
        <w:t>promover a pecuária sustentável em c</w:t>
      </w:r>
      <w:r>
        <w:rPr>
          <w:rFonts w:ascii="Trebuchet MS" w:hAnsi="Trebuchet MS"/>
        </w:rPr>
        <w:t>ampos nativos. Busca-se exaltar a conciliação harmônica entre a</w:t>
      </w:r>
      <w:r w:rsidRPr="00BB0270">
        <w:rPr>
          <w:rFonts w:ascii="Trebuchet MS" w:hAnsi="Trebuchet MS"/>
        </w:rPr>
        <w:t xml:space="preserve"> produção </w:t>
      </w:r>
      <w:r>
        <w:rPr>
          <w:rFonts w:ascii="Trebuchet MS" w:hAnsi="Trebuchet MS"/>
        </w:rPr>
        <w:t xml:space="preserve">animal </w:t>
      </w:r>
      <w:r w:rsidRPr="00BB0270">
        <w:rPr>
          <w:rFonts w:ascii="Trebuchet MS" w:hAnsi="Trebuchet MS"/>
        </w:rPr>
        <w:t xml:space="preserve">e </w:t>
      </w:r>
      <w:r>
        <w:rPr>
          <w:rFonts w:ascii="Trebuchet MS" w:hAnsi="Trebuchet MS"/>
        </w:rPr>
        <w:t xml:space="preserve">a </w:t>
      </w:r>
      <w:r w:rsidRPr="00BB0270">
        <w:rPr>
          <w:rFonts w:ascii="Trebuchet MS" w:hAnsi="Trebuchet MS"/>
        </w:rPr>
        <w:t>conservação</w:t>
      </w:r>
      <w:r>
        <w:rPr>
          <w:rFonts w:ascii="Trebuchet MS" w:hAnsi="Trebuchet MS"/>
        </w:rPr>
        <w:t xml:space="preserve"> da biodiversidade</w:t>
      </w:r>
      <w:r w:rsidRPr="00BB0270">
        <w:rPr>
          <w:rFonts w:ascii="Trebuchet MS" w:hAnsi="Trebuchet MS"/>
        </w:rPr>
        <w:t xml:space="preserve">. Não se volta propriamente ao caso da pecuária familiar. A produção de gado é </w:t>
      </w:r>
      <w:r>
        <w:rPr>
          <w:rFonts w:ascii="Trebuchet MS" w:hAnsi="Trebuchet MS"/>
        </w:rPr>
        <w:t>exaltada</w:t>
      </w:r>
      <w:r w:rsidRPr="00BB0270">
        <w:rPr>
          <w:rFonts w:ascii="Trebuchet MS" w:hAnsi="Trebuchet MS"/>
        </w:rPr>
        <w:t xml:space="preserve"> como uma solução para proteger espécies ameaçadas de extinção, conservar a biodiversidade e resguardar nascentes, além de preservar uma variedade de ativos — ambientais, sociais, culturais e econômicos — incluindo a paisagem</w:t>
      </w:r>
      <w:r w:rsidR="00ED3299">
        <w:rPr>
          <w:rFonts w:ascii="Trebuchet MS" w:hAnsi="Trebuchet MS"/>
        </w:rPr>
        <w:t xml:space="preserve"> </w:t>
      </w:r>
      <w:r w:rsidRPr="00BB0270">
        <w:rPr>
          <w:rFonts w:ascii="Trebuchet MS" w:hAnsi="Trebuchet MS"/>
        </w:rPr>
        <w:t xml:space="preserve">edificada </w:t>
      </w:r>
      <w:r w:rsidR="00ED3299">
        <w:rPr>
          <w:rFonts w:ascii="Trebuchet MS" w:hAnsi="Trebuchet MS"/>
        </w:rPr>
        <w:t xml:space="preserve">e </w:t>
      </w:r>
      <w:r w:rsidRPr="00BB0270">
        <w:rPr>
          <w:rFonts w:ascii="Trebuchet MS" w:hAnsi="Trebuchet MS"/>
        </w:rPr>
        <w:t>não edificada</w:t>
      </w:r>
      <w:r>
        <w:rPr>
          <w:rFonts w:ascii="Trebuchet MS" w:hAnsi="Trebuchet MS"/>
        </w:rPr>
        <w:t>.</w:t>
      </w:r>
    </w:p>
    <w:p w14:paraId="10D01022" w14:textId="10B3E1D8" w:rsidR="001B79B8" w:rsidRDefault="001B79B8" w:rsidP="001B79B8">
      <w:pPr>
        <w:spacing w:line="360" w:lineRule="auto"/>
        <w:jc w:val="both"/>
        <w:rPr>
          <w:rFonts w:ascii="Trebuchet MS" w:hAnsi="Trebuchet MS"/>
        </w:rPr>
      </w:pPr>
      <w:r w:rsidRPr="00F85A81">
        <w:rPr>
          <w:rFonts w:ascii="Trebuchet MS" w:hAnsi="Trebuchet MS"/>
        </w:rPr>
        <w:t xml:space="preserve">Não obstante, os últimos 30 anos </w:t>
      </w:r>
      <w:r>
        <w:rPr>
          <w:rFonts w:ascii="Trebuchet MS" w:hAnsi="Trebuchet MS"/>
        </w:rPr>
        <w:t>testemunham uma devastação sem precedentes do bioma pampa</w:t>
      </w:r>
      <w:r w:rsidR="00ED3299">
        <w:rPr>
          <w:rFonts w:ascii="Trebuchet MS" w:hAnsi="Trebuchet MS"/>
        </w:rPr>
        <w:t xml:space="preserve">, particularmente, sobre a </w:t>
      </w:r>
      <w:r>
        <w:rPr>
          <w:rFonts w:ascii="Trebuchet MS" w:hAnsi="Trebuchet MS"/>
        </w:rPr>
        <w:t>pecuária familiar</w:t>
      </w:r>
      <w:r w:rsidR="00ED3299">
        <w:rPr>
          <w:rFonts w:ascii="Trebuchet MS" w:hAnsi="Trebuchet MS"/>
        </w:rPr>
        <w:t>.</w:t>
      </w:r>
      <w:r>
        <w:rPr>
          <w:rFonts w:ascii="Trebuchet MS" w:hAnsi="Trebuchet MS"/>
        </w:rPr>
        <w:t xml:space="preserve"> </w:t>
      </w:r>
      <w:r w:rsidR="00ED3299">
        <w:rPr>
          <w:rFonts w:ascii="Trebuchet MS" w:hAnsi="Trebuchet MS"/>
        </w:rPr>
        <w:t>Esse processo ocorre em</w:t>
      </w:r>
      <w:r w:rsidRPr="00F85A81">
        <w:rPr>
          <w:rFonts w:ascii="Trebuchet MS" w:hAnsi="Trebuchet MS"/>
        </w:rPr>
        <w:t xml:space="preserve"> virtude do impacto de dois vetores que operam </w:t>
      </w:r>
      <w:r>
        <w:rPr>
          <w:rFonts w:ascii="Trebuchet MS" w:hAnsi="Trebuchet MS"/>
        </w:rPr>
        <w:t>simul</w:t>
      </w:r>
      <w:r w:rsidR="00935FC1">
        <w:rPr>
          <w:rFonts w:ascii="Trebuchet MS" w:hAnsi="Trebuchet MS"/>
        </w:rPr>
        <w:t>taneamente</w:t>
      </w:r>
      <w:r w:rsidRPr="00F85A81">
        <w:rPr>
          <w:rFonts w:ascii="Trebuchet MS" w:hAnsi="Trebuchet MS"/>
        </w:rPr>
        <w:t xml:space="preserve">. De um lado, </w:t>
      </w:r>
      <w:r w:rsidR="00935FC1">
        <w:rPr>
          <w:rFonts w:ascii="Trebuchet MS" w:hAnsi="Trebuchet MS"/>
        </w:rPr>
        <w:t>o</w:t>
      </w:r>
      <w:r w:rsidR="00935FC1" w:rsidRPr="00F85A81">
        <w:rPr>
          <w:rFonts w:ascii="Trebuchet MS" w:hAnsi="Trebuchet MS"/>
        </w:rPr>
        <w:t xml:space="preserve"> </w:t>
      </w:r>
      <w:r w:rsidRPr="00F85A81">
        <w:rPr>
          <w:rFonts w:ascii="Trebuchet MS" w:hAnsi="Trebuchet MS"/>
        </w:rPr>
        <w:t xml:space="preserve">avanço dos chamados cultivos lenhosos, com destaque para as grandes áreas de eucaliptos; de outro, a expansão </w:t>
      </w:r>
      <w:r>
        <w:rPr>
          <w:rFonts w:ascii="Trebuchet MS" w:hAnsi="Trebuchet MS"/>
        </w:rPr>
        <w:t>desmesurada</w:t>
      </w:r>
      <w:r w:rsidRPr="00F85A81">
        <w:rPr>
          <w:rFonts w:ascii="Trebuchet MS" w:hAnsi="Trebuchet MS"/>
        </w:rPr>
        <w:t xml:space="preserve"> da soja — um tipo de cultivo </w:t>
      </w:r>
      <w:r>
        <w:rPr>
          <w:rFonts w:ascii="Trebuchet MS" w:hAnsi="Trebuchet MS"/>
        </w:rPr>
        <w:t xml:space="preserve">que é altamente </w:t>
      </w:r>
      <w:r w:rsidRPr="00F85A81">
        <w:rPr>
          <w:rFonts w:ascii="Trebuchet MS" w:hAnsi="Trebuchet MS"/>
        </w:rPr>
        <w:t>tributário do uso intensivo de adubos químicos, sementes transgênicas e mecanização pesada.</w:t>
      </w:r>
      <w:r w:rsidR="00314B19">
        <w:rPr>
          <w:rFonts w:ascii="Trebuchet MS" w:hAnsi="Trebuchet MS"/>
        </w:rPr>
        <w:t xml:space="preserve"> </w:t>
      </w:r>
      <w:r w:rsidRPr="00F85A81">
        <w:rPr>
          <w:rFonts w:ascii="Trebuchet MS" w:hAnsi="Trebuchet MS"/>
        </w:rPr>
        <w:t xml:space="preserve">Os efeitos da catástrofe </w:t>
      </w:r>
      <w:r>
        <w:rPr>
          <w:rFonts w:ascii="Trebuchet MS" w:hAnsi="Trebuchet MS"/>
        </w:rPr>
        <w:t xml:space="preserve">ambiental </w:t>
      </w:r>
      <w:r w:rsidRPr="00F85A81">
        <w:rPr>
          <w:rFonts w:ascii="Trebuchet MS" w:hAnsi="Trebuchet MS"/>
        </w:rPr>
        <w:t xml:space="preserve">que se abateu sobre o </w:t>
      </w:r>
      <w:r w:rsidRPr="00ED3299">
        <w:rPr>
          <w:rFonts w:ascii="Trebuchet MS" w:hAnsi="Trebuchet MS"/>
        </w:rPr>
        <w:t>Rio Grande do Sul</w:t>
      </w:r>
      <w:r w:rsidR="00ED3299">
        <w:rPr>
          <w:rFonts w:ascii="Trebuchet MS" w:hAnsi="Trebuchet MS"/>
        </w:rPr>
        <w:t xml:space="preserve"> com as grandes enchentes</w:t>
      </w:r>
      <w:r w:rsidR="00ED3299" w:rsidRPr="00F85A81">
        <w:rPr>
          <w:rFonts w:ascii="Trebuchet MS" w:hAnsi="Trebuchet MS"/>
        </w:rPr>
        <w:t xml:space="preserve"> </w:t>
      </w:r>
      <w:r w:rsidR="00ED3299">
        <w:rPr>
          <w:rFonts w:ascii="Trebuchet MS" w:hAnsi="Trebuchet MS"/>
        </w:rPr>
        <w:t xml:space="preserve">de </w:t>
      </w:r>
      <w:r w:rsidRPr="00F85A81">
        <w:rPr>
          <w:rFonts w:ascii="Trebuchet MS" w:hAnsi="Trebuchet MS"/>
        </w:rPr>
        <w:t xml:space="preserve">2024 ainda não foram contabilizados, tampouco as causas que levaram 92,5% dos 497 municípios </w:t>
      </w:r>
      <w:r w:rsidRPr="00D3055F">
        <w:rPr>
          <w:rFonts w:ascii="Trebuchet MS" w:hAnsi="Trebuchet MS"/>
        </w:rPr>
        <w:t>gaúchos</w:t>
      </w:r>
      <w:r w:rsidRPr="00F85A81">
        <w:rPr>
          <w:rFonts w:ascii="Trebuchet MS" w:hAnsi="Trebuchet MS"/>
        </w:rPr>
        <w:t xml:space="preserve"> a serem atingidos, em maior ou menor grau, </w:t>
      </w:r>
      <w:r w:rsidR="00D3055F">
        <w:rPr>
          <w:rFonts w:ascii="Trebuchet MS" w:hAnsi="Trebuchet MS"/>
        </w:rPr>
        <w:t>pela tragédia</w:t>
      </w:r>
      <w:r w:rsidRPr="00F85A81">
        <w:rPr>
          <w:rFonts w:ascii="Trebuchet MS" w:hAnsi="Trebuchet MS"/>
        </w:rPr>
        <w:t>.</w:t>
      </w:r>
      <w:r>
        <w:rPr>
          <w:rFonts w:ascii="Trebuchet MS" w:hAnsi="Trebuchet MS"/>
        </w:rPr>
        <w:t xml:space="preserve"> </w:t>
      </w:r>
      <w:r w:rsidRPr="00F85A81">
        <w:rPr>
          <w:rFonts w:ascii="Trebuchet MS" w:hAnsi="Trebuchet MS"/>
        </w:rPr>
        <w:t xml:space="preserve">Não há elementos que permitam </w:t>
      </w:r>
      <w:r>
        <w:rPr>
          <w:rFonts w:ascii="Trebuchet MS" w:hAnsi="Trebuchet MS"/>
        </w:rPr>
        <w:t>afiançar a tese</w:t>
      </w:r>
      <w:r w:rsidRPr="00F85A81">
        <w:rPr>
          <w:rFonts w:ascii="Trebuchet MS" w:hAnsi="Trebuchet MS"/>
        </w:rPr>
        <w:t xml:space="preserve"> de uma relação direta entre </w:t>
      </w:r>
      <w:r w:rsidR="00D3055F">
        <w:rPr>
          <w:rFonts w:ascii="Trebuchet MS" w:hAnsi="Trebuchet MS"/>
        </w:rPr>
        <w:t>a devastação do Pampa</w:t>
      </w:r>
      <w:r w:rsidRPr="00F85A81">
        <w:rPr>
          <w:rFonts w:ascii="Trebuchet MS" w:hAnsi="Trebuchet MS"/>
        </w:rPr>
        <w:t xml:space="preserve"> e as grandes enchentes. Mas uma coisa é certa: a alteração do bioma Pampa, aqui referida, é parte do problema e fonte de crescente preocupação entre ambie</w:t>
      </w:r>
      <w:r>
        <w:rPr>
          <w:rFonts w:ascii="Trebuchet MS" w:hAnsi="Trebuchet MS"/>
        </w:rPr>
        <w:t>ntalistas e estudiosos do tema.</w:t>
      </w:r>
      <w:r w:rsidR="00D3055F">
        <w:rPr>
          <w:rFonts w:ascii="Trebuchet MS" w:hAnsi="Trebuchet MS"/>
        </w:rPr>
        <w:t xml:space="preserve"> </w:t>
      </w:r>
      <w:r>
        <w:rPr>
          <w:rFonts w:ascii="Trebuchet MS" w:hAnsi="Trebuchet MS"/>
        </w:rPr>
        <w:t xml:space="preserve">Este artigo se insere no âmago deste debate. Surge como corolário de </w:t>
      </w:r>
      <w:r w:rsidR="00D3055F">
        <w:rPr>
          <w:rFonts w:ascii="Trebuchet MS" w:hAnsi="Trebuchet MS"/>
        </w:rPr>
        <w:t xml:space="preserve">um </w:t>
      </w:r>
      <w:r>
        <w:rPr>
          <w:rFonts w:ascii="Trebuchet MS" w:hAnsi="Trebuchet MS"/>
        </w:rPr>
        <w:t>projeto de investigação iniciado em março de 2025</w:t>
      </w:r>
      <w:r w:rsidR="00D3055F">
        <w:rPr>
          <w:rFonts w:ascii="Trebuchet MS" w:hAnsi="Trebuchet MS"/>
        </w:rPr>
        <w:t>, sendo</w:t>
      </w:r>
      <w:r>
        <w:rPr>
          <w:rFonts w:ascii="Trebuchet MS" w:hAnsi="Trebuchet MS"/>
        </w:rPr>
        <w:t xml:space="preserve"> apoiado </w:t>
      </w:r>
      <w:r>
        <w:rPr>
          <w:rFonts w:ascii="Trebuchet MS" w:hAnsi="Trebuchet MS"/>
        </w:rPr>
        <w:lastRenderedPageBreak/>
        <w:t xml:space="preserve">com recursos da Fundação de Amparo à Pesquisa do estado do Rio Grande do Sul dentro do edital </w:t>
      </w:r>
      <w:r w:rsidRPr="00957DD2">
        <w:rPr>
          <w:rFonts w:ascii="Trebuchet MS" w:hAnsi="Trebuchet MS"/>
        </w:rPr>
        <w:t xml:space="preserve">FAPERGS 06/2024 - </w:t>
      </w:r>
      <w:r>
        <w:rPr>
          <w:rFonts w:ascii="Trebuchet MS" w:hAnsi="Trebuchet MS"/>
        </w:rPr>
        <w:t>P</w:t>
      </w:r>
      <w:r w:rsidRPr="00957DD2">
        <w:rPr>
          <w:rFonts w:ascii="Trebuchet MS" w:hAnsi="Trebuchet MS"/>
        </w:rPr>
        <w:t>rograma de pesquisa e desenvolvimento voltado a</w:t>
      </w:r>
      <w:r>
        <w:rPr>
          <w:rFonts w:ascii="Trebuchet MS" w:hAnsi="Trebuchet MS"/>
        </w:rPr>
        <w:t xml:space="preserve"> </w:t>
      </w:r>
      <w:r w:rsidRPr="00957DD2">
        <w:rPr>
          <w:rFonts w:ascii="Trebuchet MS" w:hAnsi="Trebuchet MS"/>
        </w:rPr>
        <w:t>desastres climáticos</w:t>
      </w:r>
      <w:r>
        <w:rPr>
          <w:rFonts w:ascii="Trebuchet MS" w:hAnsi="Trebuchet MS"/>
        </w:rPr>
        <w:t xml:space="preserve"> (Termo de O</w:t>
      </w:r>
      <w:r w:rsidRPr="00957DD2">
        <w:rPr>
          <w:rFonts w:ascii="Trebuchet MS" w:hAnsi="Trebuchet MS"/>
        </w:rPr>
        <w:t>utorga: 24/2551-0002356-9</w:t>
      </w:r>
      <w:r>
        <w:rPr>
          <w:rFonts w:ascii="Trebuchet MS" w:hAnsi="Trebuchet MS"/>
        </w:rPr>
        <w:t xml:space="preserve">). A pesquisa é coordenada pela UFPel em conjunto com a UFRGS e outras instituições. A presente reflexão explora algumas facetas de uma investigação em curso e busca trazer algumas respostas, ainda que provisórias, sobre uma instigante indagação: qual o tamanho da expansão da soja e que impactos esse fenômeno acarreta sobre atividades tradicionais do bioma Pampa, a exemplo da pecuária extensiva? Importante registrar que esse processo vem sendo analisado nos países do Prata através do uso de um neologismo – </w:t>
      </w:r>
      <w:r w:rsidRPr="00D3055F">
        <w:rPr>
          <w:rFonts w:ascii="Trebuchet MS" w:hAnsi="Trebuchet MS"/>
          <w:i/>
        </w:rPr>
        <w:t>sojización</w:t>
      </w:r>
      <w:r>
        <w:rPr>
          <w:rFonts w:ascii="Trebuchet MS" w:hAnsi="Trebuchet MS"/>
        </w:rPr>
        <w:t xml:space="preserve"> – referido em estudos realizados na Argentina (</w:t>
      </w:r>
      <w:r w:rsidR="00F27704">
        <w:rPr>
          <w:rFonts w:ascii="Trebuchet MS" w:hAnsi="Trebuchet MS"/>
        </w:rPr>
        <w:t>PIERRI</w:t>
      </w:r>
      <w:r>
        <w:rPr>
          <w:rFonts w:ascii="Trebuchet MS" w:hAnsi="Trebuchet MS"/>
        </w:rPr>
        <w:t>, 2006; 2008) e Uruguai (</w:t>
      </w:r>
      <w:r w:rsidR="00F27704">
        <w:rPr>
          <w:rFonts w:ascii="Trebuchet MS" w:hAnsi="Trebuchet MS"/>
        </w:rPr>
        <w:t>EVIA</w:t>
      </w:r>
      <w:r>
        <w:rPr>
          <w:rFonts w:ascii="Trebuchet MS" w:hAnsi="Trebuchet MS"/>
        </w:rPr>
        <w:t>,2022), os quais, de uma ou de outra forma, debruçaram-se sobre o mesmo cenário, que</w:t>
      </w:r>
      <w:r w:rsidR="0065068B">
        <w:rPr>
          <w:rFonts w:ascii="Trebuchet MS" w:hAnsi="Trebuchet MS"/>
        </w:rPr>
        <w:t>,</w:t>
      </w:r>
      <w:r>
        <w:rPr>
          <w:rFonts w:ascii="Trebuchet MS" w:hAnsi="Trebuchet MS"/>
        </w:rPr>
        <w:t xml:space="preserve"> como bem advertiu Pereira (2019), ao analisar o caso do Paraguai, deve ser entendido como expressão d</w:t>
      </w:r>
      <w:r w:rsidR="00D3055F">
        <w:rPr>
          <w:rFonts w:ascii="Trebuchet MS" w:hAnsi="Trebuchet MS"/>
        </w:rPr>
        <w:t>o</w:t>
      </w:r>
      <w:r>
        <w:rPr>
          <w:rFonts w:ascii="Trebuchet MS" w:hAnsi="Trebuchet MS"/>
        </w:rPr>
        <w:t xml:space="preserve"> </w:t>
      </w:r>
      <w:r w:rsidR="0065068B">
        <w:rPr>
          <w:rFonts w:ascii="Trebuchet MS" w:hAnsi="Trebuchet MS"/>
        </w:rPr>
        <w:t xml:space="preserve">que se veio a chamar </w:t>
      </w:r>
      <w:r>
        <w:rPr>
          <w:rFonts w:ascii="Trebuchet MS" w:hAnsi="Trebuchet MS"/>
        </w:rPr>
        <w:t>padrão neoextrativis</w:t>
      </w:r>
      <w:r w:rsidR="00D3055F">
        <w:rPr>
          <w:rFonts w:ascii="Trebuchet MS" w:hAnsi="Trebuchet MS"/>
        </w:rPr>
        <w:t>ta</w:t>
      </w:r>
      <w:r>
        <w:rPr>
          <w:rFonts w:ascii="Trebuchet MS" w:hAnsi="Trebuchet MS"/>
        </w:rPr>
        <w:t xml:space="preserve">. </w:t>
      </w:r>
    </w:p>
    <w:p w14:paraId="45D7B1F7" w14:textId="77777777" w:rsidR="004C7ACA" w:rsidRDefault="004C7ACA" w:rsidP="00C52627">
      <w:pPr>
        <w:jc w:val="both"/>
        <w:rPr>
          <w:rFonts w:ascii="Trebuchet MS" w:hAnsi="Trebuchet MS"/>
        </w:rPr>
      </w:pPr>
    </w:p>
    <w:p w14:paraId="4FEA1B1A" w14:textId="77777777" w:rsidR="001E5DCF" w:rsidRPr="000E28BA" w:rsidRDefault="001E5DCF" w:rsidP="001E5DCF">
      <w:pPr>
        <w:spacing w:line="360" w:lineRule="auto"/>
        <w:jc w:val="both"/>
        <w:rPr>
          <w:rFonts w:eastAsia="Arial" w:cs="Arial"/>
        </w:rPr>
      </w:pPr>
      <w:r w:rsidRPr="000E28BA">
        <w:rPr>
          <w:rFonts w:eastAsia="Arial" w:cs="Arial"/>
        </w:rPr>
        <w:t>A EXPANSÃO DA SOJA NO RIO GRANDE DO SUL: UM BIOMA AMEAÇADO</w:t>
      </w:r>
    </w:p>
    <w:p w14:paraId="2DD922DC" w14:textId="25EA5D30" w:rsidR="00E36063" w:rsidRDefault="001E5DCF" w:rsidP="00E36063">
      <w:pPr>
        <w:spacing w:line="360" w:lineRule="auto"/>
        <w:jc w:val="both"/>
        <w:rPr>
          <w:rFonts w:ascii="Trebuchet MS" w:hAnsi="Trebuchet MS"/>
        </w:rPr>
      </w:pPr>
      <w:r w:rsidRPr="001E5DCF">
        <w:rPr>
          <w:rFonts w:eastAsia="Arial" w:cs="Arial"/>
        </w:rPr>
        <w:t xml:space="preserve">O Rio Grande do Sul figura hoje como o quarto maior produtor de soja do Brasil. A Figura 1 permite aquilatar </w:t>
      </w:r>
      <w:r w:rsidR="00D3055F">
        <w:rPr>
          <w:rFonts w:eastAsia="Arial" w:cs="Arial"/>
        </w:rPr>
        <w:t>a</w:t>
      </w:r>
      <w:r w:rsidRPr="001E5DCF">
        <w:rPr>
          <w:rFonts w:eastAsia="Arial" w:cs="Arial"/>
        </w:rPr>
        <w:t xml:space="preserve"> difusão do cultivo da soja e a quantidade produzida no RS. Como é possível observar, a soja só não é produzida em apenas três zonas do estado, quais sejam, a) região metropolitana de Porto Alegre, b) </w:t>
      </w:r>
      <w:r w:rsidR="00E36063">
        <w:rPr>
          <w:rFonts w:eastAsia="Arial" w:cs="Arial"/>
        </w:rPr>
        <w:t xml:space="preserve">na </w:t>
      </w:r>
      <w:r w:rsidRPr="001E5DCF">
        <w:rPr>
          <w:rFonts w:eastAsia="Arial" w:cs="Arial"/>
        </w:rPr>
        <w:t>estreita faixa do extremo sul e c) numa porção do litoral norte.</w:t>
      </w:r>
      <w:r w:rsidR="00E36063">
        <w:rPr>
          <w:rFonts w:eastAsia="Arial" w:cs="Arial"/>
        </w:rPr>
        <w:t xml:space="preserve"> </w:t>
      </w:r>
      <w:r w:rsidR="002E5DB6">
        <w:rPr>
          <w:rFonts w:ascii="Trebuchet MS" w:hAnsi="Trebuchet MS"/>
        </w:rPr>
        <w:t>Além disso, como mostra a Figura 2,</w:t>
      </w:r>
      <w:r w:rsidR="00E36063">
        <w:rPr>
          <w:rFonts w:ascii="Trebuchet MS" w:hAnsi="Trebuchet MS"/>
        </w:rPr>
        <w:t xml:space="preserve"> n</w:t>
      </w:r>
      <w:r>
        <w:rPr>
          <w:rFonts w:ascii="Trebuchet MS" w:hAnsi="Trebuchet MS"/>
        </w:rPr>
        <w:t xml:space="preserve">o curto espaço de tempo das duas últimas décadas a área cultivada com a oleaginosa passou de </w:t>
      </w:r>
      <w:r w:rsidRPr="0049131D">
        <w:rPr>
          <w:rFonts w:ascii="Trebuchet MS" w:hAnsi="Trebuchet MS"/>
        </w:rPr>
        <w:t>1.822.827</w:t>
      </w:r>
      <w:r>
        <w:rPr>
          <w:rFonts w:ascii="Trebuchet MS" w:hAnsi="Trebuchet MS"/>
        </w:rPr>
        <w:t xml:space="preserve"> para </w:t>
      </w:r>
      <w:r w:rsidRPr="0049131D">
        <w:rPr>
          <w:rFonts w:ascii="Trebuchet MS" w:hAnsi="Trebuchet MS"/>
        </w:rPr>
        <w:t>4.273.966</w:t>
      </w:r>
      <w:r>
        <w:rPr>
          <w:rFonts w:ascii="Trebuchet MS" w:hAnsi="Trebuchet MS"/>
        </w:rPr>
        <w:t xml:space="preserve"> hectares, um incremento da ordem de quase 135%, enquanto o</w:t>
      </w:r>
      <w:r w:rsidR="00E36063">
        <w:rPr>
          <w:rFonts w:ascii="Trebuchet MS" w:hAnsi="Trebuchet MS"/>
        </w:rPr>
        <w:t xml:space="preserve"> </w:t>
      </w:r>
      <w:r>
        <w:rPr>
          <w:rFonts w:ascii="Trebuchet MS" w:hAnsi="Trebuchet MS"/>
        </w:rPr>
        <w:t xml:space="preserve">milho diminuiu 38,8%. Mas é importante frisar é que a expansão da soja não se dá </w:t>
      </w:r>
      <w:r w:rsidR="0079516C">
        <w:rPr>
          <w:rFonts w:ascii="Trebuchet MS" w:hAnsi="Trebuchet MS"/>
        </w:rPr>
        <w:t>vi</w:t>
      </w:r>
      <w:r>
        <w:rPr>
          <w:rFonts w:ascii="Trebuchet MS" w:hAnsi="Trebuchet MS"/>
        </w:rPr>
        <w:t xml:space="preserve">a ocupação de áreas antes </w:t>
      </w:r>
      <w:r w:rsidR="0079516C">
        <w:rPr>
          <w:rFonts w:ascii="Trebuchet MS" w:hAnsi="Trebuchet MS"/>
        </w:rPr>
        <w:t>destinadas a este e</w:t>
      </w:r>
      <w:r>
        <w:rPr>
          <w:rFonts w:ascii="Trebuchet MS" w:hAnsi="Trebuchet MS"/>
        </w:rPr>
        <w:t xml:space="preserve"> outros cultivos, mas, especialmente, sobre campos nativos</w:t>
      </w:r>
      <w:r w:rsidR="0079516C">
        <w:rPr>
          <w:rFonts w:ascii="Trebuchet MS" w:hAnsi="Trebuchet MS"/>
        </w:rPr>
        <w:t>.</w:t>
      </w:r>
      <w:r w:rsidR="00E36063">
        <w:rPr>
          <w:rFonts w:ascii="Trebuchet MS" w:hAnsi="Trebuchet MS"/>
        </w:rPr>
        <w:t xml:space="preserve"> </w:t>
      </w:r>
    </w:p>
    <w:p w14:paraId="0EE883B1" w14:textId="0D04417B" w:rsidR="004D040B" w:rsidRDefault="004D040B" w:rsidP="002E5DB6">
      <w:pPr>
        <w:spacing w:line="360" w:lineRule="auto"/>
        <w:jc w:val="both"/>
        <w:rPr>
          <w:rFonts w:ascii="Trebuchet MS" w:hAnsi="Trebuchet MS"/>
        </w:rPr>
      </w:pPr>
      <w:r>
        <w:rPr>
          <w:rFonts w:ascii="Trebuchet MS" w:hAnsi="Trebuchet MS"/>
        </w:rPr>
        <w:t xml:space="preserve">Embora relevante, este tema merece uma análise </w:t>
      </w:r>
      <w:r w:rsidR="0079516C">
        <w:rPr>
          <w:rFonts w:ascii="Trebuchet MS" w:hAnsi="Trebuchet MS"/>
        </w:rPr>
        <w:t xml:space="preserve">mais aprofundada, tarefa </w:t>
      </w:r>
      <w:r>
        <w:rPr>
          <w:rFonts w:ascii="Trebuchet MS" w:hAnsi="Trebuchet MS"/>
        </w:rPr>
        <w:t xml:space="preserve">que foge ao escopo deste ensaio. O que aqui importa sublinhar é que a soja está na origem da </w:t>
      </w:r>
      <w:r>
        <w:rPr>
          <w:rFonts w:ascii="Trebuchet MS" w:hAnsi="Trebuchet MS"/>
        </w:rPr>
        <w:lastRenderedPageBreak/>
        <w:t xml:space="preserve">desativação de milhares de estabelecimentos de caráter familiar dedicados à pecuária extensiva. Os dados aqui levantados indicam a regressão de diversas criações animais, a exemplo dos ovinos, </w:t>
      </w:r>
      <w:r w:rsidR="0079516C">
        <w:rPr>
          <w:rFonts w:ascii="Trebuchet MS" w:hAnsi="Trebuchet MS"/>
        </w:rPr>
        <w:t>cuja importância reside tanto na produção</w:t>
      </w:r>
      <w:r>
        <w:rPr>
          <w:rFonts w:ascii="Trebuchet MS" w:hAnsi="Trebuchet MS"/>
        </w:rPr>
        <w:t xml:space="preserve"> de carne </w:t>
      </w:r>
      <w:r w:rsidR="0079516C">
        <w:rPr>
          <w:rFonts w:ascii="Trebuchet MS" w:hAnsi="Trebuchet MS"/>
        </w:rPr>
        <w:t xml:space="preserve">como </w:t>
      </w:r>
      <w:r>
        <w:rPr>
          <w:rFonts w:ascii="Trebuchet MS" w:hAnsi="Trebuchet MS"/>
        </w:rPr>
        <w:t xml:space="preserve">de lã. </w:t>
      </w:r>
    </w:p>
    <w:p w14:paraId="6EE54712" w14:textId="77777777" w:rsidR="00C52627" w:rsidRDefault="00C52627" w:rsidP="002E5DB6">
      <w:pPr>
        <w:spacing w:line="360" w:lineRule="auto"/>
        <w:jc w:val="both"/>
        <w:rPr>
          <w:rFonts w:ascii="Trebuchet MS" w:hAnsi="Trebuchet MS"/>
        </w:rPr>
      </w:pPr>
    </w:p>
    <w:p w14:paraId="16C1AF95" w14:textId="6D68D66F" w:rsidR="006C54F4" w:rsidRDefault="003F206F" w:rsidP="003F206F">
      <w:pPr>
        <w:spacing w:line="360" w:lineRule="auto"/>
        <w:jc w:val="center"/>
        <w:rPr>
          <w:rFonts w:ascii="Trebuchet MS" w:hAnsi="Trebuchet MS"/>
        </w:rPr>
      </w:pPr>
      <w:r>
        <w:rPr>
          <w:rFonts w:ascii="Trebuchet MS" w:hAnsi="Trebuchet MS"/>
          <w:noProof/>
          <w:lang w:eastAsia="pt-BR"/>
        </w:rPr>
        <w:drawing>
          <wp:inline distT="0" distB="0" distL="0" distR="0" wp14:anchorId="69F74EB1" wp14:editId="75766B98">
            <wp:extent cx="3836955" cy="37172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ntidade_produzida_soja_RS_2020_2022.png"/>
                    <pic:cNvPicPr/>
                  </pic:nvPicPr>
                  <pic:blipFill>
                    <a:blip r:embed="rId8">
                      <a:extLst>
                        <a:ext uri="{28A0092B-C50C-407E-A947-70E740481C1C}">
                          <a14:useLocalDpi xmlns:a14="http://schemas.microsoft.com/office/drawing/2010/main" val="0"/>
                        </a:ext>
                      </a:extLst>
                    </a:blip>
                    <a:stretch>
                      <a:fillRect/>
                    </a:stretch>
                  </pic:blipFill>
                  <pic:spPr>
                    <a:xfrm>
                      <a:off x="0" y="0"/>
                      <a:ext cx="3855331" cy="3735038"/>
                    </a:xfrm>
                    <a:prstGeom prst="rect">
                      <a:avLst/>
                    </a:prstGeom>
                  </pic:spPr>
                </pic:pic>
              </a:graphicData>
            </a:graphic>
          </wp:inline>
        </w:drawing>
      </w:r>
    </w:p>
    <w:p w14:paraId="63E35877" w14:textId="77777777" w:rsidR="002E5DB6" w:rsidRPr="001E5DCF" w:rsidRDefault="002E5DB6" w:rsidP="002E5DB6">
      <w:pPr>
        <w:jc w:val="center"/>
        <w:rPr>
          <w:rFonts w:eastAsia="Arial" w:cs="Arial"/>
          <w:sz w:val="20"/>
          <w:szCs w:val="20"/>
        </w:rPr>
      </w:pPr>
      <w:r w:rsidRPr="001E5DCF">
        <w:rPr>
          <w:rFonts w:eastAsia="Arial" w:cs="Arial"/>
          <w:sz w:val="20"/>
          <w:szCs w:val="20"/>
        </w:rPr>
        <w:t>Figura 1. Quantidade produzida de soja no RS entre os anos 2020 e 2022.</w:t>
      </w:r>
    </w:p>
    <w:p w14:paraId="23C5AABE" w14:textId="77777777" w:rsidR="002E5DB6" w:rsidRPr="001E5DCF" w:rsidRDefault="002E5DB6" w:rsidP="002E5DB6">
      <w:pPr>
        <w:jc w:val="center"/>
        <w:rPr>
          <w:rFonts w:eastAsia="Arial" w:cs="Arial"/>
          <w:sz w:val="20"/>
          <w:szCs w:val="20"/>
        </w:rPr>
      </w:pPr>
      <w:r w:rsidRPr="001E5DCF">
        <w:rPr>
          <w:rFonts w:eastAsia="Arial" w:cs="Arial"/>
          <w:sz w:val="20"/>
          <w:szCs w:val="20"/>
        </w:rPr>
        <w:t>Fonte: FEE-RS (2025).</w:t>
      </w:r>
    </w:p>
    <w:p w14:paraId="3E7FC292" w14:textId="77777777" w:rsidR="002E5DB6" w:rsidRDefault="002E5DB6" w:rsidP="004D040B">
      <w:pPr>
        <w:spacing w:line="360" w:lineRule="auto"/>
        <w:jc w:val="both"/>
        <w:rPr>
          <w:rFonts w:ascii="Trebuchet MS" w:hAnsi="Trebuchet MS"/>
        </w:rPr>
      </w:pPr>
    </w:p>
    <w:p w14:paraId="54163CE3" w14:textId="77777777" w:rsidR="00C52627" w:rsidRPr="001E5DCF" w:rsidRDefault="00C52627" w:rsidP="003F206F">
      <w:pPr>
        <w:spacing w:line="360" w:lineRule="auto"/>
        <w:jc w:val="both"/>
        <w:rPr>
          <w:rFonts w:eastAsia="Arial" w:cs="Arial"/>
        </w:rPr>
      </w:pPr>
      <w:r w:rsidRPr="001E5DCF">
        <w:rPr>
          <w:rFonts w:eastAsia="Arial" w:cs="Arial"/>
        </w:rPr>
        <w:t xml:space="preserve">A informação reunida na Tabela 1 mostra o declínio da ovinocultura a partir do comparativo dos dois biomas principais do RS (Mata Atlântica e Pampa) num período de 48 anos. No caso da Mata Atlântica houve inclusive um pequeno aumento (4,4%) no efetivo de ovinos. Todavia, no caso do Pampa – muito mais numeroso – o descenso supera a 75%, passando de um efetivo de 12,2 para pouco mais de 3 milhões de cabeças. É evidente que não se pode imputar a decadência da ovinocultura, </w:t>
      </w:r>
      <w:r w:rsidRPr="0079516C">
        <w:rPr>
          <w:rFonts w:eastAsia="Arial" w:cs="Arial"/>
          <w:i/>
        </w:rPr>
        <w:t>stricto sensu</w:t>
      </w:r>
      <w:r w:rsidRPr="001E5DCF">
        <w:rPr>
          <w:rFonts w:eastAsia="Arial" w:cs="Arial"/>
        </w:rPr>
        <w:t xml:space="preserve">, à </w:t>
      </w:r>
      <w:r>
        <w:rPr>
          <w:rFonts w:eastAsia="Arial" w:cs="Arial"/>
        </w:rPr>
        <w:t>expansão</w:t>
      </w:r>
      <w:r w:rsidRPr="001E5DCF">
        <w:rPr>
          <w:rFonts w:eastAsia="Arial" w:cs="Arial"/>
        </w:rPr>
        <w:t xml:space="preserve"> da soja. Todavia, não se pode negar o fato de que é justamente </w:t>
      </w:r>
      <w:r w:rsidRPr="001E5DCF">
        <w:rPr>
          <w:rFonts w:eastAsia="Arial" w:cs="Arial"/>
        </w:rPr>
        <w:lastRenderedPageBreak/>
        <w:t xml:space="preserve">durante os anos do </w:t>
      </w:r>
      <w:r w:rsidRPr="002E5DB6">
        <w:rPr>
          <w:rFonts w:eastAsia="Arial" w:cs="Arial"/>
          <w:i/>
        </w:rPr>
        <w:t>boom</w:t>
      </w:r>
      <w:r w:rsidRPr="001E5DCF">
        <w:rPr>
          <w:rFonts w:eastAsia="Arial" w:cs="Arial"/>
        </w:rPr>
        <w:t xml:space="preserve"> da soja que se dá o declínio ininterrupto da </w:t>
      </w:r>
      <w:r>
        <w:rPr>
          <w:rFonts w:eastAsia="Arial" w:cs="Arial"/>
        </w:rPr>
        <w:t>ovinocultura</w:t>
      </w:r>
      <w:r w:rsidRPr="001E5DCF">
        <w:rPr>
          <w:rFonts w:eastAsia="Arial" w:cs="Arial"/>
        </w:rPr>
        <w:t xml:space="preserve">. Não menos importante é o caso da produção de gado. Os dados da Figura </w:t>
      </w:r>
      <w:r>
        <w:rPr>
          <w:rFonts w:eastAsia="Arial" w:cs="Arial"/>
        </w:rPr>
        <w:t>3</w:t>
      </w:r>
      <w:r w:rsidRPr="001E5DCF">
        <w:rPr>
          <w:rFonts w:eastAsia="Arial" w:cs="Arial"/>
        </w:rPr>
        <w:t xml:space="preserve"> mostram que a pecuária extensiva regrediu no período 1974-2022, passando de um efetivo de 10,331 para 8,729 milhões de cabeças. </w:t>
      </w:r>
    </w:p>
    <w:p w14:paraId="742AA7D4" w14:textId="77777777" w:rsidR="00C52627" w:rsidRDefault="00C52627" w:rsidP="004D040B">
      <w:pPr>
        <w:spacing w:line="360" w:lineRule="auto"/>
        <w:jc w:val="both"/>
        <w:rPr>
          <w:rFonts w:ascii="Trebuchet MS" w:hAnsi="Trebuchet MS"/>
        </w:rPr>
      </w:pPr>
    </w:p>
    <w:p w14:paraId="4134A39A" w14:textId="77777777" w:rsidR="001E5DCF" w:rsidRDefault="001E5DCF" w:rsidP="004D040B">
      <w:pPr>
        <w:jc w:val="center"/>
        <w:rPr>
          <w:rFonts w:ascii="Trebuchet MS" w:hAnsi="Trebuchet MS"/>
        </w:rPr>
      </w:pPr>
      <w:r>
        <w:rPr>
          <w:rFonts w:ascii="Trebuchet MS" w:hAnsi="Trebuchet MS"/>
          <w:noProof/>
          <w:lang w:eastAsia="pt-BR"/>
        </w:rPr>
        <w:drawing>
          <wp:inline distT="0" distB="0" distL="0" distR="0" wp14:anchorId="76257ACE" wp14:editId="16E51864">
            <wp:extent cx="3723748" cy="22383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9293" cy="2241708"/>
                    </a:xfrm>
                    <a:prstGeom prst="rect">
                      <a:avLst/>
                    </a:prstGeom>
                    <a:noFill/>
                  </pic:spPr>
                </pic:pic>
              </a:graphicData>
            </a:graphic>
          </wp:inline>
        </w:drawing>
      </w:r>
    </w:p>
    <w:p w14:paraId="3C609F19" w14:textId="3D4F42B1" w:rsidR="002E5DB6" w:rsidRDefault="002E5DB6" w:rsidP="003F206F">
      <w:pPr>
        <w:spacing w:before="120"/>
        <w:jc w:val="center"/>
        <w:rPr>
          <w:rFonts w:ascii="Trebuchet MS" w:hAnsi="Trebuchet MS"/>
          <w:sz w:val="20"/>
          <w:szCs w:val="20"/>
        </w:rPr>
      </w:pPr>
      <w:r>
        <w:rPr>
          <w:rFonts w:ascii="Trebuchet MS" w:hAnsi="Trebuchet MS"/>
          <w:sz w:val="20"/>
          <w:szCs w:val="20"/>
        </w:rPr>
        <w:t>Figura 2. Evolução da área cultivada de soja e de milho no Rio Grande do Sul.</w:t>
      </w:r>
    </w:p>
    <w:p w14:paraId="1B7517F9" w14:textId="77777777" w:rsidR="001E5DCF" w:rsidRPr="0049131D" w:rsidRDefault="001E5DCF" w:rsidP="002E5DB6">
      <w:pPr>
        <w:jc w:val="center"/>
        <w:rPr>
          <w:rFonts w:ascii="Trebuchet MS" w:hAnsi="Trebuchet MS"/>
          <w:sz w:val="20"/>
          <w:szCs w:val="20"/>
        </w:rPr>
      </w:pPr>
      <w:r w:rsidRPr="0049131D">
        <w:rPr>
          <w:rFonts w:ascii="Trebuchet MS" w:hAnsi="Trebuchet MS"/>
          <w:sz w:val="20"/>
          <w:szCs w:val="20"/>
        </w:rPr>
        <w:t xml:space="preserve">Fonte: elaborado </w:t>
      </w:r>
      <w:r>
        <w:rPr>
          <w:rFonts w:ascii="Trebuchet MS" w:hAnsi="Trebuchet MS"/>
          <w:sz w:val="20"/>
          <w:szCs w:val="20"/>
        </w:rPr>
        <w:t xml:space="preserve">pelos autores </w:t>
      </w:r>
      <w:r w:rsidRPr="0049131D">
        <w:rPr>
          <w:rFonts w:ascii="Trebuchet MS" w:hAnsi="Trebuchet MS"/>
          <w:sz w:val="20"/>
          <w:szCs w:val="20"/>
        </w:rPr>
        <w:t>a partir dos dados do censo agropecuário do IBGE.</w:t>
      </w:r>
    </w:p>
    <w:p w14:paraId="0DE61905" w14:textId="6AE4145D" w:rsidR="00C52627" w:rsidRDefault="00C52627" w:rsidP="00C52627">
      <w:pPr>
        <w:tabs>
          <w:tab w:val="left" w:pos="908"/>
          <w:tab w:val="center" w:pos="4535"/>
        </w:tabs>
        <w:spacing w:before="120" w:line="360" w:lineRule="auto"/>
        <w:rPr>
          <w:rFonts w:ascii="Trebuchet MS" w:hAnsi="Trebuchet MS"/>
          <w:sz w:val="20"/>
          <w:szCs w:val="20"/>
        </w:rPr>
      </w:pPr>
    </w:p>
    <w:p w14:paraId="06EBA668" w14:textId="4F5A7B67" w:rsidR="001E5DCF" w:rsidRPr="0079516C" w:rsidRDefault="00C52627" w:rsidP="00C52627">
      <w:pPr>
        <w:tabs>
          <w:tab w:val="left" w:pos="908"/>
          <w:tab w:val="center" w:pos="4535"/>
        </w:tabs>
        <w:spacing w:before="120" w:line="360" w:lineRule="auto"/>
        <w:rPr>
          <w:rFonts w:ascii="Trebuchet MS" w:hAnsi="Trebuchet MS"/>
          <w:sz w:val="20"/>
          <w:szCs w:val="20"/>
        </w:rPr>
      </w:pPr>
      <w:r>
        <w:rPr>
          <w:rFonts w:ascii="Trebuchet MS" w:hAnsi="Trebuchet MS"/>
          <w:sz w:val="20"/>
          <w:szCs w:val="20"/>
        </w:rPr>
        <w:tab/>
      </w:r>
      <w:r w:rsidR="001E5DCF" w:rsidRPr="0079516C">
        <w:rPr>
          <w:rFonts w:ascii="Trebuchet MS" w:hAnsi="Trebuchet MS"/>
          <w:sz w:val="20"/>
          <w:szCs w:val="20"/>
        </w:rPr>
        <w:t>Tabela 1. Evolução do efetivo de Rebanhos de Ovinos nos dois biomas gaúchos</w:t>
      </w:r>
    </w:p>
    <w:tbl>
      <w:tblPr>
        <w:tblStyle w:val="Tabelacomgrad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1347"/>
        <w:gridCol w:w="1232"/>
        <w:gridCol w:w="1319"/>
        <w:gridCol w:w="1232"/>
        <w:gridCol w:w="936"/>
        <w:gridCol w:w="1163"/>
      </w:tblGrid>
      <w:tr w:rsidR="001E5DCF" w:rsidRPr="00CD3F64" w14:paraId="7898104B" w14:textId="77777777" w:rsidTr="00727F11">
        <w:trPr>
          <w:jc w:val="center"/>
        </w:trPr>
        <w:tc>
          <w:tcPr>
            <w:tcW w:w="1265" w:type="dxa"/>
            <w:vMerge w:val="restart"/>
            <w:shd w:val="clear" w:color="auto" w:fill="D9D9D9" w:themeFill="background1" w:themeFillShade="D9"/>
            <w:vAlign w:val="center"/>
          </w:tcPr>
          <w:p w14:paraId="195B9490" w14:textId="77777777" w:rsidR="001E5DCF" w:rsidRPr="0079516C" w:rsidRDefault="001E5DCF" w:rsidP="00E70A2D">
            <w:pPr>
              <w:spacing w:line="278" w:lineRule="auto"/>
              <w:jc w:val="center"/>
              <w:rPr>
                <w:rFonts w:ascii="Trebuchet MS" w:eastAsia="Aptos" w:hAnsi="Trebuchet MS" w:cs="Times New Roman"/>
                <w:b/>
                <w:bCs/>
                <w:sz w:val="20"/>
                <w:szCs w:val="20"/>
              </w:rPr>
            </w:pPr>
            <w:r w:rsidRPr="0079516C">
              <w:rPr>
                <w:rFonts w:ascii="Trebuchet MS" w:eastAsia="Aptos" w:hAnsi="Trebuchet MS" w:cs="Times New Roman"/>
                <w:b/>
                <w:bCs/>
                <w:sz w:val="20"/>
                <w:szCs w:val="20"/>
              </w:rPr>
              <w:t>Ano</w:t>
            </w:r>
          </w:p>
        </w:tc>
        <w:tc>
          <w:tcPr>
            <w:tcW w:w="2579" w:type="dxa"/>
            <w:gridSpan w:val="2"/>
            <w:shd w:val="clear" w:color="auto" w:fill="D9D9D9" w:themeFill="background1" w:themeFillShade="D9"/>
          </w:tcPr>
          <w:p w14:paraId="695F154D" w14:textId="77777777" w:rsidR="001E5DCF" w:rsidRPr="0079516C" w:rsidRDefault="001E5DCF" w:rsidP="00E70A2D">
            <w:pPr>
              <w:spacing w:line="278" w:lineRule="auto"/>
              <w:jc w:val="center"/>
              <w:rPr>
                <w:rFonts w:ascii="Trebuchet MS" w:eastAsia="Aptos" w:hAnsi="Trebuchet MS" w:cs="Times New Roman"/>
                <w:b/>
                <w:bCs/>
                <w:sz w:val="20"/>
                <w:szCs w:val="20"/>
              </w:rPr>
            </w:pPr>
            <w:r w:rsidRPr="0079516C">
              <w:rPr>
                <w:rFonts w:ascii="Trebuchet MS" w:eastAsia="Aptos" w:hAnsi="Trebuchet MS" w:cs="Times New Roman"/>
                <w:b/>
                <w:bCs/>
                <w:sz w:val="20"/>
                <w:szCs w:val="20"/>
              </w:rPr>
              <w:t>Cabeças</w:t>
            </w:r>
          </w:p>
        </w:tc>
        <w:tc>
          <w:tcPr>
            <w:tcW w:w="2551" w:type="dxa"/>
            <w:gridSpan w:val="2"/>
            <w:shd w:val="clear" w:color="auto" w:fill="D9D9D9" w:themeFill="background1" w:themeFillShade="D9"/>
          </w:tcPr>
          <w:p w14:paraId="7FC125A0" w14:textId="77777777" w:rsidR="001E5DCF" w:rsidRPr="0079516C" w:rsidRDefault="001E5DCF" w:rsidP="00E70A2D">
            <w:pPr>
              <w:spacing w:line="278" w:lineRule="auto"/>
              <w:jc w:val="center"/>
              <w:rPr>
                <w:rFonts w:ascii="Trebuchet MS" w:eastAsia="Aptos" w:hAnsi="Trebuchet MS" w:cs="Times New Roman"/>
                <w:b/>
                <w:bCs/>
                <w:sz w:val="20"/>
                <w:szCs w:val="20"/>
              </w:rPr>
            </w:pPr>
            <w:r w:rsidRPr="0079516C">
              <w:rPr>
                <w:rFonts w:ascii="Trebuchet MS" w:eastAsia="Aptos" w:hAnsi="Trebuchet MS" w:cs="Times New Roman"/>
                <w:b/>
                <w:bCs/>
                <w:sz w:val="20"/>
                <w:szCs w:val="20"/>
              </w:rPr>
              <w:t>Proporção do RS</w:t>
            </w:r>
          </w:p>
        </w:tc>
        <w:tc>
          <w:tcPr>
            <w:tcW w:w="2099" w:type="dxa"/>
            <w:gridSpan w:val="2"/>
            <w:shd w:val="clear" w:color="auto" w:fill="D9D9D9" w:themeFill="background1" w:themeFillShade="D9"/>
          </w:tcPr>
          <w:p w14:paraId="2FCD7897" w14:textId="77777777" w:rsidR="001E5DCF" w:rsidRPr="0079516C" w:rsidRDefault="001E5DCF" w:rsidP="00E70A2D">
            <w:pPr>
              <w:spacing w:line="278" w:lineRule="auto"/>
              <w:jc w:val="center"/>
              <w:rPr>
                <w:rFonts w:ascii="Trebuchet MS" w:eastAsia="Aptos" w:hAnsi="Trebuchet MS" w:cs="Times New Roman"/>
                <w:b/>
                <w:bCs/>
                <w:sz w:val="20"/>
                <w:szCs w:val="20"/>
              </w:rPr>
            </w:pPr>
            <w:r w:rsidRPr="0079516C">
              <w:rPr>
                <w:rFonts w:ascii="Trebuchet MS" w:eastAsia="Aptos" w:hAnsi="Trebuchet MS" w:cs="Times New Roman"/>
                <w:b/>
                <w:bCs/>
                <w:sz w:val="20"/>
                <w:szCs w:val="20"/>
              </w:rPr>
              <w:t>Índice</w:t>
            </w:r>
          </w:p>
        </w:tc>
      </w:tr>
      <w:tr w:rsidR="001E5DCF" w:rsidRPr="00CD3F64" w14:paraId="5CED774B" w14:textId="77777777" w:rsidTr="00727F11">
        <w:trPr>
          <w:jc w:val="center"/>
        </w:trPr>
        <w:tc>
          <w:tcPr>
            <w:tcW w:w="1265" w:type="dxa"/>
            <w:vMerge/>
            <w:shd w:val="clear" w:color="auto" w:fill="D9D9D9" w:themeFill="background1" w:themeFillShade="D9"/>
          </w:tcPr>
          <w:p w14:paraId="7CB60C79" w14:textId="77777777" w:rsidR="001E5DCF" w:rsidRPr="00C52627" w:rsidRDefault="001E5DCF" w:rsidP="00E70A2D">
            <w:pPr>
              <w:spacing w:line="278" w:lineRule="auto"/>
              <w:jc w:val="center"/>
              <w:rPr>
                <w:rFonts w:ascii="Trebuchet MS" w:eastAsia="Aptos" w:hAnsi="Trebuchet MS" w:cs="Times New Roman"/>
                <w:b/>
                <w:bCs/>
                <w:sz w:val="20"/>
                <w:szCs w:val="20"/>
              </w:rPr>
            </w:pPr>
          </w:p>
        </w:tc>
        <w:tc>
          <w:tcPr>
            <w:tcW w:w="1347" w:type="dxa"/>
            <w:shd w:val="clear" w:color="auto" w:fill="D9D9D9" w:themeFill="background1" w:themeFillShade="D9"/>
            <w:vAlign w:val="center"/>
          </w:tcPr>
          <w:p w14:paraId="6F096847" w14:textId="77777777" w:rsidR="001E5DCF" w:rsidRPr="00C52627" w:rsidRDefault="001E5DCF" w:rsidP="00E70A2D">
            <w:pPr>
              <w:spacing w:line="278" w:lineRule="auto"/>
              <w:jc w:val="center"/>
              <w:rPr>
                <w:rFonts w:ascii="Trebuchet MS" w:eastAsia="Aptos" w:hAnsi="Trebuchet MS" w:cs="Times New Roman"/>
                <w:b/>
                <w:bCs/>
                <w:sz w:val="20"/>
                <w:szCs w:val="20"/>
              </w:rPr>
            </w:pPr>
            <w:r w:rsidRPr="00C52627">
              <w:rPr>
                <w:rFonts w:ascii="Trebuchet MS" w:eastAsia="Aptos" w:hAnsi="Trebuchet MS" w:cs="Times New Roman"/>
                <w:b/>
                <w:bCs/>
                <w:sz w:val="20"/>
                <w:szCs w:val="20"/>
              </w:rPr>
              <w:t>Pampa</w:t>
            </w:r>
          </w:p>
        </w:tc>
        <w:tc>
          <w:tcPr>
            <w:tcW w:w="1232" w:type="dxa"/>
            <w:shd w:val="clear" w:color="auto" w:fill="D9D9D9" w:themeFill="background1" w:themeFillShade="D9"/>
          </w:tcPr>
          <w:p w14:paraId="56F26267" w14:textId="77777777" w:rsidR="001E5DCF" w:rsidRPr="00C52627" w:rsidRDefault="001E5DCF" w:rsidP="00E70A2D">
            <w:pPr>
              <w:spacing w:line="278" w:lineRule="auto"/>
              <w:jc w:val="center"/>
              <w:rPr>
                <w:rFonts w:ascii="Trebuchet MS" w:eastAsia="Aptos" w:hAnsi="Trebuchet MS" w:cs="Times New Roman"/>
                <w:b/>
                <w:bCs/>
                <w:sz w:val="20"/>
                <w:szCs w:val="20"/>
              </w:rPr>
            </w:pPr>
            <w:r w:rsidRPr="00C52627">
              <w:rPr>
                <w:rFonts w:ascii="Trebuchet MS" w:eastAsia="Aptos" w:hAnsi="Trebuchet MS" w:cs="Times New Roman"/>
                <w:b/>
                <w:bCs/>
                <w:sz w:val="20"/>
                <w:szCs w:val="20"/>
              </w:rPr>
              <w:t>Mata Atlântica</w:t>
            </w:r>
          </w:p>
        </w:tc>
        <w:tc>
          <w:tcPr>
            <w:tcW w:w="1319" w:type="dxa"/>
            <w:shd w:val="clear" w:color="auto" w:fill="D9D9D9" w:themeFill="background1" w:themeFillShade="D9"/>
            <w:vAlign w:val="center"/>
          </w:tcPr>
          <w:p w14:paraId="2BB5F7F0" w14:textId="77777777" w:rsidR="001E5DCF" w:rsidRPr="00C52627" w:rsidRDefault="001E5DCF" w:rsidP="00E70A2D">
            <w:pPr>
              <w:spacing w:line="278" w:lineRule="auto"/>
              <w:jc w:val="center"/>
              <w:rPr>
                <w:rFonts w:ascii="Trebuchet MS" w:eastAsia="Aptos" w:hAnsi="Trebuchet MS" w:cs="Times New Roman"/>
                <w:b/>
                <w:bCs/>
                <w:sz w:val="20"/>
                <w:szCs w:val="20"/>
              </w:rPr>
            </w:pPr>
            <w:r w:rsidRPr="00C52627">
              <w:rPr>
                <w:rFonts w:ascii="Trebuchet MS" w:eastAsia="Aptos" w:hAnsi="Trebuchet MS" w:cs="Times New Roman"/>
                <w:b/>
                <w:bCs/>
                <w:sz w:val="20"/>
                <w:szCs w:val="20"/>
              </w:rPr>
              <w:t>Pampa</w:t>
            </w:r>
          </w:p>
        </w:tc>
        <w:tc>
          <w:tcPr>
            <w:tcW w:w="1232" w:type="dxa"/>
            <w:shd w:val="clear" w:color="auto" w:fill="D9D9D9" w:themeFill="background1" w:themeFillShade="D9"/>
          </w:tcPr>
          <w:p w14:paraId="7EF588F3" w14:textId="77777777" w:rsidR="001E5DCF" w:rsidRPr="00C52627" w:rsidRDefault="001E5DCF" w:rsidP="00E70A2D">
            <w:pPr>
              <w:spacing w:line="278" w:lineRule="auto"/>
              <w:jc w:val="center"/>
              <w:rPr>
                <w:rFonts w:ascii="Trebuchet MS" w:eastAsia="Aptos" w:hAnsi="Trebuchet MS" w:cs="Times New Roman"/>
                <w:b/>
                <w:bCs/>
                <w:sz w:val="20"/>
                <w:szCs w:val="20"/>
              </w:rPr>
            </w:pPr>
            <w:r w:rsidRPr="00C52627">
              <w:rPr>
                <w:rFonts w:ascii="Trebuchet MS" w:eastAsia="Aptos" w:hAnsi="Trebuchet MS" w:cs="Times New Roman"/>
                <w:b/>
                <w:bCs/>
                <w:sz w:val="20"/>
                <w:szCs w:val="20"/>
              </w:rPr>
              <w:t>Mata Atlântica</w:t>
            </w:r>
          </w:p>
        </w:tc>
        <w:tc>
          <w:tcPr>
            <w:tcW w:w="936" w:type="dxa"/>
            <w:shd w:val="clear" w:color="auto" w:fill="D9D9D9" w:themeFill="background1" w:themeFillShade="D9"/>
          </w:tcPr>
          <w:p w14:paraId="2C93DF85" w14:textId="77777777" w:rsidR="001E5DCF" w:rsidRPr="00C52627" w:rsidRDefault="001E5DCF" w:rsidP="00E70A2D">
            <w:pPr>
              <w:spacing w:line="278" w:lineRule="auto"/>
              <w:jc w:val="center"/>
              <w:rPr>
                <w:rFonts w:ascii="Trebuchet MS" w:eastAsia="Aptos" w:hAnsi="Trebuchet MS" w:cs="Times New Roman"/>
                <w:b/>
                <w:bCs/>
                <w:sz w:val="20"/>
                <w:szCs w:val="20"/>
              </w:rPr>
            </w:pPr>
            <w:r w:rsidRPr="00C52627">
              <w:rPr>
                <w:rFonts w:ascii="Trebuchet MS" w:eastAsia="Aptos" w:hAnsi="Trebuchet MS" w:cs="Times New Roman"/>
                <w:b/>
                <w:bCs/>
                <w:sz w:val="20"/>
                <w:szCs w:val="20"/>
              </w:rPr>
              <w:t>Pampa</w:t>
            </w:r>
          </w:p>
        </w:tc>
        <w:tc>
          <w:tcPr>
            <w:tcW w:w="1163" w:type="dxa"/>
            <w:shd w:val="clear" w:color="auto" w:fill="D9D9D9" w:themeFill="background1" w:themeFillShade="D9"/>
          </w:tcPr>
          <w:p w14:paraId="3FF2B3EE" w14:textId="77777777" w:rsidR="001E5DCF" w:rsidRPr="00C52627" w:rsidRDefault="001E5DCF" w:rsidP="00E70A2D">
            <w:pPr>
              <w:spacing w:line="278" w:lineRule="auto"/>
              <w:jc w:val="center"/>
              <w:rPr>
                <w:rFonts w:ascii="Trebuchet MS" w:eastAsia="Aptos" w:hAnsi="Trebuchet MS" w:cs="Times New Roman"/>
                <w:b/>
                <w:bCs/>
                <w:sz w:val="20"/>
                <w:szCs w:val="20"/>
              </w:rPr>
            </w:pPr>
            <w:r w:rsidRPr="00C52627">
              <w:rPr>
                <w:rFonts w:ascii="Trebuchet MS" w:eastAsia="Aptos" w:hAnsi="Trebuchet MS" w:cs="Times New Roman"/>
                <w:b/>
                <w:bCs/>
                <w:sz w:val="20"/>
                <w:szCs w:val="20"/>
              </w:rPr>
              <w:t>Mata Atlântica</w:t>
            </w:r>
          </w:p>
        </w:tc>
      </w:tr>
      <w:tr w:rsidR="001E5DCF" w:rsidRPr="00CD3F64" w14:paraId="132015B9" w14:textId="77777777" w:rsidTr="00727F11">
        <w:trPr>
          <w:jc w:val="center"/>
        </w:trPr>
        <w:tc>
          <w:tcPr>
            <w:tcW w:w="1265" w:type="dxa"/>
          </w:tcPr>
          <w:p w14:paraId="1D065D2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1974</w:t>
            </w:r>
          </w:p>
        </w:tc>
        <w:tc>
          <w:tcPr>
            <w:tcW w:w="1347" w:type="dxa"/>
          </w:tcPr>
          <w:p w14:paraId="18315487"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12.232.506</w:t>
            </w:r>
          </w:p>
        </w:tc>
        <w:tc>
          <w:tcPr>
            <w:tcW w:w="1232" w:type="dxa"/>
          </w:tcPr>
          <w:p w14:paraId="378475F7"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257.560</w:t>
            </w:r>
          </w:p>
        </w:tc>
        <w:tc>
          <w:tcPr>
            <w:tcW w:w="1319" w:type="dxa"/>
          </w:tcPr>
          <w:p w14:paraId="6FAE6409"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97.94%</w:t>
            </w:r>
          </w:p>
        </w:tc>
        <w:tc>
          <w:tcPr>
            <w:tcW w:w="1232" w:type="dxa"/>
          </w:tcPr>
          <w:p w14:paraId="1040AF4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2.06%</w:t>
            </w:r>
          </w:p>
        </w:tc>
        <w:tc>
          <w:tcPr>
            <w:tcW w:w="936" w:type="dxa"/>
          </w:tcPr>
          <w:p w14:paraId="1C90C99A"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100.00</w:t>
            </w:r>
          </w:p>
        </w:tc>
        <w:tc>
          <w:tcPr>
            <w:tcW w:w="1163" w:type="dxa"/>
          </w:tcPr>
          <w:p w14:paraId="7992E31F"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100.00</w:t>
            </w:r>
          </w:p>
        </w:tc>
      </w:tr>
      <w:tr w:rsidR="001E5DCF" w:rsidRPr="00CD3F64" w14:paraId="1606F663" w14:textId="77777777" w:rsidTr="00727F11">
        <w:trPr>
          <w:jc w:val="center"/>
        </w:trPr>
        <w:tc>
          <w:tcPr>
            <w:tcW w:w="1265" w:type="dxa"/>
          </w:tcPr>
          <w:p w14:paraId="50EE1E9E"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1978</w:t>
            </w:r>
          </w:p>
        </w:tc>
        <w:tc>
          <w:tcPr>
            <w:tcW w:w="1347" w:type="dxa"/>
          </w:tcPr>
          <w:p w14:paraId="5A196704"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10.483.301</w:t>
            </w:r>
          </w:p>
        </w:tc>
        <w:tc>
          <w:tcPr>
            <w:tcW w:w="1232" w:type="dxa"/>
          </w:tcPr>
          <w:p w14:paraId="1B91F992"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159.813</w:t>
            </w:r>
          </w:p>
        </w:tc>
        <w:tc>
          <w:tcPr>
            <w:tcW w:w="1319" w:type="dxa"/>
          </w:tcPr>
          <w:p w14:paraId="4A2005D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98.50%</w:t>
            </w:r>
          </w:p>
        </w:tc>
        <w:tc>
          <w:tcPr>
            <w:tcW w:w="1232" w:type="dxa"/>
          </w:tcPr>
          <w:p w14:paraId="498D04F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1.50%</w:t>
            </w:r>
          </w:p>
        </w:tc>
        <w:tc>
          <w:tcPr>
            <w:tcW w:w="936" w:type="dxa"/>
          </w:tcPr>
          <w:p w14:paraId="420434DF"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85.70</w:t>
            </w:r>
          </w:p>
        </w:tc>
        <w:tc>
          <w:tcPr>
            <w:tcW w:w="1163" w:type="dxa"/>
          </w:tcPr>
          <w:p w14:paraId="366D313E"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62.05</w:t>
            </w:r>
          </w:p>
        </w:tc>
      </w:tr>
      <w:tr w:rsidR="001E5DCF" w:rsidRPr="00CD3F64" w14:paraId="253B3A7D" w14:textId="77777777" w:rsidTr="00727F11">
        <w:trPr>
          <w:jc w:val="center"/>
        </w:trPr>
        <w:tc>
          <w:tcPr>
            <w:tcW w:w="1265" w:type="dxa"/>
          </w:tcPr>
          <w:p w14:paraId="2426E5C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1982</w:t>
            </w:r>
          </w:p>
        </w:tc>
        <w:tc>
          <w:tcPr>
            <w:tcW w:w="1347" w:type="dxa"/>
          </w:tcPr>
          <w:p w14:paraId="034A6E92"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10.979.554</w:t>
            </w:r>
          </w:p>
        </w:tc>
        <w:tc>
          <w:tcPr>
            <w:tcW w:w="1232" w:type="dxa"/>
          </w:tcPr>
          <w:p w14:paraId="5980980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201.754</w:t>
            </w:r>
          </w:p>
        </w:tc>
        <w:tc>
          <w:tcPr>
            <w:tcW w:w="1319" w:type="dxa"/>
          </w:tcPr>
          <w:p w14:paraId="3554245A"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98.20%</w:t>
            </w:r>
          </w:p>
        </w:tc>
        <w:tc>
          <w:tcPr>
            <w:tcW w:w="1232" w:type="dxa"/>
          </w:tcPr>
          <w:p w14:paraId="78034DD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1.80%</w:t>
            </w:r>
          </w:p>
        </w:tc>
        <w:tc>
          <w:tcPr>
            <w:tcW w:w="936" w:type="dxa"/>
          </w:tcPr>
          <w:p w14:paraId="31CDECF9"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89.76</w:t>
            </w:r>
          </w:p>
        </w:tc>
        <w:tc>
          <w:tcPr>
            <w:tcW w:w="1163" w:type="dxa"/>
          </w:tcPr>
          <w:p w14:paraId="4408EB64"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78.33</w:t>
            </w:r>
          </w:p>
        </w:tc>
      </w:tr>
      <w:tr w:rsidR="001E5DCF" w:rsidRPr="00CD3F64" w14:paraId="2E2381F3" w14:textId="77777777" w:rsidTr="00727F11">
        <w:trPr>
          <w:jc w:val="center"/>
        </w:trPr>
        <w:tc>
          <w:tcPr>
            <w:tcW w:w="1265" w:type="dxa"/>
          </w:tcPr>
          <w:p w14:paraId="6C3F9B1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1986</w:t>
            </w:r>
          </w:p>
        </w:tc>
        <w:tc>
          <w:tcPr>
            <w:tcW w:w="1347" w:type="dxa"/>
          </w:tcPr>
          <w:p w14:paraId="5F2E68DF"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11.178.506</w:t>
            </w:r>
          </w:p>
        </w:tc>
        <w:tc>
          <w:tcPr>
            <w:tcW w:w="1232" w:type="dxa"/>
          </w:tcPr>
          <w:p w14:paraId="127A1BD7"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226.016</w:t>
            </w:r>
          </w:p>
        </w:tc>
        <w:tc>
          <w:tcPr>
            <w:tcW w:w="1319" w:type="dxa"/>
          </w:tcPr>
          <w:p w14:paraId="718ABF0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98.02%</w:t>
            </w:r>
          </w:p>
        </w:tc>
        <w:tc>
          <w:tcPr>
            <w:tcW w:w="1232" w:type="dxa"/>
          </w:tcPr>
          <w:p w14:paraId="72CE502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1.98%</w:t>
            </w:r>
          </w:p>
        </w:tc>
        <w:tc>
          <w:tcPr>
            <w:tcW w:w="936" w:type="dxa"/>
          </w:tcPr>
          <w:p w14:paraId="6FE6747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91.38</w:t>
            </w:r>
          </w:p>
        </w:tc>
        <w:tc>
          <w:tcPr>
            <w:tcW w:w="1163" w:type="dxa"/>
          </w:tcPr>
          <w:p w14:paraId="770FA46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87.75</w:t>
            </w:r>
          </w:p>
        </w:tc>
      </w:tr>
      <w:tr w:rsidR="001E5DCF" w:rsidRPr="00CD3F64" w14:paraId="45EA06B9" w14:textId="77777777" w:rsidTr="00727F11">
        <w:trPr>
          <w:jc w:val="center"/>
        </w:trPr>
        <w:tc>
          <w:tcPr>
            <w:tcW w:w="1265" w:type="dxa"/>
          </w:tcPr>
          <w:p w14:paraId="233D227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1990</w:t>
            </w:r>
          </w:p>
        </w:tc>
        <w:tc>
          <w:tcPr>
            <w:tcW w:w="1347" w:type="dxa"/>
          </w:tcPr>
          <w:p w14:paraId="7B600B3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10.374.453</w:t>
            </w:r>
          </w:p>
        </w:tc>
        <w:tc>
          <w:tcPr>
            <w:tcW w:w="1232" w:type="dxa"/>
          </w:tcPr>
          <w:p w14:paraId="2E9C257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274.400</w:t>
            </w:r>
          </w:p>
        </w:tc>
        <w:tc>
          <w:tcPr>
            <w:tcW w:w="1319" w:type="dxa"/>
          </w:tcPr>
          <w:p w14:paraId="3755F4E9"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97.42%</w:t>
            </w:r>
          </w:p>
        </w:tc>
        <w:tc>
          <w:tcPr>
            <w:tcW w:w="1232" w:type="dxa"/>
          </w:tcPr>
          <w:p w14:paraId="77A16EB3"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2.58%</w:t>
            </w:r>
          </w:p>
        </w:tc>
        <w:tc>
          <w:tcPr>
            <w:tcW w:w="936" w:type="dxa"/>
          </w:tcPr>
          <w:p w14:paraId="0720C3F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84.81</w:t>
            </w:r>
          </w:p>
        </w:tc>
        <w:tc>
          <w:tcPr>
            <w:tcW w:w="1163" w:type="dxa"/>
          </w:tcPr>
          <w:p w14:paraId="0F0B773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106.54</w:t>
            </w:r>
          </w:p>
        </w:tc>
      </w:tr>
      <w:tr w:rsidR="001E5DCF" w:rsidRPr="00CD3F64" w14:paraId="7BF24B14" w14:textId="77777777" w:rsidTr="00727F11">
        <w:trPr>
          <w:jc w:val="center"/>
        </w:trPr>
        <w:tc>
          <w:tcPr>
            <w:tcW w:w="1265" w:type="dxa"/>
          </w:tcPr>
          <w:p w14:paraId="3E10BD73"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1994</w:t>
            </w:r>
          </w:p>
        </w:tc>
        <w:tc>
          <w:tcPr>
            <w:tcW w:w="1347" w:type="dxa"/>
          </w:tcPr>
          <w:p w14:paraId="2340C13E"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9.374.183</w:t>
            </w:r>
          </w:p>
        </w:tc>
        <w:tc>
          <w:tcPr>
            <w:tcW w:w="1232" w:type="dxa"/>
          </w:tcPr>
          <w:p w14:paraId="0642208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337.734</w:t>
            </w:r>
          </w:p>
        </w:tc>
        <w:tc>
          <w:tcPr>
            <w:tcW w:w="1319" w:type="dxa"/>
          </w:tcPr>
          <w:p w14:paraId="31E7571A"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96.52%</w:t>
            </w:r>
          </w:p>
        </w:tc>
        <w:tc>
          <w:tcPr>
            <w:tcW w:w="1232" w:type="dxa"/>
          </w:tcPr>
          <w:p w14:paraId="13055BC9"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3.48%</w:t>
            </w:r>
          </w:p>
        </w:tc>
        <w:tc>
          <w:tcPr>
            <w:tcW w:w="936" w:type="dxa"/>
          </w:tcPr>
          <w:p w14:paraId="4F9EF19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76.63</w:t>
            </w:r>
          </w:p>
        </w:tc>
        <w:tc>
          <w:tcPr>
            <w:tcW w:w="1163" w:type="dxa"/>
          </w:tcPr>
          <w:p w14:paraId="1FA79B01"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131.13</w:t>
            </w:r>
          </w:p>
        </w:tc>
      </w:tr>
      <w:tr w:rsidR="001E5DCF" w:rsidRPr="00CD3F64" w14:paraId="75B78423" w14:textId="77777777" w:rsidTr="00727F11">
        <w:trPr>
          <w:jc w:val="center"/>
        </w:trPr>
        <w:tc>
          <w:tcPr>
            <w:tcW w:w="1265" w:type="dxa"/>
          </w:tcPr>
          <w:p w14:paraId="193736AE"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1998</w:t>
            </w:r>
          </w:p>
        </w:tc>
        <w:tc>
          <w:tcPr>
            <w:tcW w:w="1347" w:type="dxa"/>
          </w:tcPr>
          <w:p w14:paraId="763960CA"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4.878.416</w:t>
            </w:r>
          </w:p>
        </w:tc>
        <w:tc>
          <w:tcPr>
            <w:tcW w:w="1232" w:type="dxa"/>
          </w:tcPr>
          <w:p w14:paraId="12430C5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265.552</w:t>
            </w:r>
          </w:p>
        </w:tc>
        <w:tc>
          <w:tcPr>
            <w:tcW w:w="1319" w:type="dxa"/>
          </w:tcPr>
          <w:p w14:paraId="313D08E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94.84%</w:t>
            </w:r>
          </w:p>
        </w:tc>
        <w:tc>
          <w:tcPr>
            <w:tcW w:w="1232" w:type="dxa"/>
          </w:tcPr>
          <w:p w14:paraId="0D8B283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5.16%</w:t>
            </w:r>
          </w:p>
        </w:tc>
        <w:tc>
          <w:tcPr>
            <w:tcW w:w="936" w:type="dxa"/>
          </w:tcPr>
          <w:p w14:paraId="2E9366F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39.88</w:t>
            </w:r>
          </w:p>
        </w:tc>
        <w:tc>
          <w:tcPr>
            <w:tcW w:w="1163" w:type="dxa"/>
          </w:tcPr>
          <w:p w14:paraId="67E2753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103.10</w:t>
            </w:r>
          </w:p>
        </w:tc>
      </w:tr>
      <w:tr w:rsidR="001E5DCF" w:rsidRPr="00CD3F64" w14:paraId="2076D0C1" w14:textId="77777777" w:rsidTr="00727F11">
        <w:trPr>
          <w:jc w:val="center"/>
        </w:trPr>
        <w:tc>
          <w:tcPr>
            <w:tcW w:w="1265" w:type="dxa"/>
          </w:tcPr>
          <w:p w14:paraId="1C5525A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2002</w:t>
            </w:r>
          </w:p>
        </w:tc>
        <w:tc>
          <w:tcPr>
            <w:tcW w:w="1347" w:type="dxa"/>
          </w:tcPr>
          <w:p w14:paraId="09926A1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3.751.935</w:t>
            </w:r>
          </w:p>
        </w:tc>
        <w:tc>
          <w:tcPr>
            <w:tcW w:w="1232" w:type="dxa"/>
          </w:tcPr>
          <w:p w14:paraId="50FC8F7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187.053</w:t>
            </w:r>
          </w:p>
        </w:tc>
        <w:tc>
          <w:tcPr>
            <w:tcW w:w="1319" w:type="dxa"/>
          </w:tcPr>
          <w:p w14:paraId="0419321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95.25%</w:t>
            </w:r>
          </w:p>
        </w:tc>
        <w:tc>
          <w:tcPr>
            <w:tcW w:w="1232" w:type="dxa"/>
          </w:tcPr>
          <w:p w14:paraId="55A325A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4.75%</w:t>
            </w:r>
          </w:p>
        </w:tc>
        <w:tc>
          <w:tcPr>
            <w:tcW w:w="936" w:type="dxa"/>
          </w:tcPr>
          <w:p w14:paraId="6EE818D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30.67</w:t>
            </w:r>
          </w:p>
        </w:tc>
        <w:tc>
          <w:tcPr>
            <w:tcW w:w="1163" w:type="dxa"/>
          </w:tcPr>
          <w:p w14:paraId="590E9BAB"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72.63</w:t>
            </w:r>
          </w:p>
        </w:tc>
      </w:tr>
      <w:tr w:rsidR="001E5DCF" w:rsidRPr="00CD3F64" w14:paraId="1F92121D" w14:textId="77777777" w:rsidTr="00727F11">
        <w:trPr>
          <w:jc w:val="center"/>
        </w:trPr>
        <w:tc>
          <w:tcPr>
            <w:tcW w:w="1265" w:type="dxa"/>
          </w:tcPr>
          <w:p w14:paraId="0933499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2006</w:t>
            </w:r>
          </w:p>
        </w:tc>
        <w:tc>
          <w:tcPr>
            <w:tcW w:w="1347" w:type="dxa"/>
          </w:tcPr>
          <w:p w14:paraId="0F9AF8A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3.590.029</w:t>
            </w:r>
          </w:p>
        </w:tc>
        <w:tc>
          <w:tcPr>
            <w:tcW w:w="1232" w:type="dxa"/>
          </w:tcPr>
          <w:p w14:paraId="4741ED7E"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174.002</w:t>
            </w:r>
          </w:p>
        </w:tc>
        <w:tc>
          <w:tcPr>
            <w:tcW w:w="1319" w:type="dxa"/>
          </w:tcPr>
          <w:p w14:paraId="4740D7E9"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95.38%</w:t>
            </w:r>
          </w:p>
        </w:tc>
        <w:tc>
          <w:tcPr>
            <w:tcW w:w="1232" w:type="dxa"/>
          </w:tcPr>
          <w:p w14:paraId="1DA7D70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4.62%</w:t>
            </w:r>
          </w:p>
        </w:tc>
        <w:tc>
          <w:tcPr>
            <w:tcW w:w="936" w:type="dxa"/>
          </w:tcPr>
          <w:p w14:paraId="4AF0985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29.35</w:t>
            </w:r>
          </w:p>
        </w:tc>
        <w:tc>
          <w:tcPr>
            <w:tcW w:w="1163" w:type="dxa"/>
          </w:tcPr>
          <w:p w14:paraId="0B10D39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67.56</w:t>
            </w:r>
          </w:p>
        </w:tc>
      </w:tr>
      <w:tr w:rsidR="001E5DCF" w:rsidRPr="00CD3F64" w14:paraId="0EC76F6D" w14:textId="77777777" w:rsidTr="00727F11">
        <w:trPr>
          <w:jc w:val="center"/>
        </w:trPr>
        <w:tc>
          <w:tcPr>
            <w:tcW w:w="1265" w:type="dxa"/>
          </w:tcPr>
          <w:p w14:paraId="41CD963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2010</w:t>
            </w:r>
          </w:p>
        </w:tc>
        <w:tc>
          <w:tcPr>
            <w:tcW w:w="1347" w:type="dxa"/>
          </w:tcPr>
          <w:p w14:paraId="07096261"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3.768.240</w:t>
            </w:r>
          </w:p>
        </w:tc>
        <w:tc>
          <w:tcPr>
            <w:tcW w:w="1232" w:type="dxa"/>
          </w:tcPr>
          <w:p w14:paraId="0E0FC9E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211.018</w:t>
            </w:r>
          </w:p>
        </w:tc>
        <w:tc>
          <w:tcPr>
            <w:tcW w:w="1319" w:type="dxa"/>
          </w:tcPr>
          <w:p w14:paraId="0EC1724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94.70%</w:t>
            </w:r>
          </w:p>
        </w:tc>
        <w:tc>
          <w:tcPr>
            <w:tcW w:w="1232" w:type="dxa"/>
          </w:tcPr>
          <w:p w14:paraId="2E498241"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5.30%</w:t>
            </w:r>
          </w:p>
        </w:tc>
        <w:tc>
          <w:tcPr>
            <w:tcW w:w="936" w:type="dxa"/>
          </w:tcPr>
          <w:p w14:paraId="5516D28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30.81</w:t>
            </w:r>
          </w:p>
        </w:tc>
        <w:tc>
          <w:tcPr>
            <w:tcW w:w="1163" w:type="dxa"/>
          </w:tcPr>
          <w:p w14:paraId="67965F0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81.93</w:t>
            </w:r>
          </w:p>
        </w:tc>
      </w:tr>
      <w:tr w:rsidR="001E5DCF" w:rsidRPr="00CD3F64" w14:paraId="5B36F9B6" w14:textId="77777777" w:rsidTr="00727F11">
        <w:trPr>
          <w:jc w:val="center"/>
        </w:trPr>
        <w:tc>
          <w:tcPr>
            <w:tcW w:w="1265" w:type="dxa"/>
          </w:tcPr>
          <w:p w14:paraId="140A55B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2014</w:t>
            </w:r>
          </w:p>
        </w:tc>
        <w:tc>
          <w:tcPr>
            <w:tcW w:w="1347" w:type="dxa"/>
          </w:tcPr>
          <w:p w14:paraId="6B86C191"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3.965.959</w:t>
            </w:r>
          </w:p>
        </w:tc>
        <w:tc>
          <w:tcPr>
            <w:tcW w:w="1232" w:type="dxa"/>
          </w:tcPr>
          <w:p w14:paraId="2BBCB61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257.307</w:t>
            </w:r>
          </w:p>
        </w:tc>
        <w:tc>
          <w:tcPr>
            <w:tcW w:w="1319" w:type="dxa"/>
          </w:tcPr>
          <w:p w14:paraId="01A23EB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93.91%</w:t>
            </w:r>
          </w:p>
        </w:tc>
        <w:tc>
          <w:tcPr>
            <w:tcW w:w="1232" w:type="dxa"/>
          </w:tcPr>
          <w:p w14:paraId="484D9CD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6.09%</w:t>
            </w:r>
          </w:p>
        </w:tc>
        <w:tc>
          <w:tcPr>
            <w:tcW w:w="936" w:type="dxa"/>
          </w:tcPr>
          <w:p w14:paraId="6486EF8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32.42</w:t>
            </w:r>
          </w:p>
        </w:tc>
        <w:tc>
          <w:tcPr>
            <w:tcW w:w="1163" w:type="dxa"/>
          </w:tcPr>
          <w:p w14:paraId="27A0B47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99.90</w:t>
            </w:r>
          </w:p>
        </w:tc>
      </w:tr>
      <w:tr w:rsidR="001E5DCF" w:rsidRPr="00CD3F64" w14:paraId="17AA1F6B" w14:textId="77777777" w:rsidTr="00727F11">
        <w:trPr>
          <w:jc w:val="center"/>
        </w:trPr>
        <w:tc>
          <w:tcPr>
            <w:tcW w:w="1265" w:type="dxa"/>
          </w:tcPr>
          <w:p w14:paraId="6716B0D4"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2018</w:t>
            </w:r>
          </w:p>
        </w:tc>
        <w:tc>
          <w:tcPr>
            <w:tcW w:w="1347" w:type="dxa"/>
          </w:tcPr>
          <w:p w14:paraId="6C8A9C9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2.921.961</w:t>
            </w:r>
          </w:p>
        </w:tc>
        <w:tc>
          <w:tcPr>
            <w:tcW w:w="1232" w:type="dxa"/>
          </w:tcPr>
          <w:p w14:paraId="1CA54191"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265.815</w:t>
            </w:r>
          </w:p>
        </w:tc>
        <w:tc>
          <w:tcPr>
            <w:tcW w:w="1319" w:type="dxa"/>
          </w:tcPr>
          <w:p w14:paraId="0AD117E5"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91.66%</w:t>
            </w:r>
          </w:p>
        </w:tc>
        <w:tc>
          <w:tcPr>
            <w:tcW w:w="1232" w:type="dxa"/>
          </w:tcPr>
          <w:p w14:paraId="128E52DC"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8.34%</w:t>
            </w:r>
          </w:p>
        </w:tc>
        <w:tc>
          <w:tcPr>
            <w:tcW w:w="936" w:type="dxa"/>
          </w:tcPr>
          <w:p w14:paraId="790D6AE8"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23.89</w:t>
            </w:r>
          </w:p>
        </w:tc>
        <w:tc>
          <w:tcPr>
            <w:tcW w:w="1163" w:type="dxa"/>
          </w:tcPr>
          <w:p w14:paraId="12CB2DD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103.21</w:t>
            </w:r>
          </w:p>
        </w:tc>
      </w:tr>
      <w:tr w:rsidR="001E5DCF" w:rsidRPr="00CD3F64" w14:paraId="5F7CEF13" w14:textId="77777777" w:rsidTr="00727F11">
        <w:trPr>
          <w:jc w:val="center"/>
        </w:trPr>
        <w:tc>
          <w:tcPr>
            <w:tcW w:w="1265" w:type="dxa"/>
            <w:tcBorders>
              <w:bottom w:val="single" w:sz="4" w:space="0" w:color="auto"/>
            </w:tcBorders>
          </w:tcPr>
          <w:p w14:paraId="748419F2"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2022</w:t>
            </w:r>
          </w:p>
        </w:tc>
        <w:tc>
          <w:tcPr>
            <w:tcW w:w="1347" w:type="dxa"/>
            <w:tcBorders>
              <w:bottom w:val="single" w:sz="4" w:space="0" w:color="auto"/>
            </w:tcBorders>
          </w:tcPr>
          <w:p w14:paraId="0AE43D19"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3.054.645</w:t>
            </w:r>
          </w:p>
        </w:tc>
        <w:tc>
          <w:tcPr>
            <w:tcW w:w="1232" w:type="dxa"/>
            <w:tcBorders>
              <w:bottom w:val="single" w:sz="4" w:space="0" w:color="auto"/>
            </w:tcBorders>
          </w:tcPr>
          <w:p w14:paraId="71089603"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298.962</w:t>
            </w:r>
          </w:p>
        </w:tc>
        <w:tc>
          <w:tcPr>
            <w:tcW w:w="1319" w:type="dxa"/>
            <w:tcBorders>
              <w:bottom w:val="single" w:sz="4" w:space="0" w:color="auto"/>
            </w:tcBorders>
          </w:tcPr>
          <w:p w14:paraId="716FD830"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91.09%</w:t>
            </w:r>
          </w:p>
        </w:tc>
        <w:tc>
          <w:tcPr>
            <w:tcW w:w="1232" w:type="dxa"/>
            <w:tcBorders>
              <w:bottom w:val="single" w:sz="4" w:space="0" w:color="auto"/>
            </w:tcBorders>
          </w:tcPr>
          <w:p w14:paraId="6AC5A73D"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8.91%</w:t>
            </w:r>
          </w:p>
        </w:tc>
        <w:tc>
          <w:tcPr>
            <w:tcW w:w="936" w:type="dxa"/>
            <w:tcBorders>
              <w:bottom w:val="single" w:sz="4" w:space="0" w:color="auto"/>
            </w:tcBorders>
          </w:tcPr>
          <w:p w14:paraId="3BADCE77"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24.97</w:t>
            </w:r>
          </w:p>
        </w:tc>
        <w:tc>
          <w:tcPr>
            <w:tcW w:w="1163" w:type="dxa"/>
            <w:tcBorders>
              <w:bottom w:val="single" w:sz="4" w:space="0" w:color="auto"/>
            </w:tcBorders>
          </w:tcPr>
          <w:p w14:paraId="15D67616" w14:textId="77777777" w:rsidR="001E5DCF" w:rsidRPr="0079516C" w:rsidRDefault="001E5DCF" w:rsidP="0079516C">
            <w:pPr>
              <w:jc w:val="center"/>
              <w:rPr>
                <w:rFonts w:ascii="Trebuchet MS" w:eastAsia="Aptos" w:hAnsi="Trebuchet MS" w:cs="Times New Roman"/>
                <w:sz w:val="20"/>
                <w:szCs w:val="20"/>
              </w:rPr>
            </w:pPr>
            <w:r w:rsidRPr="0079516C">
              <w:rPr>
                <w:rFonts w:ascii="Trebuchet MS" w:eastAsia="Aptos" w:hAnsi="Trebuchet MS" w:cs="Times New Roman"/>
                <w:sz w:val="20"/>
                <w:szCs w:val="20"/>
              </w:rPr>
              <w:t>116.07</w:t>
            </w:r>
          </w:p>
        </w:tc>
      </w:tr>
    </w:tbl>
    <w:p w14:paraId="56EC97DF" w14:textId="423791CD" w:rsidR="001E5DCF" w:rsidRPr="00FE4371" w:rsidRDefault="001E5DCF" w:rsidP="001E5DCF">
      <w:pPr>
        <w:spacing w:before="120"/>
        <w:jc w:val="center"/>
        <w:rPr>
          <w:rFonts w:ascii="Trebuchet MS" w:hAnsi="Trebuchet MS"/>
          <w:sz w:val="20"/>
          <w:szCs w:val="20"/>
        </w:rPr>
      </w:pPr>
      <w:r w:rsidRPr="00FE4371">
        <w:rPr>
          <w:rFonts w:ascii="Trebuchet MS" w:hAnsi="Trebuchet MS"/>
          <w:sz w:val="20"/>
          <w:szCs w:val="20"/>
        </w:rPr>
        <w:t>Fonte: Elaboração dos autores a partir de dados do</w:t>
      </w:r>
      <w:r w:rsidR="0079516C">
        <w:rPr>
          <w:rFonts w:ascii="Trebuchet MS" w:hAnsi="Trebuchet MS"/>
          <w:sz w:val="20"/>
          <w:szCs w:val="20"/>
        </w:rPr>
        <w:t xml:space="preserve"> Sidra</w:t>
      </w:r>
      <w:r w:rsidRPr="00FE4371">
        <w:rPr>
          <w:rFonts w:ascii="Trebuchet MS" w:hAnsi="Trebuchet MS"/>
          <w:sz w:val="20"/>
          <w:szCs w:val="20"/>
        </w:rPr>
        <w:t xml:space="preserve"> IBGE</w:t>
      </w:r>
      <w:r w:rsidR="0079516C">
        <w:rPr>
          <w:rFonts w:ascii="Trebuchet MS" w:hAnsi="Trebuchet MS"/>
          <w:sz w:val="20"/>
          <w:szCs w:val="20"/>
        </w:rPr>
        <w:t xml:space="preserve"> (2025).</w:t>
      </w:r>
    </w:p>
    <w:p w14:paraId="5AA8858B" w14:textId="77777777" w:rsidR="001E5DCF" w:rsidRDefault="001E5DCF" w:rsidP="009A7C23">
      <w:pPr>
        <w:jc w:val="both"/>
        <w:rPr>
          <w:rFonts w:ascii="Trebuchet MS" w:eastAsia="Calibri" w:hAnsi="Trebuchet MS" w:cs="Times New Roman"/>
          <w:kern w:val="0"/>
          <w14:ligatures w14:val="none"/>
        </w:rPr>
      </w:pPr>
    </w:p>
    <w:p w14:paraId="4AEE25AD" w14:textId="77777777" w:rsidR="003F206F" w:rsidRDefault="003F206F" w:rsidP="003F206F">
      <w:pPr>
        <w:spacing w:line="360" w:lineRule="auto"/>
        <w:jc w:val="both"/>
        <w:rPr>
          <w:rFonts w:eastAsia="Arial" w:cs="Arial"/>
        </w:rPr>
      </w:pPr>
      <w:r w:rsidRPr="001E5DCF">
        <w:rPr>
          <w:rFonts w:eastAsia="Arial" w:cs="Arial"/>
        </w:rPr>
        <w:lastRenderedPageBreak/>
        <w:t xml:space="preserve">O estudo realizado por Viana, Silveira e Antunes (2022) mostra a </w:t>
      </w:r>
      <w:r>
        <w:rPr>
          <w:rFonts w:eastAsia="Arial" w:cs="Arial"/>
        </w:rPr>
        <w:t xml:space="preserve">estreita </w:t>
      </w:r>
      <w:r w:rsidRPr="001E5DCF">
        <w:rPr>
          <w:rFonts w:eastAsia="Arial" w:cs="Arial"/>
        </w:rPr>
        <w:t xml:space="preserve">associação entre expansão da soja e regressão da pecuária. Na última década cada hectare cultivado de soja ocasionou, segundo esta mesma fonte, 0,76 cabeças de gado </w:t>
      </w:r>
      <w:r>
        <w:rPr>
          <w:rFonts w:eastAsia="Arial" w:cs="Arial"/>
        </w:rPr>
        <w:t xml:space="preserve">a </w:t>
      </w:r>
      <w:r w:rsidRPr="001E5DCF">
        <w:rPr>
          <w:rFonts w:eastAsia="Arial" w:cs="Arial"/>
        </w:rPr>
        <w:t>menos, o que é bastante substancial.</w:t>
      </w:r>
      <w:r>
        <w:rPr>
          <w:rFonts w:eastAsia="Arial" w:cs="Arial"/>
        </w:rPr>
        <w:t xml:space="preserve"> Com efeito:</w:t>
      </w:r>
    </w:p>
    <w:p w14:paraId="2D283B49" w14:textId="77777777" w:rsidR="003F206F" w:rsidRPr="00FB0165" w:rsidRDefault="003F206F" w:rsidP="003F206F">
      <w:pPr>
        <w:spacing w:after="60"/>
        <w:ind w:left="2268"/>
        <w:jc w:val="both"/>
        <w:rPr>
          <w:rFonts w:ascii="Trebuchet MS" w:eastAsia="Calibri" w:hAnsi="Trebuchet MS" w:cs="Times New Roman"/>
          <w:kern w:val="0"/>
          <w:lang w:val="en-US"/>
          <w14:ligatures w14:val="none"/>
        </w:rPr>
      </w:pPr>
      <w:r w:rsidRPr="001E5DCF">
        <w:rPr>
          <w:rFonts w:ascii="Trebuchet MS" w:eastAsia="Calibri" w:hAnsi="Trebuchet MS" w:cs="Times New Roman"/>
          <w:kern w:val="0"/>
          <w:sz w:val="20"/>
          <w:szCs w:val="20"/>
          <w:lang w:val="en-US"/>
          <w14:ligatures w14:val="none"/>
        </w:rPr>
        <w:t>When analyzing the individual coefficients, it appears that each increase of one hectare of planted area in the Pampa biome results in a reduction of, on average, 0.76 head of cattle, maintaining the other factors constant. Therefore, it can be stated that in the last ten years, each 100 hectares increase in the area of soybean plantation in the biome has resulted in an average reduction of 76 head of cattle (</w:t>
      </w:r>
      <w:r w:rsidRPr="00424C8E">
        <w:rPr>
          <w:rFonts w:ascii="Trebuchet MS" w:eastAsia="Calibri" w:hAnsi="Trebuchet MS" w:cs="Times New Roman"/>
          <w:kern w:val="0"/>
          <w:sz w:val="20"/>
          <w:szCs w:val="20"/>
          <w:lang w:val="en-US"/>
          <w14:ligatures w14:val="none"/>
        </w:rPr>
        <w:t>VIANA</w:t>
      </w:r>
      <w:r w:rsidRPr="0079516C">
        <w:rPr>
          <w:rFonts w:ascii="Trebuchet MS" w:eastAsia="Calibri" w:hAnsi="Trebuchet MS" w:cs="Times New Roman"/>
          <w:kern w:val="0"/>
          <w:sz w:val="20"/>
          <w:szCs w:val="20"/>
          <w:lang w:val="en-US"/>
          <w14:ligatures w14:val="none"/>
        </w:rPr>
        <w:t xml:space="preserve">, </w:t>
      </w:r>
      <w:r w:rsidRPr="00424C8E">
        <w:rPr>
          <w:rFonts w:ascii="Trebuchet MS" w:eastAsia="Calibri" w:hAnsi="Trebuchet MS" w:cs="Times New Roman"/>
          <w:kern w:val="0"/>
          <w:sz w:val="20"/>
          <w:szCs w:val="20"/>
          <w:lang w:val="en-US"/>
          <w14:ligatures w14:val="none"/>
        </w:rPr>
        <w:t xml:space="preserve">SILVEIRA </w:t>
      </w:r>
      <w:r w:rsidRPr="0079516C">
        <w:rPr>
          <w:rFonts w:ascii="Trebuchet MS" w:eastAsia="Calibri" w:hAnsi="Trebuchet MS" w:cs="Times New Roman"/>
          <w:kern w:val="0"/>
          <w:lang w:val="en-US"/>
          <w14:ligatures w14:val="none"/>
        </w:rPr>
        <w:t xml:space="preserve">e </w:t>
      </w:r>
      <w:r w:rsidRPr="00424C8E">
        <w:rPr>
          <w:rFonts w:ascii="Trebuchet MS" w:eastAsia="Calibri" w:hAnsi="Trebuchet MS" w:cs="Times New Roman"/>
          <w:kern w:val="0"/>
          <w:sz w:val="20"/>
          <w:szCs w:val="20"/>
          <w:lang w:val="en-US"/>
          <w14:ligatures w14:val="none"/>
        </w:rPr>
        <w:t xml:space="preserve">ANTUNES </w:t>
      </w:r>
      <w:r w:rsidRPr="0079516C">
        <w:rPr>
          <w:rFonts w:ascii="Trebuchet MS" w:eastAsia="Calibri" w:hAnsi="Trebuchet MS" w:cs="Times New Roman"/>
          <w:kern w:val="0"/>
          <w:sz w:val="20"/>
          <w:szCs w:val="20"/>
          <w:lang w:val="en-US"/>
          <w14:ligatures w14:val="none"/>
        </w:rPr>
        <w:t>(2022, p.110).</w:t>
      </w:r>
    </w:p>
    <w:p w14:paraId="6C088842" w14:textId="250910D1" w:rsidR="001E5DCF" w:rsidRDefault="00294184" w:rsidP="003F206F">
      <w:pPr>
        <w:spacing w:line="360" w:lineRule="auto"/>
        <w:jc w:val="both"/>
        <w:rPr>
          <w:rFonts w:ascii="Trebuchet MS" w:eastAsia="Calibri" w:hAnsi="Trebuchet MS" w:cs="Times New Roman"/>
          <w:kern w:val="0"/>
          <w14:ligatures w14:val="none"/>
        </w:rPr>
      </w:pPr>
      <w:r>
        <w:rPr>
          <w:rFonts w:ascii="Trebuchet MS" w:eastAsia="Calibri" w:hAnsi="Trebuchet MS" w:cs="Times New Roman"/>
          <w:kern w:val="0"/>
          <w14:ligatures w14:val="none"/>
        </w:rPr>
        <w:t>“N</w:t>
      </w:r>
      <w:r w:rsidRPr="001E5DCF">
        <w:rPr>
          <w:rFonts w:ascii="Trebuchet MS" w:eastAsia="Calibri" w:hAnsi="Trebuchet MS" w:cs="Times New Roman"/>
          <w:kern w:val="0"/>
          <w14:ligatures w14:val="none"/>
        </w:rPr>
        <w:t xml:space="preserve">a América do Sul </w:t>
      </w:r>
      <w:r>
        <w:rPr>
          <w:rFonts w:ascii="Trebuchet MS" w:eastAsia="Calibri" w:hAnsi="Trebuchet MS" w:cs="Times New Roman"/>
          <w:kern w:val="0"/>
          <w14:ligatures w14:val="none"/>
        </w:rPr>
        <w:t>a</w:t>
      </w:r>
      <w:r w:rsidR="001E5DCF" w:rsidRPr="001E5DCF">
        <w:rPr>
          <w:rFonts w:ascii="Trebuchet MS" w:eastAsia="Calibri" w:hAnsi="Trebuchet MS" w:cs="Times New Roman"/>
          <w:kern w:val="0"/>
          <w14:ligatures w14:val="none"/>
        </w:rPr>
        <w:t xml:space="preserve"> soja </w:t>
      </w:r>
      <w:r w:rsidR="001E5DCF">
        <w:rPr>
          <w:rFonts w:ascii="Trebuchet MS" w:eastAsia="Calibri" w:hAnsi="Trebuchet MS" w:cs="Times New Roman"/>
          <w:kern w:val="0"/>
          <w14:ligatures w14:val="none"/>
        </w:rPr>
        <w:t>não tem limites</w:t>
      </w:r>
      <w:r>
        <w:rPr>
          <w:rFonts w:ascii="Trebuchet MS" w:eastAsia="Calibri" w:hAnsi="Trebuchet MS" w:cs="Times New Roman"/>
          <w:kern w:val="0"/>
          <w14:ligatures w14:val="none"/>
        </w:rPr>
        <w:t>”</w:t>
      </w:r>
      <w:r w:rsidR="001E5DCF" w:rsidRPr="001E5DCF">
        <w:rPr>
          <w:rFonts w:ascii="Trebuchet MS" w:eastAsia="Calibri" w:hAnsi="Trebuchet MS" w:cs="Times New Roman"/>
          <w:kern w:val="0"/>
          <w14:ligatures w14:val="none"/>
        </w:rPr>
        <w:t xml:space="preserve"> é o título do </w:t>
      </w:r>
      <w:r>
        <w:rPr>
          <w:rFonts w:ascii="Trebuchet MS" w:eastAsia="Calibri" w:hAnsi="Trebuchet MS" w:cs="Times New Roman"/>
          <w:kern w:val="0"/>
          <w14:ligatures w14:val="none"/>
        </w:rPr>
        <w:t xml:space="preserve">instigante </w:t>
      </w:r>
      <w:r w:rsidR="001E5DCF" w:rsidRPr="001E5DCF">
        <w:rPr>
          <w:rFonts w:ascii="Trebuchet MS" w:eastAsia="Calibri" w:hAnsi="Trebuchet MS" w:cs="Times New Roman"/>
          <w:kern w:val="0"/>
          <w14:ligatures w14:val="none"/>
        </w:rPr>
        <w:t xml:space="preserve">artigo publicado por Rocha, Nehring e Silva (2022). Mas que não se pense em fronteiras como limites físicos, senão como rupturas que se dão na eliminação de obstáculos políticos, sociais e simbólicos que </w:t>
      </w:r>
      <w:r>
        <w:rPr>
          <w:rFonts w:ascii="Trebuchet MS" w:eastAsia="Calibri" w:hAnsi="Trebuchet MS" w:cs="Times New Roman"/>
          <w:kern w:val="0"/>
          <w14:ligatures w14:val="none"/>
        </w:rPr>
        <w:t>segmentos da</w:t>
      </w:r>
      <w:r w:rsidRPr="001E5DCF">
        <w:rPr>
          <w:rFonts w:ascii="Trebuchet MS" w:eastAsia="Calibri" w:hAnsi="Trebuchet MS" w:cs="Times New Roman"/>
          <w:kern w:val="0"/>
          <w14:ligatures w14:val="none"/>
        </w:rPr>
        <w:t xml:space="preserve"> </w:t>
      </w:r>
      <w:r w:rsidR="001E5DCF" w:rsidRPr="001E5DCF">
        <w:rPr>
          <w:rFonts w:ascii="Trebuchet MS" w:eastAsia="Calibri" w:hAnsi="Trebuchet MS" w:cs="Times New Roman"/>
          <w:kern w:val="0"/>
          <w14:ligatures w14:val="none"/>
        </w:rPr>
        <w:t>sociedade tenta</w:t>
      </w:r>
      <w:r>
        <w:rPr>
          <w:rFonts w:ascii="Trebuchet MS" w:eastAsia="Calibri" w:hAnsi="Trebuchet MS" w:cs="Times New Roman"/>
          <w:kern w:val="0"/>
          <w14:ligatures w14:val="none"/>
        </w:rPr>
        <w:t>m</w:t>
      </w:r>
      <w:r w:rsidR="001E5DCF" w:rsidRPr="001E5DCF">
        <w:rPr>
          <w:rFonts w:ascii="Trebuchet MS" w:eastAsia="Calibri" w:hAnsi="Trebuchet MS" w:cs="Times New Roman"/>
          <w:kern w:val="0"/>
          <w14:ligatures w14:val="none"/>
        </w:rPr>
        <w:t xml:space="preserve"> erguer para conter a formação dos desertos verdes e a destruição da biodiversidade. Para afiançar tal constatação basta afirmar a naturalização de novos acrônimos que delimitam o território da soja, a exemplo do MATOPIBA (Maranhão, Tocantins, Piauí e Bahia) ou SEALBA (Sergipe, Alagoas e Bahia), </w:t>
      </w:r>
      <w:r w:rsidR="002E5DB6">
        <w:rPr>
          <w:rFonts w:ascii="Trebuchet MS" w:eastAsia="Calibri" w:hAnsi="Trebuchet MS" w:cs="Times New Roman"/>
          <w:kern w:val="0"/>
          <w14:ligatures w14:val="none"/>
        </w:rPr>
        <w:t xml:space="preserve">os quais passam a ser </w:t>
      </w:r>
      <w:r>
        <w:rPr>
          <w:rFonts w:ascii="Trebuchet MS" w:eastAsia="Calibri" w:hAnsi="Trebuchet MS" w:cs="Times New Roman"/>
          <w:kern w:val="0"/>
          <w14:ligatures w14:val="none"/>
        </w:rPr>
        <w:t xml:space="preserve">vistos </w:t>
      </w:r>
      <w:r w:rsidR="001E5DCF" w:rsidRPr="001E5DCF">
        <w:rPr>
          <w:rFonts w:ascii="Trebuchet MS" w:eastAsia="Calibri" w:hAnsi="Trebuchet MS" w:cs="Times New Roman"/>
          <w:kern w:val="0"/>
          <w14:ligatures w14:val="none"/>
        </w:rPr>
        <w:t xml:space="preserve">como se </w:t>
      </w:r>
      <w:r w:rsidR="002E5DB6">
        <w:rPr>
          <w:rFonts w:ascii="Trebuchet MS" w:eastAsia="Calibri" w:hAnsi="Trebuchet MS" w:cs="Times New Roman"/>
          <w:kern w:val="0"/>
          <w14:ligatures w14:val="none"/>
        </w:rPr>
        <w:t>fora</w:t>
      </w:r>
      <w:r w:rsidR="002E5DB6" w:rsidRPr="001E5DCF">
        <w:rPr>
          <w:rFonts w:ascii="Trebuchet MS" w:eastAsia="Calibri" w:hAnsi="Trebuchet MS" w:cs="Times New Roman"/>
          <w:kern w:val="0"/>
          <w14:ligatures w14:val="none"/>
        </w:rPr>
        <w:t xml:space="preserve"> </w:t>
      </w:r>
      <w:r w:rsidR="001E5DCF" w:rsidRPr="001E5DCF">
        <w:rPr>
          <w:rFonts w:ascii="Trebuchet MS" w:eastAsia="Calibri" w:hAnsi="Trebuchet MS" w:cs="Times New Roman"/>
          <w:kern w:val="0"/>
          <w14:ligatures w14:val="none"/>
        </w:rPr>
        <w:t xml:space="preserve">um planeta à parte. Tais acrônimos foram adotados por </w:t>
      </w:r>
      <w:r w:rsidR="002E5DB6">
        <w:rPr>
          <w:rFonts w:ascii="Trebuchet MS" w:eastAsia="Calibri" w:hAnsi="Trebuchet MS" w:cs="Times New Roman"/>
          <w:kern w:val="0"/>
          <w14:ligatures w14:val="none"/>
        </w:rPr>
        <w:t>técnicos</w:t>
      </w:r>
      <w:r w:rsidR="002E5DB6" w:rsidRPr="001E5DCF">
        <w:rPr>
          <w:rFonts w:ascii="Trebuchet MS" w:eastAsia="Calibri" w:hAnsi="Trebuchet MS" w:cs="Times New Roman"/>
          <w:kern w:val="0"/>
          <w14:ligatures w14:val="none"/>
        </w:rPr>
        <w:t xml:space="preserve"> </w:t>
      </w:r>
      <w:r w:rsidR="001E5DCF" w:rsidRPr="001E5DCF">
        <w:rPr>
          <w:rFonts w:ascii="Trebuchet MS" w:eastAsia="Calibri" w:hAnsi="Trebuchet MS" w:cs="Times New Roman"/>
          <w:kern w:val="0"/>
          <w14:ligatures w14:val="none"/>
        </w:rPr>
        <w:t>ligados à principal agência de pesquisa agropecuária brasileira (EMBRAPA) que se jactam do papel que desempenharam no melhoramento de cultivares e aperfeiçoamento dos pacotes tecnológicos.</w:t>
      </w:r>
    </w:p>
    <w:p w14:paraId="1620E374" w14:textId="76A469C8" w:rsidR="00294184" w:rsidRDefault="00294184" w:rsidP="00294184">
      <w:pPr>
        <w:spacing w:line="360" w:lineRule="auto"/>
        <w:jc w:val="both"/>
        <w:rPr>
          <w:rFonts w:ascii="Trebuchet MS" w:eastAsia="Calibri" w:hAnsi="Trebuchet MS" w:cs="Times New Roman"/>
          <w:kern w:val="0"/>
          <w14:ligatures w14:val="none"/>
        </w:rPr>
      </w:pPr>
      <w:r>
        <w:rPr>
          <w:rFonts w:ascii="Trebuchet MS" w:eastAsia="Calibri" w:hAnsi="Trebuchet MS" w:cs="Times New Roman"/>
          <w:kern w:val="0"/>
          <w14:ligatures w14:val="none"/>
        </w:rPr>
        <w:t>Na</w:t>
      </w:r>
      <w:r w:rsidRPr="005D695A">
        <w:rPr>
          <w:rFonts w:ascii="Trebuchet MS" w:eastAsia="Calibri" w:hAnsi="Trebuchet MS" w:cs="Times New Roman"/>
          <w:kern w:val="0"/>
          <w14:ligatures w14:val="none"/>
        </w:rPr>
        <w:t xml:space="preserve"> mesorregião do sudeste rio-grandense</w:t>
      </w:r>
      <w:r>
        <w:rPr>
          <w:rFonts w:ascii="Trebuchet MS" w:eastAsia="Calibri" w:hAnsi="Trebuchet MS" w:cs="Times New Roman"/>
          <w:kern w:val="0"/>
          <w14:ligatures w14:val="none"/>
        </w:rPr>
        <w:t>, um recorte mais restrito do bioma pampa,</w:t>
      </w:r>
      <w:r w:rsidRPr="005D695A">
        <w:rPr>
          <w:rFonts w:ascii="Trebuchet MS" w:eastAsia="Calibri" w:hAnsi="Trebuchet MS" w:cs="Times New Roman"/>
          <w:kern w:val="0"/>
          <w14:ligatures w14:val="none"/>
        </w:rPr>
        <w:t xml:space="preserve"> </w:t>
      </w:r>
      <w:r>
        <w:rPr>
          <w:rFonts w:ascii="Trebuchet MS" w:eastAsia="Calibri" w:hAnsi="Trebuchet MS" w:cs="Times New Roman"/>
          <w:kern w:val="0"/>
          <w14:ligatures w14:val="none"/>
        </w:rPr>
        <w:t>os</w:t>
      </w:r>
      <w:r w:rsidRPr="005D695A">
        <w:rPr>
          <w:rFonts w:ascii="Trebuchet MS" w:eastAsia="Calibri" w:hAnsi="Trebuchet MS" w:cs="Times New Roman"/>
          <w:kern w:val="0"/>
          <w14:ligatures w14:val="none"/>
        </w:rPr>
        <w:t xml:space="preserve"> dados da Pesquisa da Pecuária Municipal no intervalo de tempo compreen</w:t>
      </w:r>
      <w:r>
        <w:rPr>
          <w:rFonts w:ascii="Trebuchet MS" w:eastAsia="Calibri" w:hAnsi="Trebuchet MS" w:cs="Times New Roman"/>
          <w:kern w:val="0"/>
          <w14:ligatures w14:val="none"/>
        </w:rPr>
        <w:t xml:space="preserve">dido entre os anos 1990 e 2022 indicam </w:t>
      </w:r>
      <w:r w:rsidRPr="005D695A">
        <w:rPr>
          <w:rFonts w:ascii="Trebuchet MS" w:eastAsia="Calibri" w:hAnsi="Trebuchet MS" w:cs="Times New Roman"/>
          <w:kern w:val="0"/>
          <w14:ligatures w14:val="none"/>
        </w:rPr>
        <w:t xml:space="preserve">um descenso </w:t>
      </w:r>
      <w:r>
        <w:rPr>
          <w:rFonts w:ascii="Trebuchet MS" w:eastAsia="Calibri" w:hAnsi="Trebuchet MS" w:cs="Times New Roman"/>
          <w:kern w:val="0"/>
          <w14:ligatures w14:val="none"/>
        </w:rPr>
        <w:t xml:space="preserve">do efetivo de bovinos </w:t>
      </w:r>
      <w:r w:rsidRPr="005D695A">
        <w:rPr>
          <w:rFonts w:ascii="Trebuchet MS" w:eastAsia="Calibri" w:hAnsi="Trebuchet MS" w:cs="Times New Roman"/>
          <w:kern w:val="0"/>
          <w14:ligatures w14:val="none"/>
        </w:rPr>
        <w:t xml:space="preserve">de mais de 14%, justo no período de ascensão da soja. Novamente evocamos o estudo de Rocha, </w:t>
      </w:r>
      <w:proofErr w:type="spellStart"/>
      <w:r w:rsidRPr="005D695A">
        <w:rPr>
          <w:rFonts w:ascii="Trebuchet MS" w:eastAsia="Calibri" w:hAnsi="Trebuchet MS" w:cs="Times New Roman"/>
          <w:kern w:val="0"/>
          <w14:ligatures w14:val="none"/>
        </w:rPr>
        <w:t>Nehring</w:t>
      </w:r>
      <w:proofErr w:type="spellEnd"/>
      <w:r w:rsidRPr="005D695A">
        <w:rPr>
          <w:rFonts w:ascii="Trebuchet MS" w:eastAsia="Calibri" w:hAnsi="Trebuchet MS" w:cs="Times New Roman"/>
          <w:kern w:val="0"/>
          <w14:ligatures w14:val="none"/>
        </w:rPr>
        <w:t xml:space="preserve"> e Silva (2022) que analis</w:t>
      </w:r>
      <w:r>
        <w:rPr>
          <w:rFonts w:ascii="Trebuchet MS" w:eastAsia="Calibri" w:hAnsi="Trebuchet MS" w:cs="Times New Roman"/>
          <w:kern w:val="0"/>
          <w14:ligatures w14:val="none"/>
        </w:rPr>
        <w:t>ou</w:t>
      </w:r>
      <w:r w:rsidRPr="005D695A">
        <w:rPr>
          <w:rFonts w:ascii="Trebuchet MS" w:eastAsia="Calibri" w:hAnsi="Trebuchet MS" w:cs="Times New Roman"/>
          <w:kern w:val="0"/>
          <w14:ligatures w14:val="none"/>
        </w:rPr>
        <w:t xml:space="preserve">, comparativamente, a evolução do plantio da soja nos dois biomas. A conclusão deste estudo é que o crescimento desta oleaginosa, nos últimos 20 anos, foi mais acelerado no bioma Pampa, com uma taxa de crescimento de 6,57% ao ano, uma dinâmica que se dá, </w:t>
      </w:r>
      <w:r w:rsidRPr="005A31ED">
        <w:rPr>
          <w:rFonts w:ascii="Trebuchet MS" w:eastAsia="Calibri" w:hAnsi="Trebuchet MS" w:cs="Times New Roman"/>
          <w:i/>
          <w:kern w:val="0"/>
          <w14:ligatures w14:val="none"/>
        </w:rPr>
        <w:t>pari passu</w:t>
      </w:r>
      <w:r w:rsidRPr="005D695A">
        <w:rPr>
          <w:rFonts w:ascii="Trebuchet MS" w:eastAsia="Calibri" w:hAnsi="Trebuchet MS" w:cs="Times New Roman"/>
          <w:kern w:val="0"/>
          <w14:ligatures w14:val="none"/>
        </w:rPr>
        <w:t>, com redução do rebanho bovino neste mesmo ecossistema.</w:t>
      </w:r>
    </w:p>
    <w:p w14:paraId="42BFE29B" w14:textId="77777777" w:rsidR="00294184" w:rsidRDefault="00294184" w:rsidP="00294184">
      <w:pPr>
        <w:jc w:val="both"/>
        <w:rPr>
          <w:rFonts w:ascii="Trebuchet MS" w:eastAsia="Calibri" w:hAnsi="Trebuchet MS" w:cs="Times New Roman"/>
          <w:kern w:val="0"/>
          <w14:ligatures w14:val="none"/>
        </w:rPr>
      </w:pPr>
    </w:p>
    <w:p w14:paraId="4A50244B" w14:textId="77777777" w:rsidR="001E5DCF" w:rsidRDefault="001E5DCF" w:rsidP="001E5DCF">
      <w:pPr>
        <w:spacing w:before="120" w:line="360" w:lineRule="auto"/>
        <w:jc w:val="center"/>
        <w:rPr>
          <w:rFonts w:ascii="Trebuchet MS" w:hAnsi="Trebuchet MS"/>
        </w:rPr>
      </w:pPr>
      <w:r>
        <w:rPr>
          <w:noProof/>
          <w:lang w:eastAsia="pt-BR"/>
        </w:rPr>
        <w:drawing>
          <wp:inline distT="0" distB="0" distL="0" distR="0" wp14:anchorId="64C667A8" wp14:editId="1E58B7A7">
            <wp:extent cx="5429250" cy="2235200"/>
            <wp:effectExtent l="0" t="0" r="0" b="127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F79A31" w14:textId="77777777" w:rsidR="00C52627" w:rsidRPr="00294184" w:rsidRDefault="00C52627" w:rsidP="00CB032D">
      <w:pPr>
        <w:jc w:val="center"/>
        <w:rPr>
          <w:rFonts w:ascii="Trebuchet MS" w:hAnsi="Trebuchet MS"/>
          <w:sz w:val="20"/>
          <w:szCs w:val="20"/>
        </w:rPr>
      </w:pPr>
      <w:r w:rsidRPr="00294184">
        <w:rPr>
          <w:rFonts w:ascii="Trebuchet MS" w:hAnsi="Trebuchet MS"/>
          <w:sz w:val="20"/>
          <w:szCs w:val="20"/>
        </w:rPr>
        <w:t xml:space="preserve">Figura </w:t>
      </w:r>
      <w:r>
        <w:rPr>
          <w:rFonts w:ascii="Trebuchet MS" w:hAnsi="Trebuchet MS"/>
          <w:sz w:val="20"/>
          <w:szCs w:val="20"/>
        </w:rPr>
        <w:t>3</w:t>
      </w:r>
      <w:r w:rsidRPr="00294184">
        <w:rPr>
          <w:rFonts w:ascii="Trebuchet MS" w:hAnsi="Trebuchet MS"/>
          <w:sz w:val="20"/>
          <w:szCs w:val="20"/>
        </w:rPr>
        <w:t>. Evolução do efetivo de bovinos no bioma Pampa entre 1974 e 2022.</w:t>
      </w:r>
    </w:p>
    <w:p w14:paraId="0E17FC7E" w14:textId="534C2833" w:rsidR="001E5DCF" w:rsidRDefault="001E5DCF" w:rsidP="00CB032D">
      <w:pPr>
        <w:jc w:val="center"/>
        <w:rPr>
          <w:rFonts w:ascii="Trebuchet MS" w:eastAsia="Calibri" w:hAnsi="Trebuchet MS" w:cs="Times New Roman"/>
          <w:kern w:val="0"/>
          <w14:ligatures w14:val="none"/>
        </w:rPr>
      </w:pPr>
      <w:r w:rsidRPr="00A13366">
        <w:rPr>
          <w:rFonts w:ascii="Trebuchet MS" w:hAnsi="Trebuchet MS"/>
          <w:sz w:val="20"/>
          <w:szCs w:val="20"/>
        </w:rPr>
        <w:t xml:space="preserve">Fonte: elaborado </w:t>
      </w:r>
      <w:r>
        <w:rPr>
          <w:rFonts w:ascii="Trebuchet MS" w:hAnsi="Trebuchet MS"/>
          <w:sz w:val="20"/>
          <w:szCs w:val="20"/>
        </w:rPr>
        <w:t xml:space="preserve">pelos autores </w:t>
      </w:r>
      <w:r w:rsidRPr="00A13366">
        <w:rPr>
          <w:rFonts w:ascii="Trebuchet MS" w:hAnsi="Trebuchet MS"/>
          <w:sz w:val="20"/>
          <w:szCs w:val="20"/>
        </w:rPr>
        <w:t>a partir dos dados do censo agropecuári</w:t>
      </w:r>
      <w:r w:rsidR="005A31ED">
        <w:rPr>
          <w:rFonts w:ascii="Trebuchet MS" w:eastAsia="Calibri" w:hAnsi="Trebuchet MS" w:cs="Times New Roman"/>
          <w:kern w:val="0"/>
          <w14:ligatures w14:val="none"/>
        </w:rPr>
        <w:t>o (SIDRA)</w:t>
      </w:r>
    </w:p>
    <w:p w14:paraId="2C4099AF" w14:textId="77777777" w:rsidR="005A31ED" w:rsidRDefault="005A31ED" w:rsidP="005D695A">
      <w:pPr>
        <w:spacing w:line="360" w:lineRule="auto"/>
        <w:jc w:val="both"/>
        <w:rPr>
          <w:rFonts w:eastAsia="Arial" w:cs="Arial"/>
        </w:rPr>
      </w:pPr>
    </w:p>
    <w:p w14:paraId="4FF24DF5" w14:textId="77777777" w:rsidR="005D695A" w:rsidRPr="000E28BA" w:rsidRDefault="005D695A" w:rsidP="005D695A">
      <w:pPr>
        <w:spacing w:line="360" w:lineRule="auto"/>
        <w:jc w:val="both"/>
        <w:rPr>
          <w:rFonts w:eastAsia="Arial" w:cs="Arial"/>
        </w:rPr>
      </w:pPr>
      <w:r w:rsidRPr="000E28BA">
        <w:rPr>
          <w:rFonts w:eastAsia="Arial" w:cs="Arial"/>
        </w:rPr>
        <w:t>PECUÁRIA FAMILIAR: A ÚLTIMA TRINCHEIRA</w:t>
      </w:r>
    </w:p>
    <w:p w14:paraId="1DA5A126" w14:textId="2BAF03F8" w:rsidR="005D695A" w:rsidRPr="005D695A" w:rsidRDefault="005D695A" w:rsidP="005D695A">
      <w:pPr>
        <w:spacing w:line="360" w:lineRule="auto"/>
        <w:jc w:val="both"/>
        <w:rPr>
          <w:rFonts w:eastAsia="Arial" w:cs="Arial"/>
        </w:rPr>
      </w:pPr>
      <w:r w:rsidRPr="005D695A">
        <w:rPr>
          <w:rFonts w:eastAsia="Arial" w:cs="Arial"/>
        </w:rPr>
        <w:t xml:space="preserve">Existe </w:t>
      </w:r>
      <w:r w:rsidR="005A31ED">
        <w:rPr>
          <w:rFonts w:eastAsia="Arial" w:cs="Arial"/>
        </w:rPr>
        <w:t xml:space="preserve">certa </w:t>
      </w:r>
      <w:r w:rsidRPr="005D695A">
        <w:rPr>
          <w:rFonts w:eastAsia="Arial" w:cs="Arial"/>
        </w:rPr>
        <w:t>dificuldade em estabelecer comparações entre os diversos censos agropecuários em virtude de mudanças na metodologia empregada pelo IBGE. Ainda assim, algumas aproximações são possíveis realizar nas duas últimas edições (2006 e 2017)</w:t>
      </w:r>
      <w:r w:rsidR="00294184">
        <w:rPr>
          <w:rFonts w:eastAsia="Arial" w:cs="Arial"/>
        </w:rPr>
        <w:t xml:space="preserve">, as quais </w:t>
      </w:r>
      <w:r w:rsidRPr="005D695A">
        <w:rPr>
          <w:rFonts w:eastAsia="Arial" w:cs="Arial"/>
        </w:rPr>
        <w:t>permitem estimar o recuo da pecuária familiar a partir da evolução dos estabelecimentos familiares e não-familiares</w:t>
      </w:r>
      <w:r w:rsidR="00A629D3">
        <w:rPr>
          <w:rFonts w:eastAsia="Arial" w:cs="Arial"/>
        </w:rPr>
        <w:t xml:space="preserve"> no que concerne ao</w:t>
      </w:r>
      <w:r w:rsidRPr="005D695A">
        <w:rPr>
          <w:rFonts w:eastAsia="Arial" w:cs="Arial"/>
        </w:rPr>
        <w:t xml:space="preserve"> “uso de pastagens naturais”. É essa a informação reunida na Tabela 2.</w:t>
      </w:r>
    </w:p>
    <w:p w14:paraId="239C5637" w14:textId="77777777" w:rsidR="005D695A" w:rsidRPr="00A629D3" w:rsidRDefault="005D695A" w:rsidP="005A31ED">
      <w:pPr>
        <w:spacing w:before="240"/>
        <w:jc w:val="both"/>
        <w:rPr>
          <w:rFonts w:ascii="Trebuchet MS" w:hAnsi="Trebuchet MS"/>
          <w:sz w:val="20"/>
          <w:szCs w:val="20"/>
        </w:rPr>
      </w:pPr>
      <w:r w:rsidRPr="00A629D3">
        <w:rPr>
          <w:rFonts w:ascii="Trebuchet MS" w:hAnsi="Trebuchet MS"/>
          <w:sz w:val="20"/>
          <w:szCs w:val="20"/>
        </w:rPr>
        <w:t>Tabela 2. Número de estabelecimentos com área (unidades) por utilização das terras (total e pastagens naturais), familiares e não-familiares nos dois últimos censos agropecuários (2006 e 2017).</w:t>
      </w:r>
    </w:p>
    <w:p w14:paraId="3FA43500" w14:textId="77777777" w:rsidR="005D695A" w:rsidRPr="00FE4371" w:rsidRDefault="005D695A" w:rsidP="005D695A">
      <w:pPr>
        <w:jc w:val="both"/>
        <w:rPr>
          <w:rFonts w:ascii="Trebuchet MS" w:hAnsi="Trebuchet MS"/>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1213"/>
        <w:gridCol w:w="1213"/>
        <w:gridCol w:w="1213"/>
        <w:gridCol w:w="1214"/>
        <w:gridCol w:w="1214"/>
        <w:gridCol w:w="1214"/>
      </w:tblGrid>
      <w:tr w:rsidR="005D695A" w14:paraId="4133461A" w14:textId="77777777" w:rsidTr="007D69BC">
        <w:trPr>
          <w:jc w:val="center"/>
        </w:trPr>
        <w:tc>
          <w:tcPr>
            <w:tcW w:w="1213" w:type="dxa"/>
            <w:vMerge w:val="restart"/>
            <w:shd w:val="clear" w:color="auto" w:fill="D9D9D9" w:themeFill="background1" w:themeFillShade="D9"/>
            <w:vAlign w:val="center"/>
          </w:tcPr>
          <w:p w14:paraId="1992239C" w14:textId="77777777" w:rsidR="005D695A" w:rsidRPr="00B237EB" w:rsidRDefault="005D695A" w:rsidP="00E70A2D">
            <w:pPr>
              <w:jc w:val="center"/>
              <w:rPr>
                <w:rFonts w:ascii="Trebuchet MS" w:hAnsi="Trebuchet MS"/>
                <w:sz w:val="20"/>
                <w:szCs w:val="20"/>
              </w:rPr>
            </w:pPr>
            <w:r>
              <w:rPr>
                <w:rFonts w:ascii="Trebuchet MS" w:hAnsi="Trebuchet MS"/>
                <w:sz w:val="20"/>
                <w:szCs w:val="20"/>
              </w:rPr>
              <w:t>Ano</w:t>
            </w:r>
          </w:p>
        </w:tc>
        <w:tc>
          <w:tcPr>
            <w:tcW w:w="1213" w:type="dxa"/>
            <w:vMerge w:val="restart"/>
            <w:shd w:val="clear" w:color="auto" w:fill="D9D9D9" w:themeFill="background1" w:themeFillShade="D9"/>
            <w:vAlign w:val="center"/>
          </w:tcPr>
          <w:p w14:paraId="166CCCA6" w14:textId="77777777" w:rsidR="005D695A" w:rsidRPr="00B237EB" w:rsidRDefault="005D695A" w:rsidP="00E70A2D">
            <w:pPr>
              <w:jc w:val="center"/>
              <w:rPr>
                <w:rFonts w:ascii="Trebuchet MS" w:hAnsi="Trebuchet MS"/>
                <w:sz w:val="20"/>
                <w:szCs w:val="20"/>
              </w:rPr>
            </w:pPr>
            <w:r w:rsidRPr="00B237EB">
              <w:rPr>
                <w:rFonts w:ascii="Trebuchet MS" w:hAnsi="Trebuchet MS"/>
                <w:sz w:val="20"/>
                <w:szCs w:val="20"/>
              </w:rPr>
              <w:t>Total</w:t>
            </w:r>
          </w:p>
        </w:tc>
        <w:tc>
          <w:tcPr>
            <w:tcW w:w="1213" w:type="dxa"/>
            <w:vMerge w:val="restart"/>
            <w:shd w:val="clear" w:color="auto" w:fill="D9D9D9" w:themeFill="background1" w:themeFillShade="D9"/>
            <w:vAlign w:val="center"/>
          </w:tcPr>
          <w:p w14:paraId="66F3BFE3" w14:textId="77777777" w:rsidR="005D695A" w:rsidRPr="00B237EB" w:rsidRDefault="005D695A" w:rsidP="00E70A2D">
            <w:pPr>
              <w:jc w:val="center"/>
              <w:rPr>
                <w:rFonts w:ascii="Trebuchet MS" w:hAnsi="Trebuchet MS"/>
                <w:sz w:val="20"/>
                <w:szCs w:val="20"/>
              </w:rPr>
            </w:pPr>
            <w:r w:rsidRPr="00B237EB">
              <w:rPr>
                <w:rFonts w:ascii="Trebuchet MS" w:hAnsi="Trebuchet MS"/>
                <w:sz w:val="20"/>
                <w:szCs w:val="20"/>
              </w:rPr>
              <w:t>Pastagens naturais</w:t>
            </w:r>
          </w:p>
        </w:tc>
        <w:tc>
          <w:tcPr>
            <w:tcW w:w="2427" w:type="dxa"/>
            <w:gridSpan w:val="2"/>
            <w:shd w:val="clear" w:color="auto" w:fill="D9D9D9" w:themeFill="background1" w:themeFillShade="D9"/>
          </w:tcPr>
          <w:p w14:paraId="30156186" w14:textId="77777777" w:rsidR="005D695A" w:rsidRPr="00B237EB" w:rsidRDefault="005D695A" w:rsidP="00E70A2D">
            <w:pPr>
              <w:spacing w:before="40" w:after="40"/>
              <w:jc w:val="both"/>
              <w:rPr>
                <w:rFonts w:ascii="Trebuchet MS" w:hAnsi="Trebuchet MS"/>
                <w:sz w:val="20"/>
                <w:szCs w:val="20"/>
              </w:rPr>
            </w:pPr>
            <w:r>
              <w:rPr>
                <w:rFonts w:ascii="Trebuchet MS" w:hAnsi="Trebuchet MS"/>
                <w:sz w:val="20"/>
                <w:szCs w:val="20"/>
              </w:rPr>
              <w:t>Agricultura não-familiar</w:t>
            </w:r>
          </w:p>
        </w:tc>
        <w:tc>
          <w:tcPr>
            <w:tcW w:w="2428" w:type="dxa"/>
            <w:gridSpan w:val="2"/>
            <w:shd w:val="clear" w:color="auto" w:fill="D9D9D9" w:themeFill="background1" w:themeFillShade="D9"/>
          </w:tcPr>
          <w:p w14:paraId="3F4B2766" w14:textId="77777777" w:rsidR="005D695A" w:rsidRPr="00B237EB" w:rsidRDefault="005D695A" w:rsidP="00E70A2D">
            <w:pPr>
              <w:spacing w:before="40" w:after="40"/>
              <w:jc w:val="both"/>
              <w:rPr>
                <w:rFonts w:ascii="Trebuchet MS" w:hAnsi="Trebuchet MS"/>
                <w:sz w:val="20"/>
                <w:szCs w:val="20"/>
              </w:rPr>
            </w:pPr>
            <w:r>
              <w:rPr>
                <w:rFonts w:ascii="Trebuchet MS" w:hAnsi="Trebuchet MS"/>
                <w:sz w:val="20"/>
                <w:szCs w:val="20"/>
              </w:rPr>
              <w:t>Agricultura familiar</w:t>
            </w:r>
          </w:p>
        </w:tc>
      </w:tr>
      <w:tr w:rsidR="005D695A" w14:paraId="7F74723F" w14:textId="77777777" w:rsidTr="007D69BC">
        <w:trPr>
          <w:jc w:val="center"/>
        </w:trPr>
        <w:tc>
          <w:tcPr>
            <w:tcW w:w="1213" w:type="dxa"/>
            <w:vMerge/>
            <w:shd w:val="clear" w:color="auto" w:fill="D9D9D9" w:themeFill="background1" w:themeFillShade="D9"/>
          </w:tcPr>
          <w:p w14:paraId="67152950" w14:textId="77777777" w:rsidR="005D695A" w:rsidRPr="00B237EB" w:rsidRDefault="005D695A" w:rsidP="00E70A2D">
            <w:pPr>
              <w:jc w:val="both"/>
              <w:rPr>
                <w:rFonts w:ascii="Trebuchet MS" w:hAnsi="Trebuchet MS"/>
                <w:sz w:val="20"/>
                <w:szCs w:val="20"/>
              </w:rPr>
            </w:pPr>
          </w:p>
        </w:tc>
        <w:tc>
          <w:tcPr>
            <w:tcW w:w="1213" w:type="dxa"/>
            <w:vMerge/>
            <w:shd w:val="clear" w:color="auto" w:fill="D9D9D9" w:themeFill="background1" w:themeFillShade="D9"/>
            <w:vAlign w:val="center"/>
          </w:tcPr>
          <w:p w14:paraId="31DEC20C" w14:textId="77777777" w:rsidR="005D695A" w:rsidRPr="00B237EB" w:rsidRDefault="005D695A" w:rsidP="00E70A2D">
            <w:pPr>
              <w:jc w:val="center"/>
              <w:rPr>
                <w:rFonts w:ascii="Trebuchet MS" w:hAnsi="Trebuchet MS"/>
                <w:sz w:val="20"/>
                <w:szCs w:val="20"/>
              </w:rPr>
            </w:pPr>
          </w:p>
        </w:tc>
        <w:tc>
          <w:tcPr>
            <w:tcW w:w="1213" w:type="dxa"/>
            <w:vMerge/>
            <w:shd w:val="clear" w:color="auto" w:fill="D9D9D9" w:themeFill="background1" w:themeFillShade="D9"/>
            <w:vAlign w:val="center"/>
          </w:tcPr>
          <w:p w14:paraId="49C713FC" w14:textId="77777777" w:rsidR="005D695A" w:rsidRPr="00B237EB" w:rsidRDefault="005D695A" w:rsidP="00E70A2D">
            <w:pPr>
              <w:jc w:val="center"/>
              <w:rPr>
                <w:rFonts w:ascii="Trebuchet MS" w:hAnsi="Trebuchet MS"/>
                <w:sz w:val="20"/>
                <w:szCs w:val="20"/>
              </w:rPr>
            </w:pPr>
          </w:p>
        </w:tc>
        <w:tc>
          <w:tcPr>
            <w:tcW w:w="1213" w:type="dxa"/>
            <w:shd w:val="clear" w:color="auto" w:fill="D9D9D9" w:themeFill="background1" w:themeFillShade="D9"/>
            <w:vAlign w:val="center"/>
          </w:tcPr>
          <w:p w14:paraId="75568B47" w14:textId="77777777" w:rsidR="005D695A" w:rsidRPr="00B237EB" w:rsidRDefault="005D695A" w:rsidP="00E70A2D">
            <w:pPr>
              <w:jc w:val="center"/>
              <w:rPr>
                <w:rFonts w:ascii="Trebuchet MS" w:hAnsi="Trebuchet MS"/>
                <w:sz w:val="20"/>
                <w:szCs w:val="20"/>
              </w:rPr>
            </w:pPr>
            <w:r w:rsidRPr="00B237EB">
              <w:rPr>
                <w:rFonts w:ascii="Trebuchet MS" w:hAnsi="Trebuchet MS"/>
                <w:sz w:val="20"/>
                <w:szCs w:val="20"/>
              </w:rPr>
              <w:t>Total</w:t>
            </w:r>
          </w:p>
        </w:tc>
        <w:tc>
          <w:tcPr>
            <w:tcW w:w="1214" w:type="dxa"/>
            <w:shd w:val="clear" w:color="auto" w:fill="D9D9D9" w:themeFill="background1" w:themeFillShade="D9"/>
            <w:vAlign w:val="center"/>
          </w:tcPr>
          <w:p w14:paraId="142A0FBE" w14:textId="77777777" w:rsidR="005D695A" w:rsidRPr="00B237EB" w:rsidRDefault="005D695A" w:rsidP="00E70A2D">
            <w:pPr>
              <w:jc w:val="center"/>
              <w:rPr>
                <w:rFonts w:ascii="Trebuchet MS" w:hAnsi="Trebuchet MS"/>
                <w:sz w:val="20"/>
                <w:szCs w:val="20"/>
              </w:rPr>
            </w:pPr>
            <w:r w:rsidRPr="00B237EB">
              <w:rPr>
                <w:rFonts w:ascii="Trebuchet MS" w:hAnsi="Trebuchet MS"/>
                <w:sz w:val="20"/>
                <w:szCs w:val="20"/>
              </w:rPr>
              <w:t>Pastagens naturais</w:t>
            </w:r>
          </w:p>
        </w:tc>
        <w:tc>
          <w:tcPr>
            <w:tcW w:w="1214" w:type="dxa"/>
            <w:shd w:val="clear" w:color="auto" w:fill="D9D9D9" w:themeFill="background1" w:themeFillShade="D9"/>
            <w:vAlign w:val="center"/>
          </w:tcPr>
          <w:p w14:paraId="2CAAA3B2" w14:textId="77777777" w:rsidR="005D695A" w:rsidRPr="00B237EB" w:rsidRDefault="005D695A" w:rsidP="00E70A2D">
            <w:pPr>
              <w:jc w:val="center"/>
              <w:rPr>
                <w:rFonts w:ascii="Trebuchet MS" w:hAnsi="Trebuchet MS"/>
                <w:sz w:val="20"/>
                <w:szCs w:val="20"/>
              </w:rPr>
            </w:pPr>
            <w:r w:rsidRPr="00B237EB">
              <w:rPr>
                <w:rFonts w:ascii="Trebuchet MS" w:hAnsi="Trebuchet MS"/>
                <w:sz w:val="20"/>
                <w:szCs w:val="20"/>
              </w:rPr>
              <w:t>Total</w:t>
            </w:r>
          </w:p>
        </w:tc>
        <w:tc>
          <w:tcPr>
            <w:tcW w:w="1214" w:type="dxa"/>
            <w:shd w:val="clear" w:color="auto" w:fill="D9D9D9" w:themeFill="background1" w:themeFillShade="D9"/>
            <w:vAlign w:val="center"/>
          </w:tcPr>
          <w:p w14:paraId="2956BBEE" w14:textId="77777777" w:rsidR="005D695A" w:rsidRPr="00B237EB" w:rsidRDefault="005D695A" w:rsidP="00E70A2D">
            <w:pPr>
              <w:jc w:val="center"/>
              <w:rPr>
                <w:rFonts w:ascii="Trebuchet MS" w:hAnsi="Trebuchet MS"/>
                <w:sz w:val="20"/>
                <w:szCs w:val="20"/>
              </w:rPr>
            </w:pPr>
            <w:r w:rsidRPr="00B237EB">
              <w:rPr>
                <w:rFonts w:ascii="Trebuchet MS" w:hAnsi="Trebuchet MS"/>
                <w:sz w:val="20"/>
                <w:szCs w:val="20"/>
              </w:rPr>
              <w:t>Pastagens naturais</w:t>
            </w:r>
          </w:p>
        </w:tc>
      </w:tr>
      <w:tr w:rsidR="005D695A" w14:paraId="6B40AEAE" w14:textId="77777777" w:rsidTr="007D69BC">
        <w:trPr>
          <w:jc w:val="center"/>
        </w:trPr>
        <w:tc>
          <w:tcPr>
            <w:tcW w:w="1213" w:type="dxa"/>
            <w:vAlign w:val="center"/>
          </w:tcPr>
          <w:p w14:paraId="314FE475"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2006</w:t>
            </w:r>
          </w:p>
        </w:tc>
        <w:tc>
          <w:tcPr>
            <w:tcW w:w="1213" w:type="dxa"/>
            <w:vAlign w:val="center"/>
          </w:tcPr>
          <w:p w14:paraId="60FC22DC"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441.472</w:t>
            </w:r>
          </w:p>
        </w:tc>
        <w:tc>
          <w:tcPr>
            <w:tcW w:w="1213" w:type="dxa"/>
            <w:vAlign w:val="center"/>
          </w:tcPr>
          <w:p w14:paraId="43D24144"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280.303</w:t>
            </w:r>
          </w:p>
        </w:tc>
        <w:tc>
          <w:tcPr>
            <w:tcW w:w="1213" w:type="dxa"/>
            <w:vAlign w:val="center"/>
          </w:tcPr>
          <w:p w14:paraId="741EA464"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63.119</w:t>
            </w:r>
          </w:p>
        </w:tc>
        <w:tc>
          <w:tcPr>
            <w:tcW w:w="1214" w:type="dxa"/>
            <w:vAlign w:val="center"/>
          </w:tcPr>
          <w:p w14:paraId="56959699"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43.684</w:t>
            </w:r>
          </w:p>
        </w:tc>
        <w:tc>
          <w:tcPr>
            <w:tcW w:w="1214" w:type="dxa"/>
            <w:vAlign w:val="center"/>
          </w:tcPr>
          <w:p w14:paraId="43BF589A"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378.353</w:t>
            </w:r>
          </w:p>
        </w:tc>
        <w:tc>
          <w:tcPr>
            <w:tcW w:w="1214" w:type="dxa"/>
            <w:vAlign w:val="center"/>
          </w:tcPr>
          <w:p w14:paraId="1EB6F0CD"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236.619</w:t>
            </w:r>
          </w:p>
        </w:tc>
      </w:tr>
      <w:tr w:rsidR="005D695A" w14:paraId="5475553E" w14:textId="77777777" w:rsidTr="007D69BC">
        <w:trPr>
          <w:jc w:val="center"/>
        </w:trPr>
        <w:tc>
          <w:tcPr>
            <w:tcW w:w="1213" w:type="dxa"/>
            <w:tcBorders>
              <w:bottom w:val="single" w:sz="4" w:space="0" w:color="auto"/>
            </w:tcBorders>
            <w:vAlign w:val="center"/>
          </w:tcPr>
          <w:p w14:paraId="2B7A2A9F"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2017</w:t>
            </w:r>
          </w:p>
        </w:tc>
        <w:tc>
          <w:tcPr>
            <w:tcW w:w="1213" w:type="dxa"/>
            <w:tcBorders>
              <w:bottom w:val="single" w:sz="4" w:space="0" w:color="auto"/>
            </w:tcBorders>
            <w:vAlign w:val="center"/>
          </w:tcPr>
          <w:p w14:paraId="08C1CE56"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364.193</w:t>
            </w:r>
          </w:p>
        </w:tc>
        <w:tc>
          <w:tcPr>
            <w:tcW w:w="1213" w:type="dxa"/>
            <w:tcBorders>
              <w:bottom w:val="single" w:sz="4" w:space="0" w:color="auto"/>
            </w:tcBorders>
            <w:vAlign w:val="center"/>
          </w:tcPr>
          <w:p w14:paraId="0E15720B"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247.463</w:t>
            </w:r>
          </w:p>
        </w:tc>
        <w:tc>
          <w:tcPr>
            <w:tcW w:w="1213" w:type="dxa"/>
            <w:tcBorders>
              <w:bottom w:val="single" w:sz="4" w:space="0" w:color="auto"/>
            </w:tcBorders>
            <w:vAlign w:val="center"/>
          </w:tcPr>
          <w:p w14:paraId="67C4B755"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70.913</w:t>
            </w:r>
          </w:p>
        </w:tc>
        <w:tc>
          <w:tcPr>
            <w:tcW w:w="1214" w:type="dxa"/>
            <w:tcBorders>
              <w:bottom w:val="single" w:sz="4" w:space="0" w:color="auto"/>
            </w:tcBorders>
            <w:vAlign w:val="center"/>
          </w:tcPr>
          <w:p w14:paraId="00BA1F95"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48.812</w:t>
            </w:r>
          </w:p>
        </w:tc>
        <w:tc>
          <w:tcPr>
            <w:tcW w:w="1214" w:type="dxa"/>
            <w:tcBorders>
              <w:bottom w:val="single" w:sz="4" w:space="0" w:color="auto"/>
            </w:tcBorders>
            <w:vAlign w:val="center"/>
          </w:tcPr>
          <w:p w14:paraId="7F5A5996"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293.280</w:t>
            </w:r>
          </w:p>
        </w:tc>
        <w:tc>
          <w:tcPr>
            <w:tcW w:w="1214" w:type="dxa"/>
            <w:tcBorders>
              <w:bottom w:val="single" w:sz="4" w:space="0" w:color="auto"/>
            </w:tcBorders>
            <w:vAlign w:val="center"/>
          </w:tcPr>
          <w:p w14:paraId="482BD41E" w14:textId="77777777" w:rsidR="005D695A" w:rsidRPr="00B237EB" w:rsidRDefault="005D695A" w:rsidP="00E70A2D">
            <w:pPr>
              <w:spacing w:before="40" w:after="40"/>
              <w:jc w:val="center"/>
              <w:rPr>
                <w:rFonts w:ascii="Trebuchet MS" w:hAnsi="Trebuchet MS"/>
                <w:sz w:val="20"/>
                <w:szCs w:val="20"/>
              </w:rPr>
            </w:pPr>
            <w:r w:rsidRPr="00B237EB">
              <w:rPr>
                <w:rFonts w:ascii="Trebuchet MS" w:hAnsi="Trebuchet MS"/>
                <w:sz w:val="20"/>
                <w:szCs w:val="20"/>
              </w:rPr>
              <w:t>198.651</w:t>
            </w:r>
          </w:p>
        </w:tc>
      </w:tr>
    </w:tbl>
    <w:p w14:paraId="34541D44" w14:textId="77777777" w:rsidR="005D695A" w:rsidRPr="00C52F6C" w:rsidRDefault="005D695A" w:rsidP="005D695A">
      <w:pPr>
        <w:spacing w:before="120"/>
        <w:jc w:val="center"/>
        <w:rPr>
          <w:rFonts w:ascii="Trebuchet MS" w:hAnsi="Trebuchet MS"/>
          <w:sz w:val="20"/>
          <w:szCs w:val="20"/>
        </w:rPr>
      </w:pPr>
      <w:r w:rsidRPr="00C52F6C">
        <w:rPr>
          <w:rFonts w:ascii="Trebuchet MS" w:hAnsi="Trebuchet MS"/>
          <w:sz w:val="20"/>
          <w:szCs w:val="20"/>
        </w:rPr>
        <w:t>Fonte: Elaboração dos autores a partir dos dados dos censos agropecuários</w:t>
      </w:r>
      <w:r>
        <w:rPr>
          <w:rFonts w:ascii="Trebuchet MS" w:hAnsi="Trebuchet MS"/>
          <w:sz w:val="20"/>
          <w:szCs w:val="20"/>
        </w:rPr>
        <w:t xml:space="preserve"> (2006 e 2017).</w:t>
      </w:r>
    </w:p>
    <w:p w14:paraId="5B44E376" w14:textId="77777777" w:rsidR="005D695A" w:rsidRPr="00216EFF" w:rsidRDefault="005D695A" w:rsidP="003D6A60">
      <w:pPr>
        <w:jc w:val="both"/>
        <w:rPr>
          <w:rFonts w:eastAsia="Arial" w:cs="Arial"/>
        </w:rPr>
      </w:pPr>
    </w:p>
    <w:p w14:paraId="3F8FB858" w14:textId="77777777" w:rsidR="003F206F" w:rsidRDefault="003F206F" w:rsidP="003F206F">
      <w:pPr>
        <w:spacing w:line="360" w:lineRule="auto"/>
        <w:jc w:val="both"/>
        <w:rPr>
          <w:rFonts w:eastAsia="Arial" w:cs="Arial"/>
        </w:rPr>
      </w:pPr>
      <w:r w:rsidRPr="005D695A">
        <w:rPr>
          <w:rFonts w:eastAsia="Arial" w:cs="Arial"/>
        </w:rPr>
        <w:t xml:space="preserve">No intervalo de tempo considerado houve uma retração geral no número de estabelecimentos baseados no uso das pastagens naturais da ordem de 11,7%. </w:t>
      </w:r>
      <w:r w:rsidRPr="005D695A">
        <w:rPr>
          <w:rFonts w:eastAsia="Arial" w:cs="Arial"/>
        </w:rPr>
        <w:lastRenderedPageBreak/>
        <w:t xml:space="preserve">Todavia, se analisamos este indicador no âmbito da agricultura familiar, a regressão atinge mais de 16%. O que aqui se busca evidenciar é que os estabelecimentos familiares reduziram o emprego de pastagens naturais no manejo dos rebanhos, o que sugere, em larga medida, o progressivo esvaziamento de uma atividade econômica que gozava de </w:t>
      </w:r>
      <w:r>
        <w:rPr>
          <w:rFonts w:eastAsia="Arial" w:cs="Arial"/>
        </w:rPr>
        <w:t xml:space="preserve">forte </w:t>
      </w:r>
      <w:r w:rsidRPr="005D695A">
        <w:rPr>
          <w:rFonts w:eastAsia="Arial" w:cs="Arial"/>
        </w:rPr>
        <w:t>expressão no estado do Rio Grande do Sul.</w:t>
      </w:r>
    </w:p>
    <w:p w14:paraId="3FC8B7C0" w14:textId="68845162" w:rsidR="005D695A" w:rsidRDefault="005D695A" w:rsidP="005D695A">
      <w:pPr>
        <w:spacing w:line="360" w:lineRule="auto"/>
        <w:jc w:val="both"/>
        <w:rPr>
          <w:rFonts w:ascii="Trebuchet MS" w:eastAsia="Calibri" w:hAnsi="Trebuchet MS" w:cs="Times New Roman"/>
          <w:kern w:val="0"/>
          <w14:ligatures w14:val="none"/>
        </w:rPr>
      </w:pPr>
      <w:bookmarkStart w:id="0" w:name="_GoBack"/>
      <w:bookmarkEnd w:id="0"/>
      <w:r w:rsidRPr="005D695A">
        <w:rPr>
          <w:rFonts w:ascii="Trebuchet MS" w:eastAsia="Calibri" w:hAnsi="Trebuchet MS" w:cs="Times New Roman"/>
          <w:kern w:val="0"/>
          <w14:ligatures w14:val="none"/>
        </w:rPr>
        <w:t xml:space="preserve">Alguns estudos vêm alertando sobre a crise da pecuária familiar em virtude dos </w:t>
      </w:r>
      <w:proofErr w:type="gramStart"/>
      <w:r w:rsidRPr="005D695A">
        <w:rPr>
          <w:rFonts w:ascii="Trebuchet MS" w:eastAsia="Calibri" w:hAnsi="Trebuchet MS" w:cs="Times New Roman"/>
          <w:kern w:val="0"/>
          <w14:ligatures w14:val="none"/>
        </w:rPr>
        <w:t>eternos</w:t>
      </w:r>
      <w:proofErr w:type="gramEnd"/>
      <w:r w:rsidRPr="005D695A">
        <w:rPr>
          <w:rFonts w:ascii="Trebuchet MS" w:eastAsia="Calibri" w:hAnsi="Trebuchet MS" w:cs="Times New Roman"/>
          <w:kern w:val="0"/>
          <w14:ligatures w14:val="none"/>
        </w:rPr>
        <w:t xml:space="preserve"> dilemas que cercam o processo sucessório. A falta de herdeiros é resultado de uma plêiade de fatores com destaque para o progressivo declínio das taxas de fecundidade das mulheres, a precariedade das condições de vida, o êxodo seletivo que remete os mais jovens, sobretudo as mulheres</w:t>
      </w:r>
      <w:r w:rsidR="005A31ED">
        <w:rPr>
          <w:rFonts w:ascii="Trebuchet MS" w:eastAsia="Calibri" w:hAnsi="Trebuchet MS" w:cs="Times New Roman"/>
          <w:kern w:val="0"/>
          <w14:ligatures w14:val="none"/>
        </w:rPr>
        <w:t>,</w:t>
      </w:r>
      <w:r w:rsidRPr="005D695A">
        <w:rPr>
          <w:rFonts w:ascii="Trebuchet MS" w:eastAsia="Calibri" w:hAnsi="Trebuchet MS" w:cs="Times New Roman"/>
          <w:kern w:val="0"/>
          <w14:ligatures w14:val="none"/>
        </w:rPr>
        <w:t xml:space="preserve"> para as cidades, bem como pela falta de oportunidades de renda, trabalho e lazer no espaço rural. Arrendar as terras para produtores de soja não somente representa </w:t>
      </w:r>
      <w:r w:rsidR="005A31ED">
        <w:rPr>
          <w:rFonts w:ascii="Trebuchet MS" w:eastAsia="Calibri" w:hAnsi="Trebuchet MS" w:cs="Times New Roman"/>
          <w:kern w:val="0"/>
          <w14:ligatures w14:val="none"/>
        </w:rPr>
        <w:t>a</w:t>
      </w:r>
      <w:r w:rsidRPr="005D695A">
        <w:rPr>
          <w:rFonts w:ascii="Trebuchet MS" w:eastAsia="Calibri" w:hAnsi="Trebuchet MS" w:cs="Times New Roman"/>
          <w:kern w:val="0"/>
          <w14:ligatures w14:val="none"/>
        </w:rPr>
        <w:t xml:space="preserve"> possibilidade de assegurar um ingresso econômico para famílias rurais, mas de dar uma destinação </w:t>
      </w:r>
      <w:r w:rsidR="00A629D3">
        <w:rPr>
          <w:rFonts w:ascii="Trebuchet MS" w:eastAsia="Calibri" w:hAnsi="Trebuchet MS" w:cs="Times New Roman"/>
          <w:kern w:val="0"/>
          <w14:ligatures w14:val="none"/>
        </w:rPr>
        <w:t>a</w:t>
      </w:r>
      <w:r w:rsidRPr="005D695A">
        <w:rPr>
          <w:rFonts w:ascii="Trebuchet MS" w:eastAsia="Calibri" w:hAnsi="Trebuchet MS" w:cs="Times New Roman"/>
          <w:kern w:val="0"/>
          <w14:ligatures w14:val="none"/>
        </w:rPr>
        <w:t>o patrimônio familiar. Em Jaguarão, no extremo sul do RS, estudo recente realizado sobre a pecuária familiar trouxe à tona estes elementos:</w:t>
      </w:r>
    </w:p>
    <w:p w14:paraId="1ED3E3E4" w14:textId="72741DAB" w:rsidR="005D695A" w:rsidRDefault="005D695A" w:rsidP="00294184">
      <w:pPr>
        <w:spacing w:after="60"/>
        <w:ind w:left="2268"/>
        <w:jc w:val="both"/>
        <w:rPr>
          <w:rFonts w:ascii="Trebuchet MS" w:hAnsi="Trebuchet MS"/>
          <w:sz w:val="20"/>
          <w:szCs w:val="20"/>
        </w:rPr>
      </w:pPr>
      <w:r w:rsidRPr="00EA408D">
        <w:rPr>
          <w:rFonts w:ascii="Trebuchet MS" w:hAnsi="Trebuchet MS"/>
          <w:sz w:val="20"/>
          <w:szCs w:val="20"/>
        </w:rPr>
        <w:t>Esse é um aspecto que sobressai nesta pesquisa: o envelhecimento da população rural e a falta de sucessores. Em poucas palavras, poder-se-ia dizer que podem haver herdeiros, mas não sucessores. Com a falta de sucessores, os caminhos para os estabelecimentos dos pecuaristas familiares são três: abandono, venda ou arrendamento. Os relatos indicam que muitos pecuaristas familiares trabalharam toda uma vida para construir um estabelecimento, os quais envelhecem e, sem perspectiva de sucessor, precisam abandonar o estabelecimento, situação es</w:t>
      </w:r>
      <w:r>
        <w:rPr>
          <w:rFonts w:ascii="Trebuchet MS" w:hAnsi="Trebuchet MS"/>
          <w:sz w:val="20"/>
          <w:szCs w:val="20"/>
        </w:rPr>
        <w:t>ta que gera desânimo e tristeza (</w:t>
      </w:r>
      <w:r w:rsidR="0093788C">
        <w:rPr>
          <w:rFonts w:ascii="Trebuchet MS" w:hAnsi="Trebuchet MS"/>
          <w:sz w:val="20"/>
          <w:szCs w:val="20"/>
        </w:rPr>
        <w:t xml:space="preserve">NARDINI DA SILVA </w:t>
      </w:r>
      <w:r>
        <w:rPr>
          <w:rFonts w:ascii="Trebuchet MS" w:hAnsi="Trebuchet MS"/>
          <w:sz w:val="20"/>
          <w:szCs w:val="20"/>
        </w:rPr>
        <w:t xml:space="preserve">e </w:t>
      </w:r>
      <w:r w:rsidR="0093788C">
        <w:rPr>
          <w:rFonts w:ascii="Trebuchet MS" w:hAnsi="Trebuchet MS"/>
          <w:sz w:val="20"/>
          <w:szCs w:val="20"/>
        </w:rPr>
        <w:t>SACCO DOS ANJOS</w:t>
      </w:r>
      <w:r>
        <w:rPr>
          <w:rFonts w:ascii="Trebuchet MS" w:hAnsi="Trebuchet MS"/>
          <w:sz w:val="20"/>
          <w:szCs w:val="20"/>
        </w:rPr>
        <w:t>, 2023, p.14).</w:t>
      </w:r>
    </w:p>
    <w:p w14:paraId="44DC3680" w14:textId="77777777" w:rsidR="008456C3" w:rsidRPr="00EA408D" w:rsidRDefault="008456C3" w:rsidP="00294184">
      <w:pPr>
        <w:spacing w:after="60"/>
        <w:ind w:left="2268"/>
        <w:jc w:val="both"/>
        <w:rPr>
          <w:rFonts w:ascii="Trebuchet MS" w:hAnsi="Trebuchet MS"/>
          <w:sz w:val="20"/>
          <w:szCs w:val="20"/>
        </w:rPr>
      </w:pPr>
    </w:p>
    <w:p w14:paraId="351FA21C" w14:textId="73E1BD55" w:rsidR="005D695A" w:rsidRP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 xml:space="preserve">Dentro do âmbito da pecuária familiar há uma diversidade de situações que inclui desde estabelecimentos integrados aos mercados regionais e especializados na engorda de animais (terminação), no uso de tecnologias avançadas, a exemplo de microchips para rastreamento dos animais, até unidades produtivas </w:t>
      </w:r>
      <w:r w:rsidR="00343171">
        <w:rPr>
          <w:rFonts w:ascii="Trebuchet MS" w:eastAsia="Calibri" w:hAnsi="Trebuchet MS" w:cs="Times New Roman"/>
          <w:kern w:val="0"/>
          <w14:ligatures w14:val="none"/>
        </w:rPr>
        <w:t>tradicionais</w:t>
      </w:r>
      <w:r w:rsidRPr="005D695A">
        <w:rPr>
          <w:rFonts w:ascii="Trebuchet MS" w:eastAsia="Calibri" w:hAnsi="Trebuchet MS" w:cs="Times New Roman"/>
          <w:kern w:val="0"/>
          <w14:ligatures w14:val="none"/>
        </w:rPr>
        <w:t xml:space="preserve">, que empregam recursos rudimentares, </w:t>
      </w:r>
      <w:r w:rsidR="005A31ED">
        <w:rPr>
          <w:rFonts w:ascii="Trebuchet MS" w:eastAsia="Calibri" w:hAnsi="Trebuchet MS" w:cs="Times New Roman"/>
          <w:kern w:val="0"/>
          <w14:ligatures w14:val="none"/>
        </w:rPr>
        <w:t xml:space="preserve">incluindo </w:t>
      </w:r>
      <w:r w:rsidRPr="005D695A">
        <w:rPr>
          <w:rFonts w:ascii="Trebuchet MS" w:eastAsia="Calibri" w:hAnsi="Trebuchet MS" w:cs="Times New Roman"/>
          <w:kern w:val="0"/>
          <w14:ligatures w14:val="none"/>
        </w:rPr>
        <w:t>animais oriundos de mescla (sem raça definida</w:t>
      </w:r>
      <w:r w:rsidR="005A31ED" w:rsidRPr="005D695A">
        <w:rPr>
          <w:rFonts w:ascii="Trebuchet MS" w:eastAsia="Calibri" w:hAnsi="Trebuchet MS" w:cs="Times New Roman"/>
          <w:kern w:val="0"/>
          <w14:ligatures w14:val="none"/>
        </w:rPr>
        <w:t>)</w:t>
      </w:r>
      <w:r w:rsidR="005A31ED">
        <w:rPr>
          <w:rFonts w:ascii="Trebuchet MS" w:eastAsia="Calibri" w:hAnsi="Trebuchet MS" w:cs="Times New Roman"/>
          <w:kern w:val="0"/>
          <w14:ligatures w14:val="none"/>
        </w:rPr>
        <w:t xml:space="preserve"> e realizando o</w:t>
      </w:r>
      <w:r w:rsidR="005A31ED" w:rsidRPr="005D695A">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ciclo completo (cria, recria, engorda). Todavia, um aspecto é inegável: trata-se de uma atividade produtiva relevante na geração de emprego e </w:t>
      </w:r>
      <w:r w:rsidRPr="005D695A">
        <w:rPr>
          <w:rFonts w:ascii="Trebuchet MS" w:eastAsia="Calibri" w:hAnsi="Trebuchet MS" w:cs="Times New Roman"/>
          <w:kern w:val="0"/>
          <w14:ligatures w14:val="none"/>
        </w:rPr>
        <w:lastRenderedPageBreak/>
        <w:t xml:space="preserve">renda para milhares de famílias de pessoas com um baixo nível de escolaridade, vivendo em locais marcados pelo isolamento e precariedade estrutural, as quais encontram enormes dificuldades de assegurar sua reprodução social fora </w:t>
      </w:r>
      <w:r w:rsidR="00343171">
        <w:rPr>
          <w:rFonts w:ascii="Trebuchet MS" w:eastAsia="Calibri" w:hAnsi="Trebuchet MS" w:cs="Times New Roman"/>
          <w:kern w:val="0"/>
          <w14:ligatures w14:val="none"/>
        </w:rPr>
        <w:t>dos próprios</w:t>
      </w:r>
      <w:r w:rsidRPr="005D695A">
        <w:rPr>
          <w:rFonts w:ascii="Trebuchet MS" w:eastAsia="Calibri" w:hAnsi="Trebuchet MS" w:cs="Times New Roman"/>
          <w:kern w:val="0"/>
          <w14:ligatures w14:val="none"/>
        </w:rPr>
        <w:t xml:space="preserve"> domínios. </w:t>
      </w:r>
      <w:r w:rsidR="00343171">
        <w:rPr>
          <w:rFonts w:ascii="Trebuchet MS" w:eastAsia="Calibri" w:hAnsi="Trebuchet MS" w:cs="Times New Roman"/>
          <w:kern w:val="0"/>
          <w14:ligatures w14:val="none"/>
        </w:rPr>
        <w:t>Em algumas</w:t>
      </w:r>
      <w:r w:rsidR="00343171" w:rsidRPr="005D695A">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áreas de campo </w:t>
      </w:r>
      <w:r w:rsidR="00343171">
        <w:rPr>
          <w:rFonts w:ascii="Trebuchet MS" w:eastAsia="Calibri" w:hAnsi="Trebuchet MS" w:cs="Times New Roman"/>
          <w:kern w:val="0"/>
          <w14:ligatures w14:val="none"/>
        </w:rPr>
        <w:t>existem</w:t>
      </w:r>
      <w:r w:rsidR="00343171" w:rsidRPr="005D695A">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fatores </w:t>
      </w:r>
      <w:r w:rsidR="005A31ED">
        <w:rPr>
          <w:rFonts w:ascii="Trebuchet MS" w:eastAsia="Calibri" w:hAnsi="Trebuchet MS" w:cs="Times New Roman"/>
          <w:kern w:val="0"/>
          <w14:ligatures w14:val="none"/>
        </w:rPr>
        <w:t xml:space="preserve">que </w:t>
      </w:r>
      <w:r w:rsidRPr="005D695A">
        <w:rPr>
          <w:rFonts w:ascii="Trebuchet MS" w:eastAsia="Calibri" w:hAnsi="Trebuchet MS" w:cs="Times New Roman"/>
          <w:kern w:val="0"/>
          <w14:ligatures w14:val="none"/>
        </w:rPr>
        <w:t>servem de freio natural para a conversão dos campos em lavouras de soja</w:t>
      </w:r>
      <w:r w:rsidR="00343171">
        <w:rPr>
          <w:rFonts w:ascii="Trebuchet MS" w:eastAsia="Calibri" w:hAnsi="Trebuchet MS" w:cs="Times New Roman"/>
          <w:kern w:val="0"/>
          <w14:ligatures w14:val="none"/>
        </w:rPr>
        <w:t>. São</w:t>
      </w:r>
      <w:r w:rsidRPr="005D695A">
        <w:rPr>
          <w:rFonts w:ascii="Trebuchet MS" w:eastAsia="Calibri" w:hAnsi="Trebuchet MS" w:cs="Times New Roman"/>
          <w:kern w:val="0"/>
          <w14:ligatures w14:val="none"/>
        </w:rPr>
        <w:t xml:space="preserve"> locais onde </w:t>
      </w:r>
      <w:r w:rsidR="00343171">
        <w:rPr>
          <w:rFonts w:ascii="Trebuchet MS" w:eastAsia="Calibri" w:hAnsi="Trebuchet MS" w:cs="Times New Roman"/>
          <w:kern w:val="0"/>
          <w14:ligatures w14:val="none"/>
        </w:rPr>
        <w:t>há</w:t>
      </w:r>
      <w:r w:rsidR="00343171" w:rsidRPr="005D695A">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afloramento de rochas e uma topografia mais acidentada que impede a mecanização das áreas. Nestes espaços – e sobretudo nesses espaços - uma pecuária de baixos indicadores zootécnicos resiste à própria desaparição, não exatamente pelos seus atributos</w:t>
      </w:r>
      <w:r w:rsidR="005A31ED">
        <w:rPr>
          <w:rFonts w:ascii="Trebuchet MS" w:eastAsia="Calibri" w:hAnsi="Trebuchet MS" w:cs="Times New Roman"/>
          <w:kern w:val="0"/>
          <w14:ligatures w14:val="none"/>
        </w:rPr>
        <w:t xml:space="preserve"> de performance</w:t>
      </w:r>
      <w:r w:rsidRPr="005D695A">
        <w:rPr>
          <w:rFonts w:ascii="Trebuchet MS" w:eastAsia="Calibri" w:hAnsi="Trebuchet MS" w:cs="Times New Roman"/>
          <w:kern w:val="0"/>
          <w14:ligatures w14:val="none"/>
        </w:rPr>
        <w:t xml:space="preserve">, mas pela dificuldade de implantação </w:t>
      </w:r>
      <w:r w:rsidR="00343171">
        <w:rPr>
          <w:rFonts w:ascii="Trebuchet MS" w:eastAsia="Calibri" w:hAnsi="Trebuchet MS" w:cs="Times New Roman"/>
          <w:kern w:val="0"/>
          <w14:ligatures w14:val="none"/>
        </w:rPr>
        <w:t>da agricultura intensiva e da monocultura da soja</w:t>
      </w:r>
      <w:r w:rsidRPr="005D695A">
        <w:rPr>
          <w:rFonts w:ascii="Trebuchet MS" w:eastAsia="Calibri" w:hAnsi="Trebuchet MS" w:cs="Times New Roman"/>
          <w:kern w:val="0"/>
          <w14:ligatures w14:val="none"/>
        </w:rPr>
        <w:t>.</w:t>
      </w:r>
    </w:p>
    <w:p w14:paraId="199AD3E2" w14:textId="32FEAB28" w:rsidR="005D695A" w:rsidRP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 xml:space="preserve">Mas esta trincheira é frágil, sobretudo do ponto de vista ambiental em virtude do emprego indiscriminado de agrotóxicos que ameaçam a integridade física das pessoas e o futuro de muitas atividades econômicas. Nesse sentido, vale a pena resgatar um dos aspectos mais preocupantes que eclodiram no Rio Grande do Sul com </w:t>
      </w:r>
      <w:r w:rsidR="00343171">
        <w:rPr>
          <w:rFonts w:ascii="Trebuchet MS" w:eastAsia="Calibri" w:hAnsi="Trebuchet MS" w:cs="Times New Roman"/>
          <w:kern w:val="0"/>
          <w14:ligatures w14:val="none"/>
        </w:rPr>
        <w:t>a supressão da</w:t>
      </w:r>
      <w:r w:rsidRPr="005D695A">
        <w:rPr>
          <w:rFonts w:ascii="Trebuchet MS" w:eastAsia="Calibri" w:hAnsi="Trebuchet MS" w:cs="Times New Roman"/>
          <w:kern w:val="0"/>
          <w14:ligatures w14:val="none"/>
        </w:rPr>
        <w:t xml:space="preserve"> legislação ambiental que regula</w:t>
      </w:r>
      <w:r w:rsidR="00343171">
        <w:rPr>
          <w:rFonts w:ascii="Trebuchet MS" w:eastAsia="Calibri" w:hAnsi="Trebuchet MS" w:cs="Times New Roman"/>
          <w:kern w:val="0"/>
          <w14:ligatures w14:val="none"/>
        </w:rPr>
        <w:t>va</w:t>
      </w:r>
      <w:r w:rsidRPr="005D695A">
        <w:rPr>
          <w:rFonts w:ascii="Trebuchet MS" w:eastAsia="Calibri" w:hAnsi="Trebuchet MS" w:cs="Times New Roman"/>
          <w:kern w:val="0"/>
          <w14:ligatures w14:val="none"/>
        </w:rPr>
        <w:t xml:space="preserve"> o uso de pesticidas. Nos anos 1980 esta unidade federativa se destacou </w:t>
      </w:r>
      <w:r w:rsidR="00343171">
        <w:rPr>
          <w:rFonts w:ascii="Trebuchet MS" w:eastAsia="Calibri" w:hAnsi="Trebuchet MS" w:cs="Times New Roman"/>
          <w:kern w:val="0"/>
          <w14:ligatures w14:val="none"/>
        </w:rPr>
        <w:t>na luta pela</w:t>
      </w:r>
      <w:r w:rsidRPr="005D695A">
        <w:rPr>
          <w:rFonts w:ascii="Trebuchet MS" w:eastAsia="Calibri" w:hAnsi="Trebuchet MS" w:cs="Times New Roman"/>
          <w:kern w:val="0"/>
          <w14:ligatures w14:val="none"/>
        </w:rPr>
        <w:t xml:space="preserve"> regulamentação do receituário agronômico, cujo objetivo precípuo era disciplinar o uso destes produtos. </w:t>
      </w:r>
      <w:r w:rsidR="00343171">
        <w:rPr>
          <w:rFonts w:ascii="Trebuchet MS" w:eastAsia="Calibri" w:hAnsi="Trebuchet MS" w:cs="Times New Roman"/>
          <w:kern w:val="0"/>
          <w14:ligatures w14:val="none"/>
        </w:rPr>
        <w:t>(</w:t>
      </w:r>
      <w:r w:rsidRPr="005D695A">
        <w:rPr>
          <w:rFonts w:ascii="Trebuchet MS" w:eastAsia="Calibri" w:hAnsi="Trebuchet MS" w:cs="Times New Roman"/>
          <w:kern w:val="0"/>
          <w14:ligatures w14:val="none"/>
        </w:rPr>
        <w:t>Lei 7.802/1989, também conhecida como Lei dos Agrotóxicos</w:t>
      </w:r>
      <w:r w:rsidR="00343171">
        <w:rPr>
          <w:rFonts w:ascii="Trebuchet MS" w:eastAsia="Calibri" w:hAnsi="Trebuchet MS" w:cs="Times New Roman"/>
          <w:kern w:val="0"/>
          <w14:ligatures w14:val="none"/>
        </w:rPr>
        <w:t>)</w:t>
      </w:r>
      <w:r w:rsidRPr="005D695A">
        <w:rPr>
          <w:rFonts w:ascii="Trebuchet MS" w:eastAsia="Calibri" w:hAnsi="Trebuchet MS" w:cs="Times New Roman"/>
          <w:kern w:val="0"/>
          <w14:ligatures w14:val="none"/>
        </w:rPr>
        <w:t xml:space="preserve">. </w:t>
      </w:r>
    </w:p>
    <w:p w14:paraId="743B4096" w14:textId="3491ECCC" w:rsidR="005D695A" w:rsidRP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Foi também no RS que uma geração de ambientalistas, liderad</w:t>
      </w:r>
      <w:r w:rsidR="001E72C1">
        <w:rPr>
          <w:rFonts w:ascii="Trebuchet MS" w:eastAsia="Calibri" w:hAnsi="Trebuchet MS" w:cs="Times New Roman"/>
          <w:kern w:val="0"/>
          <w14:ligatures w14:val="none"/>
        </w:rPr>
        <w:t>a</w:t>
      </w:r>
      <w:r w:rsidRPr="005D695A">
        <w:rPr>
          <w:rFonts w:ascii="Trebuchet MS" w:eastAsia="Calibri" w:hAnsi="Trebuchet MS" w:cs="Times New Roman"/>
          <w:kern w:val="0"/>
          <w14:ligatures w14:val="none"/>
        </w:rPr>
        <w:t xml:space="preserve"> por José </w:t>
      </w:r>
      <w:proofErr w:type="spellStart"/>
      <w:r w:rsidRPr="005D695A">
        <w:rPr>
          <w:rFonts w:ascii="Trebuchet MS" w:eastAsia="Calibri" w:hAnsi="Trebuchet MS" w:cs="Times New Roman"/>
          <w:kern w:val="0"/>
          <w14:ligatures w14:val="none"/>
        </w:rPr>
        <w:t>Lutzemberger</w:t>
      </w:r>
      <w:proofErr w:type="spellEnd"/>
      <w:r w:rsidRPr="005D695A">
        <w:rPr>
          <w:rFonts w:ascii="Trebuchet MS" w:eastAsia="Calibri" w:hAnsi="Trebuchet MS" w:cs="Times New Roman"/>
          <w:kern w:val="0"/>
          <w14:ligatures w14:val="none"/>
        </w:rPr>
        <w:t>, realiz</w:t>
      </w:r>
      <w:r w:rsidR="001E72C1">
        <w:rPr>
          <w:rFonts w:ascii="Trebuchet MS" w:eastAsia="Calibri" w:hAnsi="Trebuchet MS" w:cs="Times New Roman"/>
          <w:kern w:val="0"/>
          <w14:ligatures w14:val="none"/>
        </w:rPr>
        <w:t>ou</w:t>
      </w:r>
      <w:r w:rsidRPr="005D695A">
        <w:rPr>
          <w:rFonts w:ascii="Trebuchet MS" w:eastAsia="Calibri" w:hAnsi="Trebuchet MS" w:cs="Times New Roman"/>
          <w:kern w:val="0"/>
          <w14:ligatures w14:val="none"/>
        </w:rPr>
        <w:t xml:space="preserve"> mobilizações que buscavam o banimento do agente laranja </w:t>
      </w:r>
      <w:r w:rsidR="001E72C1">
        <w:rPr>
          <w:rFonts w:ascii="Trebuchet MS" w:eastAsia="Calibri" w:hAnsi="Trebuchet MS" w:cs="Times New Roman"/>
          <w:kern w:val="0"/>
          <w14:ligatures w14:val="none"/>
        </w:rPr>
        <w:t>(</w:t>
      </w:r>
      <w:r w:rsidRPr="005D695A">
        <w:rPr>
          <w:rFonts w:ascii="Trebuchet MS" w:eastAsia="Calibri" w:hAnsi="Trebuchet MS" w:cs="Times New Roman"/>
          <w:kern w:val="0"/>
          <w14:ligatures w14:val="none"/>
        </w:rPr>
        <w:t>2,4-</w:t>
      </w:r>
      <w:r w:rsidR="001E72C1">
        <w:rPr>
          <w:rFonts w:ascii="Trebuchet MS" w:eastAsia="Calibri" w:hAnsi="Trebuchet MS" w:cs="Times New Roman"/>
          <w:kern w:val="0"/>
          <w14:ligatures w14:val="none"/>
        </w:rPr>
        <w:t>D)</w:t>
      </w:r>
      <w:r w:rsidRPr="005D695A">
        <w:rPr>
          <w:rFonts w:ascii="Trebuchet MS" w:eastAsia="Calibri" w:hAnsi="Trebuchet MS" w:cs="Times New Roman"/>
          <w:kern w:val="0"/>
          <w14:ligatures w14:val="none"/>
        </w:rPr>
        <w:t xml:space="preserve">, herbicida hormonal que havia sido empregado na guerra do Vietnam. Graças à pressão </w:t>
      </w:r>
      <w:r w:rsidR="001E72C1">
        <w:rPr>
          <w:rFonts w:ascii="Trebuchet MS" w:eastAsia="Calibri" w:hAnsi="Trebuchet MS" w:cs="Times New Roman"/>
          <w:kern w:val="0"/>
          <w14:ligatures w14:val="none"/>
        </w:rPr>
        <w:t>popular</w:t>
      </w:r>
      <w:r w:rsidRPr="005D695A">
        <w:rPr>
          <w:rFonts w:ascii="Trebuchet MS" w:eastAsia="Calibri" w:hAnsi="Trebuchet MS" w:cs="Times New Roman"/>
          <w:kern w:val="0"/>
          <w14:ligatures w14:val="none"/>
        </w:rPr>
        <w:t xml:space="preserve">, alguns produtos altamente tóxicos foram retirados do mercado brasileiro.  O 2,4,5-T acabou banido, mas o 2,4-D permaneceu autorizado, embora com controle mais rígido. As duas últimas representam claros retrocessos. As pressões exercidas pelo agronegócio brasileiro atuaram no sentido da flexibilização da regulamentação de agrotóxicos no Brasil. O 2,4-D acabou sendo reavaliado e reautorizado com novas formulações. A lei do "pacote do veneno", discutida no Congresso Nacional desde 2002 e aprovada em parte em 2022, enfraqueceu controles </w:t>
      </w:r>
      <w:r w:rsidRPr="005D695A">
        <w:rPr>
          <w:rFonts w:ascii="Trebuchet MS" w:eastAsia="Calibri" w:hAnsi="Trebuchet MS" w:cs="Times New Roman"/>
          <w:kern w:val="0"/>
          <w14:ligatures w14:val="none"/>
        </w:rPr>
        <w:lastRenderedPageBreak/>
        <w:t xml:space="preserve">sobre </w:t>
      </w:r>
      <w:r w:rsidR="001E72C1">
        <w:rPr>
          <w:rFonts w:ascii="Trebuchet MS" w:eastAsia="Calibri" w:hAnsi="Trebuchet MS" w:cs="Times New Roman"/>
          <w:kern w:val="0"/>
          <w14:ligatures w14:val="none"/>
        </w:rPr>
        <w:t xml:space="preserve">o uso de </w:t>
      </w:r>
      <w:r w:rsidRPr="005D695A">
        <w:rPr>
          <w:rFonts w:ascii="Trebuchet MS" w:eastAsia="Calibri" w:hAnsi="Trebuchet MS" w:cs="Times New Roman"/>
          <w:kern w:val="0"/>
          <w14:ligatures w14:val="none"/>
        </w:rPr>
        <w:t>agrotóxicos.</w:t>
      </w:r>
      <w:r w:rsidR="001E72C1">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Empresas conseguiram contestar judicialmente restrições locais ao uso do 2,4-D, mesmo com evidências de contaminação por deriva em regiões produtoras (como a de frutas no RS). </w:t>
      </w:r>
    </w:p>
    <w:p w14:paraId="7B0BDA7F" w14:textId="0076BEA3" w:rsid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O uso indiscriminado de herbicidas dessecantes e sistêmicos ameaçam não somente as espécies endêmicas do bioma pampa, mas inclusive atividades produtivas dinâmicas e capital intensivas, a exemplo da fruticultura de clima temperado, viticultura, horticultura e olivicultura. A deriva dos herbicidas acaba por dizimar parreirais e olivais na região da Campanha Gaúcha, ocasionando perdas expressivas. Em 2019 os prejuízos causados pela deriva do 2,4-D ultrapassaram R$ 100 milhões, afetando principalmente viticultores, olivicultores e produtores de maçã (</w:t>
      </w:r>
      <w:r w:rsidR="00586516" w:rsidRPr="005D695A">
        <w:rPr>
          <w:rFonts w:ascii="Trebuchet MS" w:eastAsia="Calibri" w:hAnsi="Trebuchet MS" w:cs="Times New Roman"/>
          <w:kern w:val="0"/>
          <w14:ligatures w14:val="none"/>
        </w:rPr>
        <w:t>BRASIL VINHOS</w:t>
      </w:r>
      <w:r w:rsidRPr="005D695A">
        <w:rPr>
          <w:rFonts w:ascii="Trebuchet MS" w:eastAsia="Calibri" w:hAnsi="Trebuchet MS" w:cs="Times New Roman"/>
          <w:kern w:val="0"/>
          <w14:ligatures w14:val="none"/>
        </w:rPr>
        <w:t>, 2025).</w:t>
      </w:r>
      <w:r w:rsidR="004D040B">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Em 2019, a Secretaria da Agricultura, Pecuária e Desenvolvimento Rural (SEAPDR) do RS publicou a Instrução Normativa (IN) nº 6, estabelecendo o cadastro obrigatório de aplicadores de agrotóxicos hormonais e regulamentando sua aplicação. Posteriormente, outras </w:t>
      </w:r>
      <w:proofErr w:type="spellStart"/>
      <w:r w:rsidRPr="005D695A">
        <w:rPr>
          <w:rFonts w:ascii="Trebuchet MS" w:eastAsia="Calibri" w:hAnsi="Trebuchet MS" w:cs="Times New Roman"/>
          <w:kern w:val="0"/>
          <w14:ligatures w14:val="none"/>
        </w:rPr>
        <w:t>INs</w:t>
      </w:r>
      <w:proofErr w:type="spellEnd"/>
      <w:r w:rsidRPr="005D695A">
        <w:rPr>
          <w:rFonts w:ascii="Trebuchet MS" w:eastAsia="Calibri" w:hAnsi="Trebuchet MS" w:cs="Times New Roman"/>
          <w:kern w:val="0"/>
          <w14:ligatures w14:val="none"/>
        </w:rPr>
        <w:t xml:space="preserve"> foram editadas para aprimorar as normas, como a IN nº 42/2021, que consolidou e atualizou as diretrizes anteriores. Entrementes, a tentativa de regulamentação tem se mostrado completamente inócua e fracassada. Apesar das iniciativas regulatórias, a fiscalização enfrenta obstáculos intransponíveis, em larga medida pela própria impotência d</w:t>
      </w:r>
      <w:r w:rsidR="001E72C1">
        <w:rPr>
          <w:rFonts w:ascii="Trebuchet MS" w:eastAsia="Calibri" w:hAnsi="Trebuchet MS" w:cs="Times New Roman"/>
          <w:kern w:val="0"/>
          <w14:ligatures w14:val="none"/>
        </w:rPr>
        <w:t>o</w:t>
      </w:r>
      <w:r w:rsidRPr="005D695A">
        <w:rPr>
          <w:rFonts w:ascii="Trebuchet MS" w:eastAsia="Calibri" w:hAnsi="Trebuchet MS" w:cs="Times New Roman"/>
          <w:kern w:val="0"/>
          <w14:ligatures w14:val="none"/>
        </w:rPr>
        <w:t xml:space="preserve"> estado</w:t>
      </w:r>
      <w:r w:rsidR="001E72C1">
        <w:rPr>
          <w:rFonts w:ascii="Trebuchet MS" w:eastAsia="Calibri" w:hAnsi="Trebuchet MS" w:cs="Times New Roman"/>
          <w:kern w:val="0"/>
          <w14:ligatures w14:val="none"/>
        </w:rPr>
        <w:t xml:space="preserve"> em coibir práticas criminosas.</w:t>
      </w:r>
      <w:r w:rsidRPr="005D695A">
        <w:rPr>
          <w:rFonts w:ascii="Trebuchet MS" w:eastAsia="Calibri" w:hAnsi="Trebuchet MS" w:cs="Times New Roman"/>
          <w:kern w:val="0"/>
          <w14:ligatures w14:val="none"/>
        </w:rPr>
        <w:t xml:space="preserve"> Mesmo com as regulamentações, continuam sendo registrados casos de deriva. Em 2019, após a adoção das novas normas, ainda foram notificadas 22 suspeitas de deriva do 2,4-D. A Federação dos Agricultores do Rio Grande do Sul (FARSUL) tem se posicionado claramente a favor da manutenção de </w:t>
      </w:r>
      <w:r w:rsidR="001E72C1">
        <w:rPr>
          <w:rFonts w:ascii="Trebuchet MS" w:eastAsia="Calibri" w:hAnsi="Trebuchet MS" w:cs="Times New Roman"/>
          <w:kern w:val="0"/>
          <w14:ligatures w14:val="none"/>
        </w:rPr>
        <w:t>do uso do 2,4D</w:t>
      </w:r>
      <w:r w:rsidRPr="005D695A">
        <w:rPr>
          <w:rFonts w:ascii="Trebuchet MS" w:eastAsia="Calibri" w:hAnsi="Trebuchet MS" w:cs="Times New Roman"/>
          <w:kern w:val="0"/>
          <w14:ligatures w14:val="none"/>
        </w:rPr>
        <w:t xml:space="preserve">, argumentando que o produto é </w:t>
      </w:r>
      <w:r w:rsidR="001E72C1">
        <w:rPr>
          <w:rFonts w:ascii="Trebuchet MS" w:eastAsia="Calibri" w:hAnsi="Trebuchet MS" w:cs="Times New Roman"/>
          <w:kern w:val="0"/>
          <w14:ligatures w14:val="none"/>
        </w:rPr>
        <w:t>imprescindível para</w:t>
      </w:r>
      <w:r w:rsidRPr="005D695A">
        <w:rPr>
          <w:rFonts w:ascii="Trebuchet MS" w:eastAsia="Calibri" w:hAnsi="Trebuchet MS" w:cs="Times New Roman"/>
          <w:kern w:val="0"/>
          <w14:ligatures w14:val="none"/>
        </w:rPr>
        <w:t xml:space="preserve"> as lavouras de soja. </w:t>
      </w:r>
    </w:p>
    <w:p w14:paraId="63061ED1" w14:textId="77777777" w:rsidR="00C52627" w:rsidRPr="005D695A" w:rsidRDefault="00C52627" w:rsidP="005D695A">
      <w:pPr>
        <w:spacing w:line="360" w:lineRule="auto"/>
        <w:jc w:val="both"/>
        <w:rPr>
          <w:rFonts w:ascii="Trebuchet MS" w:eastAsia="Calibri" w:hAnsi="Trebuchet MS" w:cs="Times New Roman"/>
          <w:kern w:val="0"/>
          <w14:ligatures w14:val="none"/>
        </w:rPr>
      </w:pPr>
    </w:p>
    <w:p w14:paraId="10CA2909" w14:textId="77777777" w:rsidR="005D695A" w:rsidRPr="000E28BA" w:rsidRDefault="005D695A" w:rsidP="005D695A">
      <w:pPr>
        <w:spacing w:line="360" w:lineRule="auto"/>
        <w:jc w:val="both"/>
        <w:rPr>
          <w:rFonts w:ascii="Trebuchet MS" w:eastAsia="Calibri" w:hAnsi="Trebuchet MS" w:cs="Times New Roman"/>
          <w:kern w:val="0"/>
          <w14:ligatures w14:val="none"/>
        </w:rPr>
      </w:pPr>
      <w:r w:rsidRPr="000E28BA">
        <w:rPr>
          <w:rFonts w:ascii="Trebuchet MS" w:eastAsia="Calibri" w:hAnsi="Trebuchet MS" w:cs="Times New Roman"/>
          <w:kern w:val="0"/>
          <w14:ligatures w14:val="none"/>
        </w:rPr>
        <w:t>CONSIDERAÇÕES FINAIS</w:t>
      </w:r>
    </w:p>
    <w:p w14:paraId="3694EB27" w14:textId="04F82C84" w:rsidR="005D695A" w:rsidRP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 xml:space="preserve">São evidentes os sinais de declínio da pecuária extensiva, mormente da pecuária de caráter familiar, uma atividade produtiva secular que exerce forte apelo simbólico </w:t>
      </w:r>
      <w:r w:rsidRPr="005D695A">
        <w:rPr>
          <w:rFonts w:ascii="Trebuchet MS" w:eastAsia="Calibri" w:hAnsi="Trebuchet MS" w:cs="Times New Roman"/>
          <w:kern w:val="0"/>
          <w14:ligatures w14:val="none"/>
        </w:rPr>
        <w:lastRenderedPageBreak/>
        <w:t xml:space="preserve">na identidade </w:t>
      </w:r>
      <w:r w:rsidR="001E72C1">
        <w:rPr>
          <w:rFonts w:ascii="Trebuchet MS" w:eastAsia="Calibri" w:hAnsi="Trebuchet MS" w:cs="Times New Roman"/>
          <w:kern w:val="0"/>
          <w14:ligatures w14:val="none"/>
        </w:rPr>
        <w:t>da população gaúcha</w:t>
      </w:r>
      <w:r w:rsidRPr="005D695A">
        <w:rPr>
          <w:rFonts w:ascii="Trebuchet MS" w:eastAsia="Calibri" w:hAnsi="Trebuchet MS" w:cs="Times New Roman"/>
          <w:kern w:val="0"/>
          <w14:ligatures w14:val="none"/>
        </w:rPr>
        <w:t>. Com efeito, a figura emblemática do "centauro dos pampas" corre o risco de tornar-se apenas uma estampa decorativa, presente em prédios públicos e livros de história. Este ensaio deve ser compreendido como uma tentativa de lançar luzes sobre essa questão e fomentar o debate em torno da formulação de estratégias que possam ampliar os horizontes de uma categoria social que se apresenta claramente ameaçada.</w:t>
      </w:r>
    </w:p>
    <w:p w14:paraId="70DA23B1" w14:textId="503A95D0" w:rsid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 xml:space="preserve">A soja representa a quintessência de um processo de desestruturação que avança de forma avassaladora sobre o território </w:t>
      </w:r>
      <w:r w:rsidR="009C24EF">
        <w:rPr>
          <w:rFonts w:ascii="Trebuchet MS" w:eastAsia="Calibri" w:hAnsi="Trebuchet MS" w:cs="Times New Roman"/>
          <w:kern w:val="0"/>
          <w14:ligatures w14:val="none"/>
        </w:rPr>
        <w:t>pampiano</w:t>
      </w:r>
      <w:r w:rsidRPr="005D695A">
        <w:rPr>
          <w:rFonts w:ascii="Trebuchet MS" w:eastAsia="Calibri" w:hAnsi="Trebuchet MS" w:cs="Times New Roman"/>
          <w:kern w:val="0"/>
          <w14:ligatures w14:val="none"/>
        </w:rPr>
        <w:t xml:space="preserve">. </w:t>
      </w:r>
      <w:r w:rsidR="009C24EF">
        <w:rPr>
          <w:rFonts w:ascii="Trebuchet MS" w:eastAsia="Calibri" w:hAnsi="Trebuchet MS" w:cs="Times New Roman"/>
          <w:kern w:val="0"/>
          <w14:ligatures w14:val="none"/>
        </w:rPr>
        <w:t>M</w:t>
      </w:r>
      <w:r w:rsidRPr="005D695A">
        <w:rPr>
          <w:rFonts w:ascii="Trebuchet MS" w:eastAsia="Calibri" w:hAnsi="Trebuchet MS" w:cs="Times New Roman"/>
          <w:kern w:val="0"/>
          <w14:ligatures w14:val="none"/>
        </w:rPr>
        <w:t>encionamos o caso de culturas dinâmicas que vêm sendo seriamente afetadas pelo uso de agrotóxicos empregados nas lavouras de soja. Não se trata de um desvio de foco</w:t>
      </w:r>
      <w:r w:rsidR="009C24EF">
        <w:rPr>
          <w:rFonts w:ascii="Trebuchet MS" w:eastAsia="Calibri" w:hAnsi="Trebuchet MS" w:cs="Times New Roman"/>
          <w:kern w:val="0"/>
          <w14:ligatures w14:val="none"/>
        </w:rPr>
        <w:t xml:space="preserve"> ou </w:t>
      </w:r>
      <w:r w:rsidRPr="005D695A">
        <w:rPr>
          <w:rFonts w:ascii="Trebuchet MS" w:eastAsia="Calibri" w:hAnsi="Trebuchet MS" w:cs="Times New Roman"/>
          <w:kern w:val="0"/>
          <w14:ligatures w14:val="none"/>
        </w:rPr>
        <w:t xml:space="preserve">digressão. Essa </w:t>
      </w:r>
      <w:r w:rsidR="009C24EF">
        <w:rPr>
          <w:rFonts w:ascii="Trebuchet MS" w:eastAsia="Calibri" w:hAnsi="Trebuchet MS" w:cs="Times New Roman"/>
          <w:kern w:val="0"/>
          <w14:ligatures w14:val="none"/>
        </w:rPr>
        <w:t>menção</w:t>
      </w:r>
      <w:r w:rsidR="009C24EF" w:rsidRPr="005D695A">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foi intencional: nosso objetivo foi demonstrar que, se o Estado do Rio Grande do Sul se mostra incapaz de resolver uma questão de tamanha magnitude — e de proteger segmentos pujantes da economia, </w:t>
      </w:r>
      <w:r w:rsidR="009C24EF">
        <w:rPr>
          <w:rFonts w:ascii="Trebuchet MS" w:eastAsia="Calibri" w:hAnsi="Trebuchet MS" w:cs="Times New Roman"/>
          <w:kern w:val="0"/>
          <w14:ligatures w14:val="none"/>
        </w:rPr>
        <w:t>a exemplo</w:t>
      </w:r>
      <w:r w:rsidR="009C24EF" w:rsidRPr="005D695A">
        <w:rPr>
          <w:rFonts w:ascii="Trebuchet MS" w:eastAsia="Calibri" w:hAnsi="Trebuchet MS" w:cs="Times New Roman"/>
          <w:kern w:val="0"/>
          <w14:ligatures w14:val="none"/>
        </w:rPr>
        <w:t xml:space="preserve"> </w:t>
      </w:r>
      <w:r w:rsidR="009C24EF">
        <w:rPr>
          <w:rFonts w:ascii="Trebuchet MS" w:eastAsia="Calibri" w:hAnsi="Trebuchet MS" w:cs="Times New Roman"/>
          <w:kern w:val="0"/>
          <w14:ligatures w14:val="none"/>
        </w:rPr>
        <w:t>d</w:t>
      </w:r>
      <w:r w:rsidRPr="005D695A">
        <w:rPr>
          <w:rFonts w:ascii="Trebuchet MS" w:eastAsia="Calibri" w:hAnsi="Trebuchet MS" w:cs="Times New Roman"/>
          <w:kern w:val="0"/>
          <w14:ligatures w14:val="none"/>
        </w:rPr>
        <w:t xml:space="preserve">a fruticultura, olivicultura e outras atividades agrícolas —, ainda menor será sua capacidade de salvaguardar a pecuária familiar, um setor </w:t>
      </w:r>
      <w:r w:rsidR="009C24EF">
        <w:rPr>
          <w:rFonts w:ascii="Trebuchet MS" w:eastAsia="Calibri" w:hAnsi="Trebuchet MS" w:cs="Times New Roman"/>
          <w:kern w:val="0"/>
          <w14:ligatures w14:val="none"/>
        </w:rPr>
        <w:t xml:space="preserve">produtivo </w:t>
      </w:r>
      <w:r w:rsidRPr="005D695A">
        <w:rPr>
          <w:rFonts w:ascii="Trebuchet MS" w:eastAsia="Calibri" w:hAnsi="Trebuchet MS" w:cs="Times New Roman"/>
          <w:kern w:val="0"/>
          <w14:ligatures w14:val="none"/>
        </w:rPr>
        <w:t xml:space="preserve">caracterizado por </w:t>
      </w:r>
      <w:r w:rsidR="009C24EF">
        <w:rPr>
          <w:rFonts w:ascii="Trebuchet MS" w:eastAsia="Calibri" w:hAnsi="Trebuchet MS" w:cs="Times New Roman"/>
          <w:kern w:val="0"/>
          <w14:ligatures w14:val="none"/>
        </w:rPr>
        <w:t>escassa</w:t>
      </w:r>
      <w:r w:rsidRPr="005D695A">
        <w:rPr>
          <w:rFonts w:ascii="Trebuchet MS" w:eastAsia="Calibri" w:hAnsi="Trebuchet MS" w:cs="Times New Roman"/>
          <w:kern w:val="0"/>
          <w14:ligatures w14:val="none"/>
        </w:rPr>
        <w:t xml:space="preserve"> articulação política, </w:t>
      </w:r>
      <w:r w:rsidR="009C24EF">
        <w:rPr>
          <w:rFonts w:ascii="Trebuchet MS" w:eastAsia="Calibri" w:hAnsi="Trebuchet MS" w:cs="Times New Roman"/>
          <w:kern w:val="0"/>
          <w14:ligatures w14:val="none"/>
        </w:rPr>
        <w:t xml:space="preserve">pelo </w:t>
      </w:r>
      <w:r w:rsidRPr="005D695A">
        <w:rPr>
          <w:rFonts w:ascii="Trebuchet MS" w:eastAsia="Calibri" w:hAnsi="Trebuchet MS" w:cs="Times New Roman"/>
          <w:kern w:val="0"/>
          <w14:ligatures w14:val="none"/>
        </w:rPr>
        <w:t>conservadorismo e elevado grau de isolamento social.</w:t>
      </w:r>
      <w:r w:rsidR="009C24EF">
        <w:rPr>
          <w:rFonts w:ascii="Trebuchet MS" w:eastAsia="Calibri" w:hAnsi="Trebuchet MS" w:cs="Times New Roman"/>
          <w:kern w:val="0"/>
          <w14:ligatures w14:val="none"/>
        </w:rPr>
        <w:t xml:space="preserve"> </w:t>
      </w:r>
      <w:r w:rsidRPr="005D695A">
        <w:rPr>
          <w:rFonts w:ascii="Trebuchet MS" w:eastAsia="Calibri" w:hAnsi="Trebuchet MS" w:cs="Times New Roman"/>
          <w:kern w:val="0"/>
          <w14:ligatures w14:val="none"/>
        </w:rPr>
        <w:t xml:space="preserve">Nos meios acadêmicos, políticos e entre ativistas e cientistas sociais, crescem as referências </w:t>
      </w:r>
      <w:r w:rsidR="009C24EF">
        <w:rPr>
          <w:rFonts w:ascii="Trebuchet MS" w:eastAsia="Calibri" w:hAnsi="Trebuchet MS" w:cs="Times New Roman"/>
          <w:kern w:val="0"/>
          <w14:ligatures w14:val="none"/>
        </w:rPr>
        <w:t xml:space="preserve">ao </w:t>
      </w:r>
      <w:proofErr w:type="spellStart"/>
      <w:r w:rsidR="009C24EF">
        <w:rPr>
          <w:rFonts w:ascii="Trebuchet MS" w:eastAsia="Calibri" w:hAnsi="Trebuchet MS" w:cs="Times New Roman"/>
          <w:kern w:val="0"/>
          <w14:ligatures w14:val="none"/>
        </w:rPr>
        <w:t>neoextrativismo</w:t>
      </w:r>
      <w:proofErr w:type="spellEnd"/>
      <w:r w:rsidR="009C24EF">
        <w:rPr>
          <w:rFonts w:ascii="Trebuchet MS" w:eastAsia="Calibri" w:hAnsi="Trebuchet MS" w:cs="Times New Roman"/>
          <w:kern w:val="0"/>
          <w14:ligatures w14:val="none"/>
        </w:rPr>
        <w:t xml:space="preserve"> – outra forma de aludir ao movimento de expansão da soja que se impõe</w:t>
      </w:r>
      <w:r w:rsidR="009E0798">
        <w:rPr>
          <w:rFonts w:ascii="Trebuchet MS" w:eastAsia="Calibri" w:hAnsi="Trebuchet MS" w:cs="Times New Roman"/>
          <w:kern w:val="0"/>
          <w14:ligatures w14:val="none"/>
        </w:rPr>
        <w:t>,</w:t>
      </w:r>
      <w:r w:rsidR="009C24EF">
        <w:rPr>
          <w:rFonts w:ascii="Trebuchet MS" w:eastAsia="Calibri" w:hAnsi="Trebuchet MS" w:cs="Times New Roman"/>
          <w:kern w:val="0"/>
          <w14:ligatures w14:val="none"/>
        </w:rPr>
        <w:t xml:space="preserve"> de modo incólume e voraz</w:t>
      </w:r>
      <w:r w:rsidR="009E0798">
        <w:rPr>
          <w:rFonts w:ascii="Trebuchet MS" w:eastAsia="Calibri" w:hAnsi="Trebuchet MS" w:cs="Times New Roman"/>
          <w:kern w:val="0"/>
          <w14:ligatures w14:val="none"/>
        </w:rPr>
        <w:t>,</w:t>
      </w:r>
      <w:r w:rsidR="009C24EF">
        <w:rPr>
          <w:rFonts w:ascii="Trebuchet MS" w:eastAsia="Calibri" w:hAnsi="Trebuchet MS" w:cs="Times New Roman"/>
          <w:kern w:val="0"/>
          <w14:ligatures w14:val="none"/>
        </w:rPr>
        <w:t xml:space="preserve"> sobre os</w:t>
      </w:r>
      <w:r w:rsidRPr="005D695A">
        <w:rPr>
          <w:rFonts w:ascii="Trebuchet MS" w:eastAsia="Calibri" w:hAnsi="Trebuchet MS" w:cs="Times New Roman"/>
          <w:kern w:val="0"/>
          <w14:ligatures w14:val="none"/>
        </w:rPr>
        <w:t xml:space="preserve"> ecossistemas </w:t>
      </w:r>
      <w:r w:rsidR="009E0798">
        <w:rPr>
          <w:rFonts w:ascii="Trebuchet MS" w:eastAsia="Calibri" w:hAnsi="Trebuchet MS" w:cs="Times New Roman"/>
          <w:kern w:val="0"/>
          <w14:ligatures w14:val="none"/>
        </w:rPr>
        <w:t>do Brasil e do</w:t>
      </w:r>
      <w:r w:rsidRPr="005D695A">
        <w:rPr>
          <w:rFonts w:ascii="Trebuchet MS" w:eastAsia="Calibri" w:hAnsi="Trebuchet MS" w:cs="Times New Roman"/>
          <w:kern w:val="0"/>
          <w14:ligatures w14:val="none"/>
        </w:rPr>
        <w:t xml:space="preserve"> Cone Sul</w:t>
      </w:r>
      <w:r w:rsidR="009E0798">
        <w:rPr>
          <w:rFonts w:ascii="Trebuchet MS" w:eastAsia="Calibri" w:hAnsi="Trebuchet MS" w:cs="Times New Roman"/>
          <w:kern w:val="0"/>
          <w14:ligatures w14:val="none"/>
        </w:rPr>
        <w:t>.</w:t>
      </w:r>
    </w:p>
    <w:p w14:paraId="7F66C8E8" w14:textId="77777777" w:rsidR="00C52627" w:rsidRDefault="00C52627" w:rsidP="005D695A">
      <w:pPr>
        <w:spacing w:line="360" w:lineRule="auto"/>
        <w:jc w:val="both"/>
        <w:rPr>
          <w:rFonts w:ascii="Trebuchet MS" w:eastAsia="Calibri" w:hAnsi="Trebuchet MS" w:cs="Times New Roman"/>
          <w:kern w:val="0"/>
          <w14:ligatures w14:val="none"/>
        </w:rPr>
      </w:pPr>
    </w:p>
    <w:p w14:paraId="10673252" w14:textId="77777777" w:rsidR="005D695A" w:rsidRDefault="005D695A" w:rsidP="005D695A">
      <w:pPr>
        <w:spacing w:line="360" w:lineRule="auto"/>
        <w:jc w:val="both"/>
        <w:rPr>
          <w:rFonts w:ascii="Trebuchet MS" w:eastAsia="Calibri" w:hAnsi="Trebuchet MS" w:cs="Times New Roman"/>
          <w:kern w:val="0"/>
          <w14:ligatures w14:val="none"/>
        </w:rPr>
      </w:pPr>
      <w:r w:rsidRPr="005D695A">
        <w:rPr>
          <w:rFonts w:ascii="Trebuchet MS" w:eastAsia="Calibri" w:hAnsi="Trebuchet MS" w:cs="Times New Roman"/>
          <w:kern w:val="0"/>
          <w14:ligatures w14:val="none"/>
        </w:rPr>
        <w:t>REFERÊNCIAS</w:t>
      </w:r>
    </w:p>
    <w:p w14:paraId="3ECF27C0" w14:textId="77777777"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ALIANZA DEL PASTIZAL. </w:t>
      </w:r>
      <w:proofErr w:type="spellStart"/>
      <w:r w:rsidRPr="007D69BC">
        <w:rPr>
          <w:rFonts w:ascii="Trebuchet MS" w:eastAsia="Calibri" w:hAnsi="Trebuchet MS" w:cs="Times New Roman"/>
          <w:kern w:val="0"/>
          <w14:ligatures w14:val="none"/>
        </w:rPr>
        <w:t>Alianza</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del</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Pastizal</w:t>
      </w:r>
      <w:proofErr w:type="spellEnd"/>
      <w:r w:rsidRPr="007D69BC">
        <w:rPr>
          <w:rFonts w:ascii="Trebuchet MS" w:eastAsia="Calibri" w:hAnsi="Trebuchet MS" w:cs="Times New Roman"/>
          <w:kern w:val="0"/>
          <w14:ligatures w14:val="none"/>
        </w:rPr>
        <w:t>. Disponível em: https://www.alianzadelpastizal.org.br/. Acesso em: 5 abr. 2025.</w:t>
      </w:r>
    </w:p>
    <w:p w14:paraId="00DC8E11" w14:textId="7F8F6AE9" w:rsidR="007D69BC" w:rsidRPr="007D69BC" w:rsidRDefault="007D69BC" w:rsidP="00DD65F7">
      <w:pPr>
        <w:tabs>
          <w:tab w:val="left" w:pos="2786"/>
        </w:tabs>
        <w:spacing w:after="60"/>
        <w:jc w:val="both"/>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ANDREATTA, T.; WAQUIL, P. D.; MIGUEL, L. A. A organização dos estabelecimentos de pecuária de corte de base familiar no Rio Grande do Sul. WAQUIL, P. D. </w:t>
      </w:r>
      <w:r w:rsidRPr="00DD65F7">
        <w:rPr>
          <w:rFonts w:ascii="Trebuchet MS" w:eastAsia="Calibri" w:hAnsi="Trebuchet MS" w:cs="Times New Roman"/>
          <w:i/>
          <w:kern w:val="0"/>
          <w14:ligatures w14:val="none"/>
        </w:rPr>
        <w:t>et al</w:t>
      </w:r>
      <w:r w:rsidRPr="007D69BC">
        <w:rPr>
          <w:rFonts w:ascii="Trebuchet MS" w:eastAsia="Calibri" w:hAnsi="Trebuchet MS" w:cs="Times New Roman"/>
          <w:kern w:val="0"/>
          <w14:ligatures w14:val="none"/>
        </w:rPr>
        <w:t>. (org.). Pecuária familiar no Rio Grande do Sul: história, diversidade social e dinâmicas de desenvolvimento. Porto Alegre: Editora da UFRGS, 2016. p. 65-86.</w:t>
      </w:r>
    </w:p>
    <w:p w14:paraId="24D7D2B1" w14:textId="5CD490DB"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BRASIL VINHOS. O perigo que vem com o vento. Disponível em: https://brasildevinhos.com.br/o-perigo-que-vem-com-o-vento/?utm_source=chatgpt.com. Acesso em: 5 abr. 2025.</w:t>
      </w:r>
    </w:p>
    <w:p w14:paraId="3E56B445" w14:textId="068064BE"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lastRenderedPageBreak/>
        <w:t xml:space="preserve">CHOMENKO, L.; BENCKE, G. A. Nosso </w:t>
      </w:r>
      <w:proofErr w:type="gramStart"/>
      <w:r w:rsidRPr="007D69BC">
        <w:rPr>
          <w:rFonts w:ascii="Trebuchet MS" w:eastAsia="Calibri" w:hAnsi="Trebuchet MS" w:cs="Times New Roman"/>
          <w:kern w:val="0"/>
          <w14:ligatures w14:val="none"/>
        </w:rPr>
        <w:t>pampa desconhecido</w:t>
      </w:r>
      <w:proofErr w:type="gramEnd"/>
      <w:r w:rsidRPr="007D69BC">
        <w:rPr>
          <w:rFonts w:ascii="Trebuchet MS" w:eastAsia="Calibri" w:hAnsi="Trebuchet MS" w:cs="Times New Roman"/>
          <w:kern w:val="0"/>
          <w14:ligatures w14:val="none"/>
        </w:rPr>
        <w:t xml:space="preserve">. Porto Alegre: Fundação </w:t>
      </w:r>
      <w:proofErr w:type="spellStart"/>
      <w:r w:rsidRPr="007D69BC">
        <w:rPr>
          <w:rFonts w:ascii="Trebuchet MS" w:eastAsia="Calibri" w:hAnsi="Trebuchet MS" w:cs="Times New Roman"/>
          <w:kern w:val="0"/>
          <w14:ligatures w14:val="none"/>
        </w:rPr>
        <w:t>Zoobotânica</w:t>
      </w:r>
      <w:proofErr w:type="spellEnd"/>
      <w:r w:rsidRPr="007D69BC">
        <w:rPr>
          <w:rFonts w:ascii="Trebuchet MS" w:eastAsia="Calibri" w:hAnsi="Trebuchet MS" w:cs="Times New Roman"/>
          <w:kern w:val="0"/>
          <w14:ligatures w14:val="none"/>
        </w:rPr>
        <w:t xml:space="preserve"> do Rio Grande do Sul, 2016.</w:t>
      </w:r>
    </w:p>
    <w:p w14:paraId="229B421D" w14:textId="328D3281"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EVIA, V. Entre denunciar y aguantar: sojización, </w:t>
      </w:r>
      <w:proofErr w:type="spellStart"/>
      <w:r w:rsidRPr="007D69BC">
        <w:rPr>
          <w:rFonts w:ascii="Trebuchet MS" w:eastAsia="Calibri" w:hAnsi="Trebuchet MS" w:cs="Times New Roman"/>
          <w:kern w:val="0"/>
          <w14:ligatures w14:val="none"/>
        </w:rPr>
        <w:t>plaguicidas</w:t>
      </w:r>
      <w:proofErr w:type="spellEnd"/>
      <w:r w:rsidRPr="007D69BC">
        <w:rPr>
          <w:rFonts w:ascii="Trebuchet MS" w:eastAsia="Calibri" w:hAnsi="Trebuchet MS" w:cs="Times New Roman"/>
          <w:kern w:val="0"/>
          <w14:ligatures w14:val="none"/>
        </w:rPr>
        <w:t xml:space="preserve"> y </w:t>
      </w:r>
      <w:proofErr w:type="spellStart"/>
      <w:r w:rsidRPr="007D69BC">
        <w:rPr>
          <w:rFonts w:ascii="Trebuchet MS" w:eastAsia="Calibri" w:hAnsi="Trebuchet MS" w:cs="Times New Roman"/>
          <w:kern w:val="0"/>
          <w14:ligatures w14:val="none"/>
        </w:rPr>
        <w:t>participación</w:t>
      </w:r>
      <w:proofErr w:type="spellEnd"/>
      <w:r w:rsidRPr="007D69BC">
        <w:rPr>
          <w:rFonts w:ascii="Trebuchet MS" w:eastAsia="Calibri" w:hAnsi="Trebuchet MS" w:cs="Times New Roman"/>
          <w:kern w:val="0"/>
          <w14:ligatures w14:val="none"/>
        </w:rPr>
        <w:t xml:space="preserve"> en </w:t>
      </w:r>
      <w:proofErr w:type="spellStart"/>
      <w:r w:rsidRPr="007D69BC">
        <w:rPr>
          <w:rFonts w:ascii="Trebuchet MS" w:eastAsia="Calibri" w:hAnsi="Trebuchet MS" w:cs="Times New Roman"/>
          <w:kern w:val="0"/>
          <w14:ligatures w14:val="none"/>
        </w:rPr>
        <w:t>salud</w:t>
      </w:r>
      <w:proofErr w:type="spellEnd"/>
      <w:r w:rsidRPr="007D69BC">
        <w:rPr>
          <w:rFonts w:ascii="Trebuchet MS" w:eastAsia="Calibri" w:hAnsi="Trebuchet MS" w:cs="Times New Roman"/>
          <w:kern w:val="0"/>
          <w14:ligatures w14:val="none"/>
        </w:rPr>
        <w:t xml:space="preserve"> ambiental en Uruguay. Saúde em Debate, v. 46, esp. 2, p. 62–74, 2022. Disponível em: https://doi.org/10.1590/0103-11042022E204. Acesso em: 5 abr. 2025.</w:t>
      </w:r>
    </w:p>
    <w:p w14:paraId="024E2B44" w14:textId="5C4576DB"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NARDINI DA SILVA, M.; SACCO DOS ANJOS, F. A sucessão geracional na pecuária familiar do extremo sul do Brasil. Revista de Economia e Sociologia Rural, v. 61, p. 1-20, 2023.</w:t>
      </w:r>
    </w:p>
    <w:p w14:paraId="70F6DD6B" w14:textId="06C85F37"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PEREIRA, L. I. O agronegócio da soja no Paraguai: as contradições de um modelo de desenvolvimento. Cadernos PROLAM/USP, v. 18, n. 34, p. 182–199, 2019. Disponível em: https://doi.org/10.11606/issn.1676-6288.prolam.2019.155811. Acesso em: 5 abr. 2025.</w:t>
      </w:r>
    </w:p>
    <w:p w14:paraId="1966FECB" w14:textId="2D719B25"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PIERRI, J. El boom de </w:t>
      </w:r>
      <w:proofErr w:type="spellStart"/>
      <w:r w:rsidRPr="007D69BC">
        <w:rPr>
          <w:rFonts w:ascii="Trebuchet MS" w:eastAsia="Calibri" w:hAnsi="Trebuchet MS" w:cs="Times New Roman"/>
          <w:kern w:val="0"/>
          <w14:ligatures w14:val="none"/>
        </w:rPr>
        <w:t>la</w:t>
      </w:r>
      <w:proofErr w:type="spellEnd"/>
      <w:r w:rsidRPr="007D69BC">
        <w:rPr>
          <w:rFonts w:ascii="Trebuchet MS" w:eastAsia="Calibri" w:hAnsi="Trebuchet MS" w:cs="Times New Roman"/>
          <w:kern w:val="0"/>
          <w14:ligatures w14:val="none"/>
        </w:rPr>
        <w:t xml:space="preserve"> soja: </w:t>
      </w:r>
      <w:proofErr w:type="spellStart"/>
      <w:r w:rsidRPr="007D69BC">
        <w:rPr>
          <w:rFonts w:ascii="Trebuchet MS" w:eastAsia="Calibri" w:hAnsi="Trebuchet MS" w:cs="Times New Roman"/>
          <w:kern w:val="0"/>
          <w14:ligatures w14:val="none"/>
        </w:rPr>
        <w:t>un</w:t>
      </w:r>
      <w:proofErr w:type="spellEnd"/>
      <w:r w:rsidRPr="007D69BC">
        <w:rPr>
          <w:rFonts w:ascii="Trebuchet MS" w:eastAsia="Calibri" w:hAnsi="Trebuchet MS" w:cs="Times New Roman"/>
          <w:kern w:val="0"/>
          <w14:ligatures w14:val="none"/>
        </w:rPr>
        <w:t xml:space="preserve"> retorno al </w:t>
      </w:r>
      <w:proofErr w:type="spellStart"/>
      <w:r w:rsidRPr="007D69BC">
        <w:rPr>
          <w:rFonts w:ascii="Trebuchet MS" w:eastAsia="Calibri" w:hAnsi="Trebuchet MS" w:cs="Times New Roman"/>
          <w:kern w:val="0"/>
          <w14:ligatures w14:val="none"/>
        </w:rPr>
        <w:t>pasado</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Realidad</w:t>
      </w:r>
      <w:proofErr w:type="spellEnd"/>
      <w:r w:rsidRPr="007D69BC">
        <w:rPr>
          <w:rFonts w:ascii="Trebuchet MS" w:eastAsia="Calibri" w:hAnsi="Trebuchet MS" w:cs="Times New Roman"/>
          <w:kern w:val="0"/>
          <w14:ligatures w14:val="none"/>
        </w:rPr>
        <w:t xml:space="preserve"> Económica, n. 219, p. 53–63, 2006.</w:t>
      </w:r>
    </w:p>
    <w:p w14:paraId="5FB9D67D" w14:textId="3D3B0290"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PIERRI, J. El </w:t>
      </w:r>
      <w:proofErr w:type="spellStart"/>
      <w:r w:rsidRPr="007D69BC">
        <w:rPr>
          <w:rFonts w:ascii="Trebuchet MS" w:eastAsia="Calibri" w:hAnsi="Trebuchet MS" w:cs="Times New Roman"/>
          <w:kern w:val="0"/>
          <w14:ligatures w14:val="none"/>
        </w:rPr>
        <w:t>desempeño</w:t>
      </w:r>
      <w:proofErr w:type="spellEnd"/>
      <w:r w:rsidRPr="007D69BC">
        <w:rPr>
          <w:rFonts w:ascii="Trebuchet MS" w:eastAsia="Calibri" w:hAnsi="Trebuchet MS" w:cs="Times New Roman"/>
          <w:kern w:val="0"/>
          <w14:ligatures w14:val="none"/>
        </w:rPr>
        <w:t xml:space="preserve"> de las grandes empresas y las cooperativas en </w:t>
      </w:r>
      <w:proofErr w:type="spellStart"/>
      <w:r w:rsidRPr="007D69BC">
        <w:rPr>
          <w:rFonts w:ascii="Trebuchet MS" w:eastAsia="Calibri" w:hAnsi="Trebuchet MS" w:cs="Times New Roman"/>
          <w:kern w:val="0"/>
          <w14:ligatures w14:val="none"/>
        </w:rPr>
        <w:t>la</w:t>
      </w:r>
      <w:proofErr w:type="spellEnd"/>
      <w:r w:rsidRPr="007D69BC">
        <w:rPr>
          <w:rFonts w:ascii="Trebuchet MS" w:eastAsia="Calibri" w:hAnsi="Trebuchet MS" w:cs="Times New Roman"/>
          <w:kern w:val="0"/>
          <w14:ligatures w14:val="none"/>
        </w:rPr>
        <w:t xml:space="preserve"> “sojización”: </w:t>
      </w:r>
      <w:proofErr w:type="spellStart"/>
      <w:r w:rsidRPr="007D69BC">
        <w:rPr>
          <w:rFonts w:ascii="Trebuchet MS" w:eastAsia="Calibri" w:hAnsi="Trebuchet MS" w:cs="Times New Roman"/>
          <w:kern w:val="0"/>
          <w14:ligatures w14:val="none"/>
        </w:rPr>
        <w:t>los</w:t>
      </w:r>
      <w:proofErr w:type="spellEnd"/>
      <w:r w:rsidRPr="007D69BC">
        <w:rPr>
          <w:rFonts w:ascii="Trebuchet MS" w:eastAsia="Calibri" w:hAnsi="Trebuchet MS" w:cs="Times New Roman"/>
          <w:kern w:val="0"/>
          <w14:ligatures w14:val="none"/>
        </w:rPr>
        <w:t xml:space="preserve"> casos de Cargill y de </w:t>
      </w:r>
      <w:proofErr w:type="spellStart"/>
      <w:r w:rsidRPr="007D69BC">
        <w:rPr>
          <w:rFonts w:ascii="Trebuchet MS" w:eastAsia="Calibri" w:hAnsi="Trebuchet MS" w:cs="Times New Roman"/>
          <w:kern w:val="0"/>
          <w14:ligatures w14:val="none"/>
        </w:rPr>
        <w:t>la</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Asociación</w:t>
      </w:r>
      <w:proofErr w:type="spellEnd"/>
      <w:r w:rsidRPr="007D69BC">
        <w:rPr>
          <w:rFonts w:ascii="Trebuchet MS" w:eastAsia="Calibri" w:hAnsi="Trebuchet MS" w:cs="Times New Roman"/>
          <w:kern w:val="0"/>
          <w14:ligatures w14:val="none"/>
        </w:rPr>
        <w:t xml:space="preserve"> de Cooperativas Agrarias. Documentos </w:t>
      </w:r>
      <w:proofErr w:type="spellStart"/>
      <w:r w:rsidRPr="007D69BC">
        <w:rPr>
          <w:rFonts w:ascii="Trebuchet MS" w:eastAsia="Calibri" w:hAnsi="Trebuchet MS" w:cs="Times New Roman"/>
          <w:kern w:val="0"/>
          <w14:ligatures w14:val="none"/>
        </w:rPr>
        <w:t>del</w:t>
      </w:r>
      <w:proofErr w:type="spellEnd"/>
      <w:r w:rsidRPr="007D69BC">
        <w:rPr>
          <w:rFonts w:ascii="Trebuchet MS" w:eastAsia="Calibri" w:hAnsi="Trebuchet MS" w:cs="Times New Roman"/>
          <w:kern w:val="0"/>
          <w14:ligatures w14:val="none"/>
        </w:rPr>
        <w:t xml:space="preserve"> CIEA, </w:t>
      </w:r>
      <w:proofErr w:type="spellStart"/>
      <w:r w:rsidRPr="007D69BC">
        <w:rPr>
          <w:rFonts w:ascii="Trebuchet MS" w:eastAsia="Calibri" w:hAnsi="Trebuchet MS" w:cs="Times New Roman"/>
          <w:kern w:val="0"/>
          <w14:ligatures w14:val="none"/>
        </w:rPr>
        <w:t>Facultad</w:t>
      </w:r>
      <w:proofErr w:type="spellEnd"/>
      <w:r w:rsidRPr="007D69BC">
        <w:rPr>
          <w:rFonts w:ascii="Trebuchet MS" w:eastAsia="Calibri" w:hAnsi="Trebuchet MS" w:cs="Times New Roman"/>
          <w:kern w:val="0"/>
          <w14:ligatures w14:val="none"/>
        </w:rPr>
        <w:t xml:space="preserve"> de </w:t>
      </w:r>
      <w:proofErr w:type="spellStart"/>
      <w:r w:rsidRPr="007D69BC">
        <w:rPr>
          <w:rFonts w:ascii="Trebuchet MS" w:eastAsia="Calibri" w:hAnsi="Trebuchet MS" w:cs="Times New Roman"/>
          <w:kern w:val="0"/>
          <w14:ligatures w14:val="none"/>
        </w:rPr>
        <w:t>Ciencias</w:t>
      </w:r>
      <w:proofErr w:type="spellEnd"/>
      <w:r w:rsidRPr="007D69BC">
        <w:rPr>
          <w:rFonts w:ascii="Trebuchet MS" w:eastAsia="Calibri" w:hAnsi="Trebuchet MS" w:cs="Times New Roman"/>
          <w:kern w:val="0"/>
          <w14:ligatures w14:val="none"/>
        </w:rPr>
        <w:t xml:space="preserve"> Económicas de </w:t>
      </w:r>
      <w:proofErr w:type="spellStart"/>
      <w:r w:rsidRPr="007D69BC">
        <w:rPr>
          <w:rFonts w:ascii="Trebuchet MS" w:eastAsia="Calibri" w:hAnsi="Trebuchet MS" w:cs="Times New Roman"/>
          <w:kern w:val="0"/>
          <w14:ligatures w14:val="none"/>
        </w:rPr>
        <w:t>la</w:t>
      </w:r>
      <w:proofErr w:type="spellEnd"/>
      <w:r w:rsidRPr="007D69BC">
        <w:rPr>
          <w:rFonts w:ascii="Trebuchet MS" w:eastAsia="Calibri" w:hAnsi="Trebuchet MS" w:cs="Times New Roman"/>
          <w:kern w:val="0"/>
          <w14:ligatures w14:val="none"/>
        </w:rPr>
        <w:t xml:space="preserve"> UBA, n. 3, p. 69–95, 2008.</w:t>
      </w:r>
    </w:p>
    <w:p w14:paraId="2B6F319B" w14:textId="2E1F873B"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RIO GRANDE DO SUL. Governo do Estado lança programa de pecuária familiar. Disponível em: https://estado.rs.gov.br/governo-do-estado-lanca-programa-de-pecuaria-familiar. Acesso em: 5 abr. 2025.</w:t>
      </w:r>
    </w:p>
    <w:p w14:paraId="0F19A917" w14:textId="6F093C72"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ROCHA, C. B.; NEHRING, R.; SILVA, S. D. E. Soy </w:t>
      </w:r>
      <w:proofErr w:type="spellStart"/>
      <w:r w:rsidRPr="007D69BC">
        <w:rPr>
          <w:rFonts w:ascii="Trebuchet MS" w:eastAsia="Calibri" w:hAnsi="Trebuchet MS" w:cs="Times New Roman"/>
          <w:kern w:val="0"/>
          <w14:ligatures w14:val="none"/>
        </w:rPr>
        <w:t>without</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borders</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the</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transnational</w:t>
      </w:r>
      <w:proofErr w:type="spellEnd"/>
      <w:r w:rsidRPr="007D69BC">
        <w:rPr>
          <w:rFonts w:ascii="Trebuchet MS" w:eastAsia="Calibri" w:hAnsi="Trebuchet MS" w:cs="Times New Roman"/>
          <w:kern w:val="0"/>
          <w14:ligatures w14:val="none"/>
        </w:rPr>
        <w:t xml:space="preserve"> dynamics </w:t>
      </w:r>
      <w:proofErr w:type="spellStart"/>
      <w:r w:rsidRPr="007D69BC">
        <w:rPr>
          <w:rFonts w:ascii="Trebuchet MS" w:eastAsia="Calibri" w:hAnsi="Trebuchet MS" w:cs="Times New Roman"/>
          <w:kern w:val="0"/>
          <w14:ligatures w14:val="none"/>
        </w:rPr>
        <w:t>of</w:t>
      </w:r>
      <w:proofErr w:type="spellEnd"/>
      <w:r w:rsidRPr="007D69BC">
        <w:rPr>
          <w:rFonts w:ascii="Trebuchet MS" w:eastAsia="Calibri" w:hAnsi="Trebuchet MS" w:cs="Times New Roman"/>
          <w:kern w:val="0"/>
          <w14:ligatures w14:val="none"/>
        </w:rPr>
        <w:t xml:space="preserve"> commodity </w:t>
      </w:r>
      <w:proofErr w:type="spellStart"/>
      <w:r w:rsidRPr="007D69BC">
        <w:rPr>
          <w:rFonts w:ascii="Trebuchet MS" w:eastAsia="Calibri" w:hAnsi="Trebuchet MS" w:cs="Times New Roman"/>
          <w:kern w:val="0"/>
          <w14:ligatures w14:val="none"/>
        </w:rPr>
        <w:t>frontiers</w:t>
      </w:r>
      <w:proofErr w:type="spellEnd"/>
      <w:r w:rsidRPr="007D69BC">
        <w:rPr>
          <w:rFonts w:ascii="Trebuchet MS" w:eastAsia="Calibri" w:hAnsi="Trebuchet MS" w:cs="Times New Roman"/>
          <w:kern w:val="0"/>
          <w14:ligatures w14:val="none"/>
        </w:rPr>
        <w:t xml:space="preserve"> in South </w:t>
      </w:r>
      <w:proofErr w:type="spellStart"/>
      <w:r w:rsidRPr="007D69BC">
        <w:rPr>
          <w:rFonts w:ascii="Trebuchet MS" w:eastAsia="Calibri" w:hAnsi="Trebuchet MS" w:cs="Times New Roman"/>
          <w:kern w:val="0"/>
          <w14:ligatures w14:val="none"/>
        </w:rPr>
        <w:t>America</w:t>
      </w:r>
      <w:proofErr w:type="spellEnd"/>
      <w:r w:rsidRPr="007D69BC">
        <w:rPr>
          <w:rFonts w:ascii="Trebuchet MS" w:eastAsia="Calibri" w:hAnsi="Trebuchet MS" w:cs="Times New Roman"/>
          <w:kern w:val="0"/>
          <w14:ligatures w14:val="none"/>
        </w:rPr>
        <w:t xml:space="preserve"> (1971–2019). Global </w:t>
      </w:r>
      <w:proofErr w:type="spellStart"/>
      <w:r w:rsidRPr="007D69BC">
        <w:rPr>
          <w:rFonts w:ascii="Trebuchet MS" w:eastAsia="Calibri" w:hAnsi="Trebuchet MS" w:cs="Times New Roman"/>
          <w:kern w:val="0"/>
          <w14:ligatures w14:val="none"/>
        </w:rPr>
        <w:t>Environment</w:t>
      </w:r>
      <w:proofErr w:type="spellEnd"/>
      <w:r w:rsidRPr="007D69BC">
        <w:rPr>
          <w:rFonts w:ascii="Trebuchet MS" w:eastAsia="Calibri" w:hAnsi="Trebuchet MS" w:cs="Times New Roman"/>
          <w:kern w:val="0"/>
          <w14:ligatures w14:val="none"/>
        </w:rPr>
        <w:t>, v. 15, p. 423–455, 2022.</w:t>
      </w:r>
    </w:p>
    <w:p w14:paraId="37D4F1AD" w14:textId="2F859E87" w:rsidR="007D69BC" w:rsidRPr="007D69BC"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 xml:space="preserve">VIANA, J. G. A.; SILVEIRA, V. C. P.; ANTUNES, Y. C. </w:t>
      </w:r>
      <w:proofErr w:type="spellStart"/>
      <w:r w:rsidRPr="007D69BC">
        <w:rPr>
          <w:rFonts w:ascii="Trebuchet MS" w:eastAsia="Calibri" w:hAnsi="Trebuchet MS" w:cs="Times New Roman"/>
          <w:kern w:val="0"/>
          <w14:ligatures w14:val="none"/>
        </w:rPr>
        <w:t>Soybean</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expansion</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and</w:t>
      </w:r>
      <w:proofErr w:type="spellEnd"/>
      <w:r w:rsidRPr="007D69BC">
        <w:rPr>
          <w:rFonts w:ascii="Trebuchet MS" w:eastAsia="Calibri" w:hAnsi="Trebuchet MS" w:cs="Times New Roman"/>
          <w:kern w:val="0"/>
          <w14:ligatures w14:val="none"/>
        </w:rPr>
        <w:t xml:space="preserve"> its </w:t>
      </w:r>
      <w:proofErr w:type="spellStart"/>
      <w:r w:rsidRPr="007D69BC">
        <w:rPr>
          <w:rFonts w:ascii="Trebuchet MS" w:eastAsia="Calibri" w:hAnsi="Trebuchet MS" w:cs="Times New Roman"/>
          <w:kern w:val="0"/>
          <w14:ligatures w14:val="none"/>
        </w:rPr>
        <w:t>impact</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on</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livestock</w:t>
      </w:r>
      <w:proofErr w:type="spellEnd"/>
      <w:r w:rsidRPr="007D69BC">
        <w:rPr>
          <w:rFonts w:ascii="Trebuchet MS" w:eastAsia="Calibri" w:hAnsi="Trebuchet MS" w:cs="Times New Roman"/>
          <w:kern w:val="0"/>
          <w14:ligatures w14:val="none"/>
        </w:rPr>
        <w:t xml:space="preserve"> in </w:t>
      </w:r>
      <w:proofErr w:type="spellStart"/>
      <w:r w:rsidRPr="007D69BC">
        <w:rPr>
          <w:rFonts w:ascii="Trebuchet MS" w:eastAsia="Calibri" w:hAnsi="Trebuchet MS" w:cs="Times New Roman"/>
          <w:kern w:val="0"/>
          <w14:ligatures w14:val="none"/>
        </w:rPr>
        <w:t>the</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Brazilian</w:t>
      </w:r>
      <w:proofErr w:type="spellEnd"/>
      <w:r w:rsidRPr="007D69BC">
        <w:rPr>
          <w:rFonts w:ascii="Trebuchet MS" w:eastAsia="Calibri" w:hAnsi="Trebuchet MS" w:cs="Times New Roman"/>
          <w:kern w:val="0"/>
          <w14:ligatures w14:val="none"/>
        </w:rPr>
        <w:t xml:space="preserve"> Pampa. Journal </w:t>
      </w:r>
      <w:proofErr w:type="spellStart"/>
      <w:r w:rsidRPr="007D69BC">
        <w:rPr>
          <w:rFonts w:ascii="Trebuchet MS" w:eastAsia="Calibri" w:hAnsi="Trebuchet MS" w:cs="Times New Roman"/>
          <w:kern w:val="0"/>
          <w14:ligatures w14:val="none"/>
        </w:rPr>
        <w:t>of</w:t>
      </w:r>
      <w:proofErr w:type="spellEnd"/>
      <w:r w:rsidRPr="007D69BC">
        <w:rPr>
          <w:rFonts w:ascii="Trebuchet MS" w:eastAsia="Calibri" w:hAnsi="Trebuchet MS" w:cs="Times New Roman"/>
          <w:kern w:val="0"/>
          <w14:ligatures w14:val="none"/>
        </w:rPr>
        <w:t xml:space="preserve"> </w:t>
      </w:r>
      <w:proofErr w:type="spellStart"/>
      <w:r w:rsidRPr="007D69BC">
        <w:rPr>
          <w:rFonts w:ascii="Trebuchet MS" w:eastAsia="Calibri" w:hAnsi="Trebuchet MS" w:cs="Times New Roman"/>
          <w:kern w:val="0"/>
          <w14:ligatures w14:val="none"/>
        </w:rPr>
        <w:t>Livestock</w:t>
      </w:r>
      <w:proofErr w:type="spellEnd"/>
      <w:r w:rsidRPr="007D69BC">
        <w:rPr>
          <w:rFonts w:ascii="Trebuchet MS" w:eastAsia="Calibri" w:hAnsi="Trebuchet MS" w:cs="Times New Roman"/>
          <w:kern w:val="0"/>
          <w14:ligatures w14:val="none"/>
        </w:rPr>
        <w:t xml:space="preserve"> Science, v. 13, p. 107–111, 2022.</w:t>
      </w:r>
    </w:p>
    <w:p w14:paraId="72550ACE" w14:textId="0F0316AF" w:rsidR="007D69BC" w:rsidRPr="005D695A" w:rsidRDefault="007D69BC" w:rsidP="00DD65F7">
      <w:pPr>
        <w:spacing w:after="60"/>
        <w:rPr>
          <w:rFonts w:ascii="Trebuchet MS" w:eastAsia="Calibri" w:hAnsi="Trebuchet MS" w:cs="Times New Roman"/>
          <w:kern w:val="0"/>
          <w14:ligatures w14:val="none"/>
        </w:rPr>
      </w:pPr>
      <w:r w:rsidRPr="007D69BC">
        <w:rPr>
          <w:rFonts w:ascii="Trebuchet MS" w:eastAsia="Calibri" w:hAnsi="Trebuchet MS" w:cs="Times New Roman"/>
          <w:kern w:val="0"/>
          <w14:ligatures w14:val="none"/>
        </w:rPr>
        <w:t>WAQUIL, P. D.; MATTE, A.; NESKE, M.; BORBA, M. F. S. Pecuária familiar no Rio Grande do Sul: história, diversidade social e dinâmicas de desenvolvimento. Porto Alegre: Editora da UFRGS, 2016.</w:t>
      </w:r>
    </w:p>
    <w:p w14:paraId="2B5D8392" w14:textId="77777777" w:rsidR="005D695A" w:rsidRPr="005D695A" w:rsidRDefault="005D695A" w:rsidP="00DD65F7">
      <w:pPr>
        <w:spacing w:after="60" w:line="360" w:lineRule="auto"/>
        <w:jc w:val="both"/>
        <w:rPr>
          <w:rFonts w:ascii="Trebuchet MS" w:eastAsia="Calibri" w:hAnsi="Trebuchet MS" w:cs="Times New Roman"/>
          <w:kern w:val="0"/>
          <w14:ligatures w14:val="none"/>
        </w:rPr>
      </w:pPr>
    </w:p>
    <w:p w14:paraId="7A12CA73" w14:textId="3DE07040" w:rsidR="0053021A" w:rsidRDefault="0053021A" w:rsidP="009F6156">
      <w:pPr>
        <w:jc w:val="both"/>
      </w:pPr>
    </w:p>
    <w:sectPr w:rsidR="0053021A" w:rsidSect="00FB0165">
      <w:footerReference w:type="default" r:id="rId11"/>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CFF4A" w14:textId="77777777" w:rsidR="002E5939" w:rsidRDefault="002E5939" w:rsidP="0027518C">
      <w:r>
        <w:separator/>
      </w:r>
    </w:p>
  </w:endnote>
  <w:endnote w:type="continuationSeparator" w:id="0">
    <w:p w14:paraId="3454D3A7" w14:textId="77777777" w:rsidR="002E5939" w:rsidRDefault="002E5939"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onio">
    <w:altName w:val="Calibri"/>
    <w:charset w:val="4D"/>
    <w:family w:val="auto"/>
    <w:pitch w:val="variable"/>
    <w:sig w:usb0="A00000EF" w:usb1="0000204B" w:usb2="00000000" w:usb3="00000000" w:csb0="00000093" w:csb1="00000000"/>
  </w:font>
  <w:font w:name="Arial">
    <w:altName w:val="Arial"/>
    <w:panose1 w:val="020B0604020202020204"/>
    <w:charset w:val="00"/>
    <w:family w:val="swiss"/>
    <w:pitch w:val="variable"/>
    <w:sig w:usb0="E0002EFF" w:usb1="C000785B" w:usb2="00000009" w:usb3="00000000" w:csb0="000001FF" w:csb1="00000000"/>
  </w:font>
  <w:font w:name="Avenir Book">
    <w:altName w:val="Times New Roman"/>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D60DB" w14:textId="77777777" w:rsidR="002E5939" w:rsidRDefault="002E5939" w:rsidP="0027518C">
      <w:r>
        <w:separator/>
      </w:r>
    </w:p>
  </w:footnote>
  <w:footnote w:type="continuationSeparator" w:id="0">
    <w:p w14:paraId="2414B186" w14:textId="77777777" w:rsidR="002E5939" w:rsidRDefault="002E5939" w:rsidP="0027518C">
      <w:r>
        <w:continuationSeparator/>
      </w:r>
    </w:p>
  </w:footnote>
  <w:footnote w:id="1">
    <w:p w14:paraId="6DBA78B4" w14:textId="0D1BBB38"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154C6D">
        <w:rPr>
          <w:lang w:val="pt-BR"/>
        </w:rPr>
        <w:t>Universidade Federal de Pelotas</w:t>
      </w:r>
      <w:r w:rsidRPr="0018293E">
        <w:rPr>
          <w:rFonts w:ascii="Avenir Book" w:eastAsia="Arial" w:hAnsi="Avenir Book" w:cs="Arial"/>
        </w:rPr>
        <w:t xml:space="preserve">, </w:t>
      </w:r>
      <w:hyperlink r:id="rId1" w:history="1">
        <w:r w:rsidR="00154C6D" w:rsidRPr="007E6150">
          <w:rPr>
            <w:rStyle w:val="Hyperlink"/>
            <w:rFonts w:ascii="Avenir Book" w:eastAsia="Arial" w:hAnsi="Avenir Book" w:cs="Arial"/>
          </w:rPr>
          <w:t>saccodosanjos@mail.com</w:t>
        </w:r>
      </w:hyperlink>
      <w:r w:rsidRPr="0018293E">
        <w:rPr>
          <w:rFonts w:ascii="Avenir Book" w:eastAsia="Arial" w:hAnsi="Avenir Book" w:cs="Arial"/>
        </w:rPr>
        <w:t>.</w:t>
      </w:r>
    </w:p>
  </w:footnote>
  <w:footnote w:id="2">
    <w:p w14:paraId="25B57293" w14:textId="76C97CB5"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154C6D">
        <w:rPr>
          <w:lang w:val="pt-BR"/>
        </w:rPr>
        <w:t>Universidade Federal de Pelotas</w:t>
      </w:r>
      <w:r w:rsidRPr="0018293E">
        <w:rPr>
          <w:rFonts w:ascii="Avenir Book" w:eastAsia="Arial" w:hAnsi="Avenir Book" w:cs="Arial"/>
        </w:rPr>
        <w:t xml:space="preserve">, </w:t>
      </w:r>
      <w:hyperlink r:id="rId2" w:history="1">
        <w:r w:rsidR="00154C6D" w:rsidRPr="007E6150">
          <w:rPr>
            <w:rStyle w:val="Hyperlink"/>
            <w:rFonts w:ascii="Avenir Book" w:eastAsia="Arial" w:hAnsi="Avenir Book" w:cs="Arial"/>
          </w:rPr>
          <w:t>velleda.nadia@mail.com</w:t>
        </w:r>
      </w:hyperlink>
      <w:r w:rsidRPr="0018293E">
        <w:rPr>
          <w:rFonts w:ascii="Avenir Book" w:eastAsia="Arial" w:hAnsi="Avenir Book" w:cs="Arial"/>
        </w:rPr>
        <w:t>.</w:t>
      </w:r>
    </w:p>
  </w:footnote>
  <w:footnote w:id="3">
    <w:p w14:paraId="7CD409E0" w14:textId="45457C4A" w:rsidR="00154C6D" w:rsidRDefault="00154C6D">
      <w:pPr>
        <w:pStyle w:val="Textodenotaderodap"/>
        <w:rPr>
          <w:lang w:val="pt-BR"/>
        </w:rPr>
      </w:pPr>
      <w:r>
        <w:rPr>
          <w:rStyle w:val="Refdenotaderodap"/>
        </w:rPr>
        <w:footnoteRef/>
      </w:r>
      <w:r>
        <w:t xml:space="preserve"> </w:t>
      </w:r>
      <w:r>
        <w:rPr>
          <w:lang w:val="pt-BR"/>
        </w:rPr>
        <w:t>Universidade Federal de Pelotas</w:t>
      </w:r>
      <w:r w:rsidR="001B79B8">
        <w:rPr>
          <w:lang w:val="pt-BR"/>
        </w:rPr>
        <w:t xml:space="preserve">, </w:t>
      </w:r>
      <w:hyperlink r:id="rId3" w:history="1">
        <w:r w:rsidR="001B79B8" w:rsidRPr="007E6150">
          <w:rPr>
            <w:rStyle w:val="Hyperlink"/>
            <w:lang w:val="pt-BR"/>
          </w:rPr>
          <w:t>maia.joelio@gmail.com</w:t>
        </w:r>
      </w:hyperlink>
    </w:p>
    <w:p w14:paraId="139C4D2E" w14:textId="77777777" w:rsidR="001B79B8" w:rsidRPr="00154C6D" w:rsidRDefault="001B79B8">
      <w:pPr>
        <w:pStyle w:val="Textodenotaderodap"/>
        <w:rPr>
          <w:lang w:val="pt-BR"/>
        </w:rPr>
      </w:pPr>
    </w:p>
  </w:footnote>
  <w:footnote w:id="4">
    <w:p w14:paraId="1907AD37" w14:textId="77777777" w:rsidR="001B79B8" w:rsidRDefault="001B79B8" w:rsidP="001B79B8">
      <w:pPr>
        <w:pStyle w:val="Textodenotaderodap"/>
      </w:pPr>
      <w:r>
        <w:rPr>
          <w:rStyle w:val="Refdenotaderodap"/>
          <w:rFonts w:eastAsiaTheme="majorEastAsia"/>
        </w:rPr>
        <w:footnoteRef/>
      </w:r>
      <w:r>
        <w:t xml:space="preserve"> </w:t>
      </w:r>
      <w:r w:rsidRPr="003D6A60">
        <w:rPr>
          <w:rFonts w:asciiTheme="minorHAnsi" w:hAnsiTheme="minorHAnsi"/>
        </w:rPr>
        <w:t>Ver a propósito: https://www.alianzadelpastizal.org.br</w:t>
      </w:r>
      <w:r w:rsidRPr="00D039B5">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D2184"/>
    <w:rsid w:val="000E28BA"/>
    <w:rsid w:val="001114A3"/>
    <w:rsid w:val="00154C6D"/>
    <w:rsid w:val="001B79B8"/>
    <w:rsid w:val="001E5DCF"/>
    <w:rsid w:val="001E72C1"/>
    <w:rsid w:val="0021404E"/>
    <w:rsid w:val="00216EFF"/>
    <w:rsid w:val="00246812"/>
    <w:rsid w:val="0027518C"/>
    <w:rsid w:val="00294184"/>
    <w:rsid w:val="00295FBE"/>
    <w:rsid w:val="002B2423"/>
    <w:rsid w:val="002E5939"/>
    <w:rsid w:val="002E5DB6"/>
    <w:rsid w:val="00314B19"/>
    <w:rsid w:val="0032757F"/>
    <w:rsid w:val="00343171"/>
    <w:rsid w:val="00383B98"/>
    <w:rsid w:val="003D6A60"/>
    <w:rsid w:val="003F206F"/>
    <w:rsid w:val="00422AE7"/>
    <w:rsid w:val="00424C8E"/>
    <w:rsid w:val="004906DE"/>
    <w:rsid w:val="004C7ACA"/>
    <w:rsid w:val="004D040B"/>
    <w:rsid w:val="00507B98"/>
    <w:rsid w:val="00517687"/>
    <w:rsid w:val="0053021A"/>
    <w:rsid w:val="00565C15"/>
    <w:rsid w:val="00586516"/>
    <w:rsid w:val="005A31ED"/>
    <w:rsid w:val="005D4101"/>
    <w:rsid w:val="005D695A"/>
    <w:rsid w:val="00611471"/>
    <w:rsid w:val="00634370"/>
    <w:rsid w:val="006443A5"/>
    <w:rsid w:val="0065068B"/>
    <w:rsid w:val="006613B7"/>
    <w:rsid w:val="00667313"/>
    <w:rsid w:val="00680A10"/>
    <w:rsid w:val="00686B84"/>
    <w:rsid w:val="00692EEB"/>
    <w:rsid w:val="006B7AA4"/>
    <w:rsid w:val="006C54F4"/>
    <w:rsid w:val="00727F11"/>
    <w:rsid w:val="00733AFB"/>
    <w:rsid w:val="00757F24"/>
    <w:rsid w:val="0079516C"/>
    <w:rsid w:val="007D69BC"/>
    <w:rsid w:val="00812576"/>
    <w:rsid w:val="008456C3"/>
    <w:rsid w:val="008E48C0"/>
    <w:rsid w:val="008E7A76"/>
    <w:rsid w:val="008F5B9C"/>
    <w:rsid w:val="00935FC1"/>
    <w:rsid w:val="0093788C"/>
    <w:rsid w:val="00945FFD"/>
    <w:rsid w:val="009A7C23"/>
    <w:rsid w:val="009C24EF"/>
    <w:rsid w:val="009E0798"/>
    <w:rsid w:val="009F6156"/>
    <w:rsid w:val="00A513F2"/>
    <w:rsid w:val="00A629D3"/>
    <w:rsid w:val="00B22322"/>
    <w:rsid w:val="00B61734"/>
    <w:rsid w:val="00C52627"/>
    <w:rsid w:val="00C616FA"/>
    <w:rsid w:val="00CB032D"/>
    <w:rsid w:val="00CD3F64"/>
    <w:rsid w:val="00D3055F"/>
    <w:rsid w:val="00D31A9F"/>
    <w:rsid w:val="00D46408"/>
    <w:rsid w:val="00D524FD"/>
    <w:rsid w:val="00DD65F7"/>
    <w:rsid w:val="00E205FA"/>
    <w:rsid w:val="00E36063"/>
    <w:rsid w:val="00E9035C"/>
    <w:rsid w:val="00EC21C3"/>
    <w:rsid w:val="00EC2E48"/>
    <w:rsid w:val="00ED3299"/>
    <w:rsid w:val="00EE1465"/>
    <w:rsid w:val="00F21AE9"/>
    <w:rsid w:val="00F27704"/>
    <w:rsid w:val="00F447B5"/>
    <w:rsid w:val="00F567A9"/>
    <w:rsid w:val="00F94705"/>
    <w:rsid w:val="00FB0165"/>
    <w:rsid w:val="00FD63F8"/>
    <w:rsid w:val="00FE4A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154C6D"/>
    <w:rPr>
      <w:color w:val="467886" w:themeColor="hyperlink"/>
      <w:u w:val="single"/>
    </w:rPr>
  </w:style>
  <w:style w:type="table" w:customStyle="1" w:styleId="Tabelacomgrade1">
    <w:name w:val="Tabela com grade1"/>
    <w:basedOn w:val="Tabelanormal"/>
    <w:next w:val="Tabelacomgrade"/>
    <w:uiPriority w:val="39"/>
    <w:rsid w:val="001E5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1E5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21404E"/>
    <w:rPr>
      <w:rFonts w:ascii="Segoe UI" w:hAnsi="Segoe UI" w:cs="Segoe UI"/>
      <w:sz w:val="18"/>
      <w:szCs w:val="18"/>
    </w:rPr>
  </w:style>
  <w:style w:type="character" w:customStyle="1" w:styleId="TextodebaloChar">
    <w:name w:val="Texto de balão Char"/>
    <w:basedOn w:val="Fontepargpadro"/>
    <w:link w:val="Textodebalo"/>
    <w:uiPriority w:val="99"/>
    <w:semiHidden/>
    <w:rsid w:val="002140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maia.joelio@gmail.com" TargetMode="External"/><Relationship Id="rId2" Type="http://schemas.openxmlformats.org/officeDocument/2006/relationships/hyperlink" Target="mailto:velleda.nadia@mail.com" TargetMode="External"/><Relationship Id="rId1" Type="http://schemas.openxmlformats.org/officeDocument/2006/relationships/hyperlink" Target="mailto:saccodosanjos@mail.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100"/>
              <a:t>Efetivo de bovinos no</a:t>
            </a:r>
            <a:r>
              <a:rPr lang="pt-BR" sz="1100" baseline="0"/>
              <a:t> bioma Pampa</a:t>
            </a:r>
            <a:endParaRPr lang="pt-BR"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Plan1!$C$5</c:f>
              <c:strCache>
                <c:ptCount val="1"/>
                <c:pt idx="0">
                  <c:v>Efetivo</c:v>
                </c:pt>
              </c:strCache>
            </c:strRef>
          </c:tx>
          <c:spPr>
            <a:ln w="28575" cap="rnd">
              <a:solidFill>
                <a:schemeClr val="accent1"/>
              </a:solidFill>
              <a:round/>
            </a:ln>
            <a:effectLst/>
          </c:spPr>
          <c:marker>
            <c:symbol val="none"/>
          </c:marker>
          <c:cat>
            <c:numRef>
              <c:f>Plan1!$B$6:$B$18</c:f>
              <c:numCache>
                <c:formatCode>General</c:formatCode>
                <c:ptCount val="13"/>
                <c:pt idx="0">
                  <c:v>1974</c:v>
                </c:pt>
                <c:pt idx="1">
                  <c:v>1978</c:v>
                </c:pt>
                <c:pt idx="2">
                  <c:v>1982</c:v>
                </c:pt>
                <c:pt idx="3">
                  <c:v>1986</c:v>
                </c:pt>
                <c:pt idx="4">
                  <c:v>1990</c:v>
                </c:pt>
                <c:pt idx="5">
                  <c:v>1994</c:v>
                </c:pt>
                <c:pt idx="6">
                  <c:v>1998</c:v>
                </c:pt>
                <c:pt idx="7">
                  <c:v>2002</c:v>
                </c:pt>
                <c:pt idx="8">
                  <c:v>2006</c:v>
                </c:pt>
                <c:pt idx="9">
                  <c:v>2010</c:v>
                </c:pt>
                <c:pt idx="10">
                  <c:v>2014</c:v>
                </c:pt>
                <c:pt idx="11">
                  <c:v>2018</c:v>
                </c:pt>
                <c:pt idx="12">
                  <c:v>2022</c:v>
                </c:pt>
              </c:numCache>
            </c:numRef>
          </c:cat>
          <c:val>
            <c:numRef>
              <c:f>Plan1!$C$6:$C$18</c:f>
              <c:numCache>
                <c:formatCode>#,##0</c:formatCode>
                <c:ptCount val="13"/>
                <c:pt idx="0">
                  <c:v>10331915</c:v>
                </c:pt>
                <c:pt idx="1">
                  <c:v>9505800</c:v>
                </c:pt>
                <c:pt idx="2">
                  <c:v>11088333</c:v>
                </c:pt>
                <c:pt idx="3">
                  <c:v>10605785</c:v>
                </c:pt>
                <c:pt idx="4">
                  <c:v>10510343</c:v>
                </c:pt>
                <c:pt idx="5">
                  <c:v>11298113</c:v>
                </c:pt>
                <c:pt idx="6">
                  <c:v>10208356</c:v>
                </c:pt>
                <c:pt idx="7">
                  <c:v>10896268</c:v>
                </c:pt>
                <c:pt idx="8">
                  <c:v>10479430</c:v>
                </c:pt>
                <c:pt idx="9">
                  <c:v>10763736</c:v>
                </c:pt>
                <c:pt idx="10">
                  <c:v>10286991</c:v>
                </c:pt>
                <c:pt idx="11">
                  <c:v>9108967</c:v>
                </c:pt>
                <c:pt idx="12">
                  <c:v>8729101</c:v>
                </c:pt>
              </c:numCache>
            </c:numRef>
          </c:val>
          <c:smooth val="0"/>
          <c:extLst xmlns:c16r2="http://schemas.microsoft.com/office/drawing/2015/06/chart">
            <c:ext xmlns:c16="http://schemas.microsoft.com/office/drawing/2014/chart" uri="{C3380CC4-5D6E-409C-BE32-E72D297353CC}">
              <c16:uniqueId val="{00000000-B58D-43A4-B147-E70450DC4350}"/>
            </c:ext>
          </c:extLst>
        </c:ser>
        <c:dLbls>
          <c:showLegendKey val="0"/>
          <c:showVal val="0"/>
          <c:showCatName val="0"/>
          <c:showSerName val="0"/>
          <c:showPercent val="0"/>
          <c:showBubbleSize val="0"/>
        </c:dLbls>
        <c:smooth val="0"/>
        <c:axId val="491387960"/>
        <c:axId val="491388352"/>
      </c:lineChart>
      <c:catAx>
        <c:axId val="4913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1388352"/>
        <c:crosses val="autoZero"/>
        <c:auto val="1"/>
        <c:lblAlgn val="ctr"/>
        <c:lblOffset val="100"/>
        <c:noMultiLvlLbl val="0"/>
      </c:catAx>
      <c:valAx>
        <c:axId val="49138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91387960"/>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C13EA-9C6E-4AA0-B4C6-86B7DE92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15</Pages>
  <Words>4146</Words>
  <Characters>22394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Nádia</cp:lastModifiedBy>
  <cp:revision>43</cp:revision>
  <dcterms:created xsi:type="dcterms:W3CDTF">2025-02-20T16:32:00Z</dcterms:created>
  <dcterms:modified xsi:type="dcterms:W3CDTF">2025-04-13T18:14:00Z</dcterms:modified>
</cp:coreProperties>
</file>