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305E5" w14:textId="0DBF22FC" w:rsidR="00E7394C" w:rsidRDefault="00842317" w:rsidP="00E124B8">
      <w:pPr>
        <w:tabs>
          <w:tab w:val="left" w:pos="2480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EVOLUÇÃO TEMPORAL DO ESTADO NUTRICIONAL DE GESTANTES DO ESTADO DE ALAGOAS, BRASIL </w:t>
      </w: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4A70F4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0B669B3" w14:textId="27B5C685" w:rsidR="008D0C63" w:rsidRPr="00230055" w:rsidRDefault="008D0C63" w:rsidP="008D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gestação acontecem diversas modificações no organismo da mulher, e, dentre estas se destacam as do estado nutricional e da ingestão dietética. O objetivo deste estudo é </w:t>
      </w:r>
      <w:r w:rsidRPr="00230055">
        <w:rPr>
          <w:rFonts w:ascii="Times New Roman" w:hAnsi="Times New Roman" w:cs="Times New Roman"/>
          <w:sz w:val="24"/>
          <w:szCs w:val="24"/>
        </w:rPr>
        <w:t xml:space="preserve">investigar a evolução da taxa de prevalência e a tendência temporal do estado nutricional de gestantes do estado de Alagoas, Brasil. Trata-se de um estudo do tipo retrospectivo, ecológico de série temporal com amostra composta por gestantes. A fonte de dados foi o Sistema de Vigilância Alimentar e Nutricional (SISVAN). Foram coletados dados referentes ao índice de massa corporal (IMC), classificando as gestantes em baixo peso, eurofia, sobrepeso e obesidade. Na análise de dados utilizou-se o método de regressão de </w:t>
      </w:r>
      <w:proofErr w:type="spellStart"/>
      <w:r w:rsidRPr="00230055">
        <w:rPr>
          <w:rFonts w:ascii="Times New Roman" w:hAnsi="Times New Roman" w:cs="Times New Roman"/>
          <w:i/>
          <w:sz w:val="24"/>
          <w:szCs w:val="24"/>
        </w:rPr>
        <w:t>Prais-Winsten</w:t>
      </w:r>
      <w:proofErr w:type="spellEnd"/>
      <w:r w:rsidRPr="00230055">
        <w:rPr>
          <w:rFonts w:ascii="Times New Roman" w:hAnsi="Times New Roman" w:cs="Times New Roman"/>
          <w:sz w:val="24"/>
          <w:szCs w:val="24"/>
        </w:rPr>
        <w:t xml:space="preserve">, o IMC foi considerado como variável dependente. Utilizou-se o </w:t>
      </w:r>
      <w:r w:rsidRPr="002300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Microsoft Excel for Windows®</w:t>
      </w:r>
      <w:r w:rsidRPr="0023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 análises e adotou-se um nível de significância de 5% (p&lt;0,05). Foram analisadas ​​</w:t>
      </w:r>
      <w:r w:rsidRPr="00230055">
        <w:rPr>
          <w:rFonts w:ascii="Times New Roman" w:hAnsi="Times New Roman" w:cs="Times New Roman"/>
          <w:sz w:val="24"/>
          <w:szCs w:val="24"/>
        </w:rPr>
        <w:t xml:space="preserve"> 22825 gestantes</w:t>
      </w:r>
      <w:r w:rsidRPr="0023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dos quais </w:t>
      </w:r>
      <w:r w:rsidRPr="00230055">
        <w:rPr>
          <w:rFonts w:ascii="Times New Roman" w:hAnsi="Times New Roman" w:cs="Times New Roman"/>
          <w:sz w:val="24"/>
          <w:szCs w:val="24"/>
        </w:rPr>
        <w:t>23,1% apresentaram baixo peso gestacional e 39,4% excesso de peso. As tendências de baixo peso gestacional e eutrofia encontram-se em declínio, o que com relação ao baixo peso significou uma redução anual de –5,46% (R</w:t>
      </w:r>
      <w:r w:rsidRPr="002300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0055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230055">
        <w:rPr>
          <w:rFonts w:ascii="Times New Roman" w:hAnsi="Times New Roman" w:cs="Times New Roman"/>
          <w:sz w:val="24"/>
          <w:szCs w:val="24"/>
        </w:rPr>
        <w:t>= 0,58; p- valor=0,004).  De modo contrário a tendência do excesso de peso apresentou-se crescente com aumento anual de 13,64%</w:t>
      </w:r>
      <w:r w:rsidR="004C2B80">
        <w:rPr>
          <w:rFonts w:ascii="Times New Roman" w:hAnsi="Times New Roman" w:cs="Times New Roman"/>
          <w:sz w:val="24"/>
          <w:szCs w:val="24"/>
        </w:rPr>
        <w:t xml:space="preserve"> </w:t>
      </w:r>
      <w:r w:rsidRPr="00230055">
        <w:rPr>
          <w:rFonts w:ascii="Times New Roman" w:hAnsi="Times New Roman" w:cs="Times New Roman"/>
          <w:sz w:val="24"/>
          <w:szCs w:val="24"/>
        </w:rPr>
        <w:t>(R</w:t>
      </w:r>
      <w:r w:rsidRPr="002300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0055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230055">
        <w:rPr>
          <w:rFonts w:ascii="Times New Roman" w:hAnsi="Times New Roman" w:cs="Times New Roman"/>
          <w:sz w:val="24"/>
          <w:szCs w:val="24"/>
        </w:rPr>
        <w:t> =0,98; p-valor &lt; 0,001).  Conclui-se que é elevada e crescente a frequência de excesso de peso nas gestantes do estado de Alagoas que são atendidas na atenção primária me saúde, fato este que pode contribuir para o aumento de intercorrências durante a gestação com consequências que podem durar para o resto da vida.</w:t>
      </w:r>
    </w:p>
    <w:p w14:paraId="1677922C" w14:textId="77777777" w:rsidR="0008271B" w:rsidRDefault="0008271B" w:rsidP="004C2B80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9E157" w14:textId="1419E9F0" w:rsidR="0008271B" w:rsidRDefault="00E7394C" w:rsidP="00E124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08271B" w:rsidRPr="00A812EA">
        <w:rPr>
          <w:rFonts w:ascii="Times New Roman" w:hAnsi="Times New Roman" w:cs="Times New Roman"/>
          <w:sz w:val="24"/>
          <w:szCs w:val="24"/>
        </w:rPr>
        <w:t xml:space="preserve">Levantamentos </w:t>
      </w:r>
      <w:r w:rsidR="0008271B">
        <w:rPr>
          <w:rFonts w:ascii="Times New Roman" w:hAnsi="Times New Roman" w:cs="Times New Roman"/>
          <w:sz w:val="24"/>
          <w:szCs w:val="24"/>
        </w:rPr>
        <w:t>N</w:t>
      </w:r>
      <w:r w:rsidR="0008271B" w:rsidRPr="00A812EA">
        <w:rPr>
          <w:rFonts w:ascii="Times New Roman" w:hAnsi="Times New Roman" w:cs="Times New Roman"/>
          <w:sz w:val="24"/>
          <w:szCs w:val="24"/>
        </w:rPr>
        <w:t>utricionais</w:t>
      </w:r>
      <w:r w:rsidR="0008271B">
        <w:rPr>
          <w:rFonts w:ascii="Times New Roman" w:hAnsi="Times New Roman" w:cs="Times New Roman"/>
          <w:sz w:val="24"/>
          <w:szCs w:val="24"/>
        </w:rPr>
        <w:t xml:space="preserve">, </w:t>
      </w:r>
      <w:r w:rsidR="0008271B" w:rsidRPr="00A812EA">
        <w:rPr>
          <w:rFonts w:ascii="Times New Roman" w:hAnsi="Times New Roman" w:cs="Times New Roman"/>
          <w:sz w:val="24"/>
          <w:szCs w:val="24"/>
        </w:rPr>
        <w:t xml:space="preserve">Nutrição na </w:t>
      </w:r>
      <w:r w:rsidR="0008271B">
        <w:rPr>
          <w:rFonts w:ascii="Times New Roman" w:hAnsi="Times New Roman" w:cs="Times New Roman"/>
          <w:sz w:val="24"/>
          <w:szCs w:val="24"/>
        </w:rPr>
        <w:t>G</w:t>
      </w:r>
      <w:r w:rsidR="0008271B" w:rsidRPr="00A812EA">
        <w:rPr>
          <w:rFonts w:ascii="Times New Roman" w:hAnsi="Times New Roman" w:cs="Times New Roman"/>
          <w:sz w:val="24"/>
          <w:szCs w:val="24"/>
        </w:rPr>
        <w:t>ravidez</w:t>
      </w:r>
      <w:r w:rsidR="00B25C6D">
        <w:rPr>
          <w:rFonts w:ascii="Times New Roman" w:hAnsi="Times New Roman" w:cs="Times New Roman"/>
          <w:sz w:val="24"/>
          <w:szCs w:val="24"/>
        </w:rPr>
        <w:t>,</w:t>
      </w:r>
      <w:r w:rsidR="0008271B">
        <w:rPr>
          <w:rFonts w:ascii="Times New Roman" w:hAnsi="Times New Roman" w:cs="Times New Roman"/>
          <w:sz w:val="24"/>
          <w:szCs w:val="24"/>
        </w:rPr>
        <w:t xml:space="preserve"> </w:t>
      </w:r>
      <w:r w:rsidR="0008271B" w:rsidRPr="00A812EA">
        <w:rPr>
          <w:rFonts w:ascii="Times New Roman" w:hAnsi="Times New Roman" w:cs="Times New Roman"/>
          <w:sz w:val="24"/>
          <w:szCs w:val="24"/>
        </w:rPr>
        <w:t>Vigilância Nutricional</w:t>
      </w:r>
      <w:r w:rsidR="0008271B">
        <w:rPr>
          <w:rFonts w:ascii="Times New Roman" w:hAnsi="Times New Roman" w:cs="Times New Roman"/>
          <w:sz w:val="24"/>
          <w:szCs w:val="24"/>
        </w:rPr>
        <w:t>.</w:t>
      </w:r>
    </w:p>
    <w:p w14:paraId="4B489CEF" w14:textId="47CD4937" w:rsidR="0008271B" w:rsidRDefault="0008271B" w:rsidP="00082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E9614" w14:textId="77777777" w:rsidR="004C2B80" w:rsidRDefault="004C2B80" w:rsidP="00082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4C2B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8D68EA4" w14:textId="77777777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A gestação é um período em que acontecem diversas modificações no organismo de ordem física, fisiológica e psicológica, tais alterações são notadas especialmente  no que tange  ao  estado nutricional  e  a  ingestão  dietética, pois  estes aspectos  são importantes para o adequado  desenvolvimento do feto e o desfecho da gestação; porém vale ressaltar que a evolução deste período se dá, na maioria das vezes, sem intercorrências (ACCIOLY, SAUNDERS, LACERDA, 2009; REINHARD, WIDHT,2009; BRASIL, 2012).</w:t>
      </w:r>
    </w:p>
    <w:p w14:paraId="2A2AEA51" w14:textId="77777777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4E9">
        <w:rPr>
          <w:rFonts w:ascii="Times New Roman" w:hAnsi="Times New Roman" w:cs="Times New Roman"/>
          <w:sz w:val="24"/>
          <w:szCs w:val="24"/>
        </w:rPr>
        <w:t xml:space="preserve">É visto que  o  estado  nutricional  </w:t>
      </w:r>
      <w:proofErr w:type="spellStart"/>
      <w:r w:rsidRPr="00D104E9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D104E9">
        <w:rPr>
          <w:rFonts w:ascii="Times New Roman" w:hAnsi="Times New Roman" w:cs="Times New Roman"/>
          <w:sz w:val="24"/>
          <w:szCs w:val="24"/>
        </w:rPr>
        <w:t xml:space="preserve">-gestacional   e   gestacional   são   indicadores importantes de avaliação da  evolução  da  gravidez,  uma vez que  o desenvolvimento    fetal    depende    do ambiente   uterino,   e este estará  adequado se houver um a ingestão satisfatória de nutrientes pela gestante;  por esse motivo    o   acompanhamento   pré-natal da mulher,   incluindo uma     avaliação nutricional  adequada  e uma boa orientação  dietética, é </w:t>
      </w:r>
      <w:r w:rsidRPr="00D104E9">
        <w:rPr>
          <w:rFonts w:ascii="Times New Roman" w:hAnsi="Times New Roman" w:cs="Times New Roman"/>
          <w:sz w:val="24"/>
          <w:szCs w:val="24"/>
        </w:rPr>
        <w:lastRenderedPageBreak/>
        <w:t xml:space="preserve">imprescindível (CUNHA et al., 2016). 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 De acordo com a Organização Mundial de Saúde (OMS), o acompanhamento do ganho ponderal durante toda a gestação é um método de baixo custo, porém de grande utilidade para o estabelecimento de medidas para adequadas intervenções nutricionais com o intuito de reduzir os riscos de intercorrências maternos e fetais (WHO, 1995).</w:t>
      </w:r>
    </w:p>
    <w:p w14:paraId="4B6BFCDE" w14:textId="77777777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4E9">
        <w:rPr>
          <w:rFonts w:ascii="Times New Roman" w:hAnsi="Times New Roman" w:cs="Times New Roman"/>
          <w:sz w:val="24"/>
          <w:szCs w:val="24"/>
        </w:rPr>
        <w:t>O excesso de peso durante o período gestacional pode conduzir para o desenvolvimento de doenças crônicas não transmissíveis (DCNT) e ainda estas doenças podem perdurar por toda vida (MANCINI et al., 2015). Vemos que no Brasil a obesidade e o sobrepeso estão em constante crescimento, os dados  da pesquisa Vigilância de Fatores de Risco e Proteção para Doenças Crônicas por Inquérito Telefônico (VIGITEL) mostraram que frequência de excesso de peso entre as mulheres no ano de 2019 foi de 53,9%, e que as frequências são mais expressivas principalmente nas mulheres com faixa etária &gt; que 25 anos de idade em ocorre uma variação de 49,3% a 59,3% nas frequências de excesso de peso (BRASIL, 2020).</w:t>
      </w:r>
    </w:p>
    <w:p w14:paraId="08D0A984" w14:textId="77777777" w:rsidR="00761514" w:rsidRPr="00D104E9" w:rsidRDefault="00761514" w:rsidP="0076151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4E9">
        <w:rPr>
          <w:rFonts w:ascii="Times New Roman" w:hAnsi="Times New Roman" w:cs="Times New Roman"/>
          <w:sz w:val="24"/>
          <w:szCs w:val="24"/>
        </w:rPr>
        <w:t>Nesta perspectiva o desenvolvimento de pesquisas para avaliar a evolução do estado nutricional de gestantes são de fundamental importância. Assim, o objetivo deste estudo foi o de investigar a evolução da taxa de prevalência e a tendência temporal do estado nutricional de gestantes do estado de Alagoas, Brasil, no período de 2009 a 2019, tendo como hipótese que existe uma tendência crescente da evolução do excesso de ao longo dos anos corroborando com a transição nutricional pela qual o mundo está passando.</w:t>
      </w:r>
    </w:p>
    <w:p w14:paraId="2305E1C2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Default="00E7394C" w:rsidP="00E124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4C94BF2A" w14:textId="7FCD33A8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4E9">
        <w:rPr>
          <w:rFonts w:ascii="Times New Roman" w:eastAsia="Arial" w:hAnsi="Times New Roman" w:cs="Times New Roman"/>
          <w:sz w:val="24"/>
          <w:szCs w:val="24"/>
        </w:rPr>
        <w:t>Trata-se</w:t>
      </w:r>
      <w:r w:rsidRPr="00D104E9">
        <w:rPr>
          <w:rFonts w:ascii="Times New Roman" w:hAnsi="Times New Roman" w:cs="Times New Roman"/>
          <w:sz w:val="24"/>
          <w:szCs w:val="24"/>
        </w:rPr>
        <w:t xml:space="preserve"> de um estudo do tipo retrospectivo,</w:t>
      </w:r>
      <w:r w:rsidR="00B25C6D">
        <w:rPr>
          <w:rFonts w:ascii="Times New Roman" w:hAnsi="Times New Roman" w:cs="Times New Roman"/>
          <w:sz w:val="24"/>
          <w:szCs w:val="24"/>
        </w:rPr>
        <w:t xml:space="preserve"> observacional, descritivo,</w:t>
      </w:r>
      <w:bookmarkStart w:id="0" w:name="_GoBack"/>
      <w:bookmarkEnd w:id="0"/>
      <w:r w:rsidRPr="00D104E9">
        <w:rPr>
          <w:rFonts w:ascii="Times New Roman" w:hAnsi="Times New Roman" w:cs="Times New Roman"/>
          <w:sz w:val="24"/>
          <w:szCs w:val="24"/>
        </w:rPr>
        <w:t xml:space="preserve"> </w:t>
      </w:r>
      <w:r w:rsidR="00B25C6D">
        <w:rPr>
          <w:rFonts w:ascii="Times New Roman" w:hAnsi="Times New Roman" w:cs="Times New Roman"/>
          <w:sz w:val="24"/>
          <w:szCs w:val="24"/>
        </w:rPr>
        <w:t>ecológico de série temporal</w:t>
      </w:r>
      <w:r w:rsidRPr="00D104E9">
        <w:rPr>
          <w:rFonts w:ascii="Times New Roman" w:hAnsi="Times New Roman" w:cs="Times New Roman"/>
          <w:sz w:val="24"/>
          <w:szCs w:val="24"/>
        </w:rPr>
        <w:t xml:space="preserve"> com uso de dados secundários. A amostra foi composta por gestantes (adultas e adolescentes) avaliadas no período de 2009 e 2019, residentes no estado de Alagoas. </w:t>
      </w:r>
    </w:p>
    <w:p w14:paraId="017687F3" w14:textId="4548EC9C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4E9">
        <w:rPr>
          <w:rFonts w:ascii="Times New Roman" w:eastAsia="Arial" w:hAnsi="Times New Roman" w:cs="Times New Roman"/>
          <w:sz w:val="24"/>
          <w:szCs w:val="24"/>
        </w:rPr>
        <w:t>Os dados da pesquisa foram obtidos por meio da plataforma do SISVAN Web. A coleta de dados ocorreu no mês de Setembro de 2020. Os dados consolidados gerados pelo sistema estão disponíveis para consulta livre via web, pelo seguinte endereço eletrônico:</w:t>
      </w:r>
      <w:r w:rsidR="004C2B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1FA2">
        <w:rPr>
          <w:rFonts w:ascii="Times New Roman" w:eastAsia="Arial" w:hAnsi="Times New Roman" w:cs="Times New Roman"/>
          <w:sz w:val="24"/>
          <w:szCs w:val="24"/>
        </w:rPr>
        <w:t>&lt;</w:t>
      </w:r>
      <w:r w:rsidRPr="00D104E9">
        <w:rPr>
          <w:rFonts w:ascii="Times New Roman" w:hAnsi="Times New Roman" w:cs="Times New Roman"/>
          <w:sz w:val="24"/>
          <w:szCs w:val="24"/>
        </w:rPr>
        <w:t>http://sisaps.saude.gov.br/sisvan/relatoriopublico/index</w:t>
      </w:r>
      <w:r w:rsidR="00151FA2">
        <w:rPr>
          <w:rFonts w:ascii="Times New Roman" w:hAnsi="Times New Roman" w:cs="Times New Roman"/>
          <w:sz w:val="24"/>
          <w:szCs w:val="24"/>
        </w:rPr>
        <w:t>&gt;</w:t>
      </w:r>
      <w:r w:rsidR="00151FA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D104E9">
        <w:rPr>
          <w:rFonts w:ascii="Times New Roman" w:eastAsia="Arial" w:hAnsi="Times New Roman" w:cs="Times New Roman"/>
          <w:sz w:val="24"/>
          <w:szCs w:val="24"/>
        </w:rPr>
        <w:t>Todos os dados do referido sistema são provenientes de unidades básicas de saúde do estado de Alagoas.</w:t>
      </w:r>
    </w:p>
    <w:p w14:paraId="3B4A3903" w14:textId="77777777" w:rsidR="00761514" w:rsidRPr="00D104E9" w:rsidRDefault="00761514" w:rsidP="00761514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4E9">
        <w:rPr>
          <w:rFonts w:ascii="Times New Roman" w:eastAsia="Arial" w:hAnsi="Times New Roman" w:cs="Times New Roman"/>
          <w:sz w:val="24"/>
          <w:szCs w:val="24"/>
        </w:rPr>
        <w:t xml:space="preserve">Foram coletados dados referentes índice de Massa Corporal (IMC) gestacional, dado fornecido e preconizado pelo Ministério da Saúde, calculado considerando-se a razão peso </w:t>
      </w:r>
      <w:r w:rsidRPr="00D104E9">
        <w:rPr>
          <w:rFonts w:ascii="Times New Roman" w:eastAsia="Arial" w:hAnsi="Times New Roman" w:cs="Times New Roman"/>
          <w:sz w:val="24"/>
          <w:szCs w:val="24"/>
        </w:rPr>
        <w:lastRenderedPageBreak/>
        <w:t>(kg) e o quadrado da altura (m</w:t>
      </w:r>
      <w:r w:rsidRPr="00D104E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Pr="00D104E9">
        <w:rPr>
          <w:rFonts w:ascii="Times New Roman" w:eastAsia="Arial" w:hAnsi="Times New Roman" w:cs="Times New Roman"/>
          <w:sz w:val="24"/>
          <w:szCs w:val="24"/>
        </w:rPr>
        <w:t>). A classificação do estado nutricional da gestante foi realizada segundo o Índice de Massa Corporal (IMC) por semana gestacional seguindo o que é preconizado pelo Ministério da Saúde (BRASIL, 2011), foi acrescida ainda a categoria excesso de peso que representa a soma dos dados de sobrepeso e obesidade.</w:t>
      </w:r>
    </w:p>
    <w:p w14:paraId="297A09B9" w14:textId="1145F99C" w:rsidR="00761514" w:rsidRPr="00D104E9" w:rsidRDefault="00761514" w:rsidP="0076151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análises dos dados foram realizadas no </w:t>
      </w:r>
      <w:r w:rsidRPr="00D104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Microsoft Excel for Windows®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Foi realizada análise descritiva por meio da apresentação das frequências absolutas e percentuais da variável em estudo. </w:t>
      </w:r>
      <w:r w:rsidRPr="00D104E9">
        <w:rPr>
          <w:rFonts w:ascii="Times New Roman" w:hAnsi="Times New Roman" w:cs="Times New Roman"/>
          <w:sz w:val="24"/>
          <w:szCs w:val="24"/>
        </w:rPr>
        <w:t xml:space="preserve">Na análise da tendência empregou-se o método de regressão de </w:t>
      </w:r>
      <w:proofErr w:type="spellStart"/>
      <w:r w:rsidRPr="00D104E9">
        <w:rPr>
          <w:rFonts w:ascii="Times New Roman" w:hAnsi="Times New Roman" w:cs="Times New Roman"/>
          <w:i/>
          <w:sz w:val="24"/>
          <w:szCs w:val="24"/>
        </w:rPr>
        <w:t>Prais-Winsten</w:t>
      </w:r>
      <w:proofErr w:type="spellEnd"/>
      <w:r w:rsidRPr="00D104E9">
        <w:rPr>
          <w:rFonts w:ascii="Times New Roman" w:hAnsi="Times New Roman" w:cs="Times New Roman"/>
          <w:sz w:val="24"/>
          <w:szCs w:val="24"/>
        </w:rPr>
        <w:t>, cada categoria de IMC gestacional foi considerada como variável ​​dependente (y) e os anos avaliados como variável independente (x). Assim foi usado o modelo de regressão polinomial linear (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y= β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x + β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). Classificou-se como estacionária a tendência cuja a probabilidade foi maior que 0,05 (p&gt;0,05), crescente a que β 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1 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mostrou-se positivo e decrescente a tendência em que β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1 </w:t>
      </w:r>
      <w:r w:rsidRPr="00D104E9">
        <w:rPr>
          <w:rFonts w:ascii="Times New Roman" w:hAnsi="Times New Roman" w:cs="Times New Roman"/>
          <w:sz w:val="24"/>
          <w:szCs w:val="24"/>
          <w:shd w:val="clear" w:color="auto" w:fill="FFFFFF"/>
        </w:rPr>
        <w:t>teve valor negativo. Adotou-se um nível de significância de 5% (p&lt;0,05).</w:t>
      </w:r>
    </w:p>
    <w:p w14:paraId="49D3D726" w14:textId="2DD72986" w:rsidR="00761514" w:rsidRDefault="00761514" w:rsidP="00761514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4E9">
        <w:rPr>
          <w:rFonts w:ascii="Times New Roman" w:eastAsia="Arial" w:hAnsi="Times New Roman" w:cs="Times New Roman"/>
          <w:sz w:val="24"/>
          <w:szCs w:val="24"/>
        </w:rPr>
        <w:t>Esta pesquisa utilizou dados de domínio público, que  correspondem ao banco de dados do sistema SISVAN W</w:t>
      </w:r>
      <w:r w:rsidR="00762DDC">
        <w:rPr>
          <w:rFonts w:ascii="Times New Roman" w:eastAsia="Arial" w:hAnsi="Times New Roman" w:cs="Times New Roman"/>
          <w:sz w:val="24"/>
          <w:szCs w:val="24"/>
        </w:rPr>
        <w:t>eb</w:t>
      </w:r>
      <w:r w:rsidRPr="00D104E9">
        <w:rPr>
          <w:rFonts w:ascii="Times New Roman" w:eastAsia="Arial" w:hAnsi="Times New Roman" w:cs="Times New Roman"/>
          <w:sz w:val="24"/>
          <w:szCs w:val="24"/>
        </w:rPr>
        <w:t>, informações estas disponíveis para livre consulta na forma de relatórios públicos sem identificação de sujeitos, sendo assim dispensada de apreciação em comitê de ética em pesquisa, em conformidade com a Resolução 466, de 12 de dezembro de 2012 do Conselho Nacional de Saúde.</w:t>
      </w:r>
    </w:p>
    <w:p w14:paraId="69D8E7AF" w14:textId="77777777" w:rsidR="006E134C" w:rsidRDefault="006E134C" w:rsidP="00761514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343BCA2" w14:textId="77777777" w:rsidR="006E134C" w:rsidRPr="004A70F4" w:rsidRDefault="006E134C" w:rsidP="00E124B8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48A86592" w14:textId="04BF9301" w:rsidR="006E134C" w:rsidRDefault="006E134C" w:rsidP="006E1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4E9">
        <w:rPr>
          <w:rFonts w:ascii="Times New Roman" w:hAnsi="Times New Roman" w:cs="Times New Roman"/>
          <w:sz w:val="24"/>
          <w:szCs w:val="24"/>
        </w:rPr>
        <w:t xml:space="preserve">Foram </w:t>
      </w:r>
      <w:r w:rsidR="004C2B80" w:rsidRPr="00D104E9">
        <w:rPr>
          <w:rFonts w:ascii="Times New Roman" w:hAnsi="Times New Roman" w:cs="Times New Roman"/>
          <w:sz w:val="24"/>
          <w:szCs w:val="24"/>
        </w:rPr>
        <w:t>analisadas</w:t>
      </w:r>
      <w:r w:rsidRPr="00D104E9">
        <w:rPr>
          <w:rFonts w:ascii="Times New Roman" w:hAnsi="Times New Roman" w:cs="Times New Roman"/>
          <w:sz w:val="24"/>
          <w:szCs w:val="24"/>
        </w:rPr>
        <w:t xml:space="preserve"> 22825 gestantes residentes no estado de Alagoas entre 2009 e 2019, deste total 23,1% apresentaram baixo peso gestacional e 39,4% excesso de peso (quantidade total de sobrepeso e obesidade juntos). Por meio da Tabela 1 observa-se a distribuição das categorias de IMC ao longo dos anos em que houve uma redução das gestantes com baixo peso (25,0% em 2009 para 22,4% em 2019) em que a maior taxa foi encontrada no ano de 2011 (29,0%, n=110). É possível verificar ainda um crescimento das taxas de sobrepeso (21,9%, n= 153 em 2009 para  24,3%, n= 1113 em 2019) e obesidade (7,3%, n= 51 em 2009 para 17,9%, n= 817 em 2019) sendo este aumento nítido pela análise das taxas de excesso de peso (29,3%, n=</w:t>
      </w:r>
      <w:r w:rsidR="004C2B80">
        <w:rPr>
          <w:rFonts w:ascii="Times New Roman" w:hAnsi="Times New Roman" w:cs="Times New Roman"/>
          <w:sz w:val="24"/>
          <w:szCs w:val="24"/>
        </w:rPr>
        <w:t xml:space="preserve"> </w:t>
      </w:r>
      <w:r w:rsidRPr="00D104E9">
        <w:rPr>
          <w:rFonts w:ascii="Times New Roman" w:hAnsi="Times New Roman" w:cs="Times New Roman"/>
          <w:sz w:val="24"/>
          <w:szCs w:val="24"/>
        </w:rPr>
        <w:t xml:space="preserve">204 em 2009 para 42,2%, n= 1930 em 2019). </w:t>
      </w:r>
      <w:r w:rsidR="005A670F">
        <w:rPr>
          <w:rFonts w:ascii="Times New Roman" w:hAnsi="Times New Roman" w:cs="Times New Roman"/>
          <w:sz w:val="24"/>
          <w:szCs w:val="24"/>
        </w:rPr>
        <w:t>Tais resultados corroboram com</w:t>
      </w:r>
      <w:r w:rsidR="00277861">
        <w:rPr>
          <w:rFonts w:ascii="Times New Roman" w:hAnsi="Times New Roman" w:cs="Times New Roman"/>
          <w:sz w:val="24"/>
          <w:szCs w:val="24"/>
        </w:rPr>
        <w:t xml:space="preserve"> o cenário mundial que evidência o aumento do excesso de peso afetando mais de 2 bilhões de pessoas mundialmente (</w:t>
      </w:r>
      <w:r w:rsidR="00277861" w:rsidRPr="00277861">
        <w:rPr>
          <w:rFonts w:ascii="Times New Roman" w:hAnsi="Times New Roman" w:cs="Times New Roman"/>
        </w:rPr>
        <w:t>SWINBURN</w:t>
      </w:r>
      <w:r w:rsidR="00277861">
        <w:rPr>
          <w:rFonts w:ascii="Times New Roman" w:hAnsi="Times New Roman" w:cs="Times New Roman"/>
        </w:rPr>
        <w:t xml:space="preserve"> et al., 2019)</w:t>
      </w:r>
      <w:r w:rsidR="00277861">
        <w:rPr>
          <w:rFonts w:ascii="Times New Roman" w:hAnsi="Times New Roman" w:cs="Times New Roman"/>
          <w:sz w:val="24"/>
          <w:szCs w:val="24"/>
        </w:rPr>
        <w:t>.</w:t>
      </w:r>
    </w:p>
    <w:p w14:paraId="7F4D8041" w14:textId="77777777" w:rsidR="006E134C" w:rsidRDefault="006E134C" w:rsidP="006E1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9503F5" w14:textId="77777777" w:rsidR="00277861" w:rsidRDefault="00277861" w:rsidP="006E1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3E453B" w14:textId="4704AB18" w:rsidR="006E134C" w:rsidRDefault="006E134C" w:rsidP="004C2B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0F1F">
        <w:rPr>
          <w:rFonts w:ascii="Times New Roman" w:hAnsi="Times New Roman" w:cs="Times New Roman"/>
          <w:b/>
          <w:sz w:val="20"/>
          <w:szCs w:val="20"/>
        </w:rPr>
        <w:t>Tabela 1-</w:t>
      </w:r>
      <w:r w:rsidRPr="00900F1F">
        <w:rPr>
          <w:rFonts w:ascii="Times New Roman" w:hAnsi="Times New Roman" w:cs="Times New Roman"/>
          <w:sz w:val="20"/>
          <w:szCs w:val="20"/>
        </w:rPr>
        <w:t xml:space="preserve"> Distribuição percentual do índice de massa corporal (IMC), segundo o ano de estudo, de gestantes do estado de Alagoas no período de 2009 a 2019. </w:t>
      </w:r>
    </w:p>
    <w:tbl>
      <w:tblPr>
        <w:tblStyle w:val="SombreamentoClaro"/>
        <w:tblpPr w:leftFromText="141" w:rightFromText="141" w:vertAnchor="page" w:horzAnchor="margin" w:tblpY="3167"/>
        <w:tblW w:w="5000" w:type="pct"/>
        <w:tblLook w:val="04A0" w:firstRow="1" w:lastRow="0" w:firstColumn="1" w:lastColumn="0" w:noHBand="0" w:noVBand="1"/>
      </w:tblPr>
      <w:tblGrid>
        <w:gridCol w:w="703"/>
        <w:gridCol w:w="819"/>
        <w:gridCol w:w="693"/>
        <w:gridCol w:w="860"/>
        <w:gridCol w:w="695"/>
        <w:gridCol w:w="823"/>
        <w:gridCol w:w="695"/>
        <w:gridCol w:w="823"/>
        <w:gridCol w:w="695"/>
        <w:gridCol w:w="862"/>
        <w:gridCol w:w="856"/>
        <w:gridCol w:w="763"/>
      </w:tblGrid>
      <w:tr w:rsidR="00151FA2" w:rsidRPr="00941853" w14:paraId="278A4181" w14:textId="77777777" w:rsidTr="0015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5805AB57" w14:textId="77777777" w:rsidR="00151FA2" w:rsidRPr="00941853" w:rsidRDefault="00151FA2" w:rsidP="00151FA2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Ano</w:t>
            </w:r>
          </w:p>
        </w:tc>
        <w:tc>
          <w:tcPr>
            <w:tcW w:w="814" w:type="pct"/>
            <w:gridSpan w:val="2"/>
            <w:shd w:val="clear" w:color="auto" w:fill="auto"/>
            <w:hideMark/>
          </w:tcPr>
          <w:p w14:paraId="6C8B067D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Baixo peso</w:t>
            </w:r>
          </w:p>
        </w:tc>
        <w:tc>
          <w:tcPr>
            <w:tcW w:w="837" w:type="pct"/>
            <w:gridSpan w:val="2"/>
            <w:shd w:val="clear" w:color="auto" w:fill="auto"/>
            <w:hideMark/>
          </w:tcPr>
          <w:p w14:paraId="2C84DA1B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proofErr w:type="spellStart"/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Eutrófico</w:t>
            </w:r>
            <w:proofErr w:type="spellEnd"/>
          </w:p>
        </w:tc>
        <w:tc>
          <w:tcPr>
            <w:tcW w:w="817" w:type="pct"/>
            <w:gridSpan w:val="2"/>
            <w:shd w:val="clear" w:color="auto" w:fill="auto"/>
            <w:hideMark/>
          </w:tcPr>
          <w:p w14:paraId="7FAFF879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Sobrepeso</w:t>
            </w:r>
          </w:p>
        </w:tc>
        <w:tc>
          <w:tcPr>
            <w:tcW w:w="817" w:type="pct"/>
            <w:gridSpan w:val="2"/>
            <w:shd w:val="clear" w:color="auto" w:fill="auto"/>
            <w:hideMark/>
          </w:tcPr>
          <w:p w14:paraId="1CDC42C7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Obesidade</w:t>
            </w:r>
          </w:p>
        </w:tc>
        <w:tc>
          <w:tcPr>
            <w:tcW w:w="925" w:type="pct"/>
            <w:gridSpan w:val="2"/>
            <w:shd w:val="clear" w:color="auto" w:fill="auto"/>
            <w:hideMark/>
          </w:tcPr>
          <w:p w14:paraId="48FA99D8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Excesso de peso*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0ECCD3B" w14:textId="77777777" w:rsidR="00151FA2" w:rsidRPr="00941853" w:rsidRDefault="00151FA2" w:rsidP="00151F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151FA2" w:rsidRPr="00941853" w14:paraId="4E2AE670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FFA902" w14:textId="77777777" w:rsidR="00151FA2" w:rsidRPr="00941853" w:rsidRDefault="00151FA2" w:rsidP="00151FA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03A5F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B01DDE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1AAA81C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AFFEEB3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775092C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FED93A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8470F01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9176F9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32169C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E389F3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3011E3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</w:p>
        </w:tc>
      </w:tr>
      <w:tr w:rsidR="00151FA2" w:rsidRPr="00941853" w14:paraId="63618A4A" w14:textId="77777777" w:rsidTr="00151FA2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ED740A2" w14:textId="77777777" w:rsidR="00151FA2" w:rsidRPr="00941853" w:rsidRDefault="00151FA2" w:rsidP="00151FA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02D780E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2079405D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14:paraId="66A701D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</w:tcPr>
          <w:p w14:paraId="2FFE3540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14:paraId="464DAF2B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</w:tcPr>
          <w:p w14:paraId="2D45D313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14:paraId="6ABF3A3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</w:tcPr>
          <w:p w14:paraId="45287624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3C492516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auto"/>
          </w:tcPr>
          <w:p w14:paraId="5D2086F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14:paraId="43E5D678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51FA2" w:rsidRPr="00941853" w14:paraId="1CB600DF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30032AC6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2009</w:t>
            </w:r>
          </w:p>
        </w:tc>
        <w:tc>
          <w:tcPr>
            <w:tcW w:w="441" w:type="pct"/>
            <w:shd w:val="clear" w:color="auto" w:fill="auto"/>
            <w:hideMark/>
          </w:tcPr>
          <w:p w14:paraId="048CCB5F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174</w:t>
            </w:r>
          </w:p>
        </w:tc>
        <w:tc>
          <w:tcPr>
            <w:tcW w:w="373" w:type="pct"/>
            <w:shd w:val="clear" w:color="auto" w:fill="auto"/>
            <w:hideMark/>
          </w:tcPr>
          <w:p w14:paraId="28629C08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25,0</w:t>
            </w:r>
          </w:p>
        </w:tc>
        <w:tc>
          <w:tcPr>
            <w:tcW w:w="463" w:type="pct"/>
            <w:shd w:val="clear" w:color="auto" w:fill="auto"/>
            <w:hideMark/>
          </w:tcPr>
          <w:p w14:paraId="6A08B24D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319</w:t>
            </w:r>
          </w:p>
        </w:tc>
        <w:tc>
          <w:tcPr>
            <w:tcW w:w="374" w:type="pct"/>
            <w:shd w:val="clear" w:color="auto" w:fill="auto"/>
            <w:hideMark/>
          </w:tcPr>
          <w:p w14:paraId="6AAD142E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45,8</w:t>
            </w:r>
          </w:p>
        </w:tc>
        <w:tc>
          <w:tcPr>
            <w:tcW w:w="443" w:type="pct"/>
            <w:shd w:val="clear" w:color="auto" w:fill="auto"/>
            <w:hideMark/>
          </w:tcPr>
          <w:p w14:paraId="0CEC0B3F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</w:t>
            </w:r>
          </w:p>
        </w:tc>
        <w:tc>
          <w:tcPr>
            <w:tcW w:w="374" w:type="pct"/>
            <w:shd w:val="clear" w:color="auto" w:fill="auto"/>
            <w:hideMark/>
          </w:tcPr>
          <w:p w14:paraId="56781DE4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21,9</w:t>
            </w:r>
          </w:p>
        </w:tc>
        <w:tc>
          <w:tcPr>
            <w:tcW w:w="443" w:type="pct"/>
            <w:shd w:val="clear" w:color="auto" w:fill="auto"/>
            <w:hideMark/>
          </w:tcPr>
          <w:p w14:paraId="591FA1E6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374" w:type="pct"/>
            <w:shd w:val="clear" w:color="auto" w:fill="auto"/>
            <w:hideMark/>
          </w:tcPr>
          <w:p w14:paraId="2D92C7E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7,3</w:t>
            </w:r>
          </w:p>
        </w:tc>
        <w:tc>
          <w:tcPr>
            <w:tcW w:w="464" w:type="pct"/>
            <w:shd w:val="clear" w:color="auto" w:fill="auto"/>
            <w:hideMark/>
          </w:tcPr>
          <w:p w14:paraId="730AB59D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204</w:t>
            </w:r>
          </w:p>
        </w:tc>
        <w:tc>
          <w:tcPr>
            <w:tcW w:w="461" w:type="pct"/>
            <w:shd w:val="clear" w:color="auto" w:fill="auto"/>
            <w:hideMark/>
          </w:tcPr>
          <w:p w14:paraId="7CE62EAF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29,3</w:t>
            </w:r>
          </w:p>
        </w:tc>
        <w:tc>
          <w:tcPr>
            <w:tcW w:w="411" w:type="pct"/>
            <w:shd w:val="clear" w:color="auto" w:fill="auto"/>
            <w:hideMark/>
          </w:tcPr>
          <w:p w14:paraId="2599EA1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697</w:t>
            </w:r>
          </w:p>
        </w:tc>
      </w:tr>
      <w:tr w:rsidR="00151FA2" w:rsidRPr="00941853" w14:paraId="7CC03C08" w14:textId="77777777" w:rsidTr="00151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0D4C2B4E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2010</w:t>
            </w:r>
          </w:p>
        </w:tc>
        <w:tc>
          <w:tcPr>
            <w:tcW w:w="441" w:type="pct"/>
            <w:shd w:val="clear" w:color="auto" w:fill="auto"/>
            <w:hideMark/>
          </w:tcPr>
          <w:p w14:paraId="3E25FCF8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149</w:t>
            </w:r>
          </w:p>
        </w:tc>
        <w:tc>
          <w:tcPr>
            <w:tcW w:w="373" w:type="pct"/>
            <w:shd w:val="clear" w:color="auto" w:fill="auto"/>
            <w:hideMark/>
          </w:tcPr>
          <w:p w14:paraId="5266815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27,0</w:t>
            </w:r>
          </w:p>
        </w:tc>
        <w:tc>
          <w:tcPr>
            <w:tcW w:w="463" w:type="pct"/>
            <w:shd w:val="clear" w:color="auto" w:fill="auto"/>
            <w:hideMark/>
          </w:tcPr>
          <w:p w14:paraId="417C0EB7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232</w:t>
            </w:r>
          </w:p>
        </w:tc>
        <w:tc>
          <w:tcPr>
            <w:tcW w:w="374" w:type="pct"/>
            <w:shd w:val="clear" w:color="auto" w:fill="auto"/>
            <w:hideMark/>
          </w:tcPr>
          <w:p w14:paraId="4F4D59D9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42,1</w:t>
            </w:r>
          </w:p>
        </w:tc>
        <w:tc>
          <w:tcPr>
            <w:tcW w:w="443" w:type="pct"/>
            <w:shd w:val="clear" w:color="auto" w:fill="auto"/>
            <w:hideMark/>
          </w:tcPr>
          <w:p w14:paraId="657CABB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124</w:t>
            </w:r>
          </w:p>
        </w:tc>
        <w:tc>
          <w:tcPr>
            <w:tcW w:w="374" w:type="pct"/>
            <w:shd w:val="clear" w:color="auto" w:fill="auto"/>
            <w:hideMark/>
          </w:tcPr>
          <w:p w14:paraId="7AD4ECDD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22,5</w:t>
            </w:r>
          </w:p>
        </w:tc>
        <w:tc>
          <w:tcPr>
            <w:tcW w:w="443" w:type="pct"/>
            <w:shd w:val="clear" w:color="auto" w:fill="auto"/>
            <w:hideMark/>
          </w:tcPr>
          <w:p w14:paraId="558FC28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374" w:type="pct"/>
            <w:shd w:val="clear" w:color="auto" w:fill="auto"/>
            <w:hideMark/>
          </w:tcPr>
          <w:p w14:paraId="0725E88C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8,3</w:t>
            </w:r>
          </w:p>
        </w:tc>
        <w:tc>
          <w:tcPr>
            <w:tcW w:w="464" w:type="pct"/>
            <w:shd w:val="clear" w:color="auto" w:fill="auto"/>
            <w:hideMark/>
          </w:tcPr>
          <w:p w14:paraId="5456E4E0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170</w:t>
            </w:r>
          </w:p>
        </w:tc>
        <w:tc>
          <w:tcPr>
            <w:tcW w:w="461" w:type="pct"/>
            <w:shd w:val="clear" w:color="auto" w:fill="auto"/>
            <w:hideMark/>
          </w:tcPr>
          <w:p w14:paraId="2497510D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30,9</w:t>
            </w:r>
          </w:p>
        </w:tc>
        <w:tc>
          <w:tcPr>
            <w:tcW w:w="411" w:type="pct"/>
            <w:shd w:val="clear" w:color="auto" w:fill="auto"/>
            <w:hideMark/>
          </w:tcPr>
          <w:p w14:paraId="5C0D13DF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551</w:t>
            </w:r>
          </w:p>
        </w:tc>
      </w:tr>
      <w:tr w:rsidR="00151FA2" w:rsidRPr="00941853" w14:paraId="572765DD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75CBFFEE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2011</w:t>
            </w:r>
          </w:p>
        </w:tc>
        <w:tc>
          <w:tcPr>
            <w:tcW w:w="441" w:type="pct"/>
            <w:shd w:val="clear" w:color="auto" w:fill="auto"/>
            <w:hideMark/>
          </w:tcPr>
          <w:p w14:paraId="2E264593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</w:t>
            </w:r>
          </w:p>
        </w:tc>
        <w:tc>
          <w:tcPr>
            <w:tcW w:w="373" w:type="pct"/>
            <w:shd w:val="clear" w:color="auto" w:fill="auto"/>
            <w:hideMark/>
          </w:tcPr>
          <w:p w14:paraId="0D47D27A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29,0</w:t>
            </w:r>
          </w:p>
        </w:tc>
        <w:tc>
          <w:tcPr>
            <w:tcW w:w="463" w:type="pct"/>
            <w:shd w:val="clear" w:color="auto" w:fill="auto"/>
            <w:hideMark/>
          </w:tcPr>
          <w:p w14:paraId="17623D08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154</w:t>
            </w:r>
          </w:p>
        </w:tc>
        <w:tc>
          <w:tcPr>
            <w:tcW w:w="374" w:type="pct"/>
            <w:shd w:val="clear" w:color="auto" w:fill="auto"/>
            <w:hideMark/>
          </w:tcPr>
          <w:p w14:paraId="2ECC23EA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40,5</w:t>
            </w:r>
          </w:p>
        </w:tc>
        <w:tc>
          <w:tcPr>
            <w:tcW w:w="443" w:type="pct"/>
            <w:shd w:val="clear" w:color="auto" w:fill="auto"/>
            <w:hideMark/>
          </w:tcPr>
          <w:p w14:paraId="688A90D6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374" w:type="pct"/>
            <w:shd w:val="clear" w:color="auto" w:fill="auto"/>
            <w:hideMark/>
          </w:tcPr>
          <w:p w14:paraId="26E350DD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19,7</w:t>
            </w:r>
          </w:p>
        </w:tc>
        <w:tc>
          <w:tcPr>
            <w:tcW w:w="443" w:type="pct"/>
            <w:shd w:val="clear" w:color="auto" w:fill="auto"/>
            <w:hideMark/>
          </w:tcPr>
          <w:p w14:paraId="79A1F01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374" w:type="pct"/>
            <w:shd w:val="clear" w:color="auto" w:fill="auto"/>
            <w:hideMark/>
          </w:tcPr>
          <w:p w14:paraId="5483CECF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10,8</w:t>
            </w:r>
          </w:p>
        </w:tc>
        <w:tc>
          <w:tcPr>
            <w:tcW w:w="464" w:type="pct"/>
            <w:shd w:val="clear" w:color="auto" w:fill="auto"/>
            <w:hideMark/>
          </w:tcPr>
          <w:p w14:paraId="5FA1C72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116</w:t>
            </w:r>
          </w:p>
        </w:tc>
        <w:tc>
          <w:tcPr>
            <w:tcW w:w="461" w:type="pct"/>
            <w:shd w:val="clear" w:color="auto" w:fill="auto"/>
            <w:hideMark/>
          </w:tcPr>
          <w:p w14:paraId="5C62B30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30,5</w:t>
            </w:r>
          </w:p>
        </w:tc>
        <w:tc>
          <w:tcPr>
            <w:tcW w:w="411" w:type="pct"/>
            <w:shd w:val="clear" w:color="auto" w:fill="auto"/>
            <w:hideMark/>
          </w:tcPr>
          <w:p w14:paraId="517A2D44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380</w:t>
            </w:r>
          </w:p>
        </w:tc>
      </w:tr>
      <w:tr w:rsidR="00151FA2" w:rsidRPr="00941853" w14:paraId="0E262B01" w14:textId="77777777" w:rsidTr="00151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1D7BB929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2012</w:t>
            </w:r>
          </w:p>
        </w:tc>
        <w:tc>
          <w:tcPr>
            <w:tcW w:w="441" w:type="pct"/>
            <w:shd w:val="clear" w:color="auto" w:fill="auto"/>
            <w:hideMark/>
          </w:tcPr>
          <w:p w14:paraId="2E7B269F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390</w:t>
            </w:r>
          </w:p>
        </w:tc>
        <w:tc>
          <w:tcPr>
            <w:tcW w:w="373" w:type="pct"/>
            <w:shd w:val="clear" w:color="auto" w:fill="auto"/>
            <w:hideMark/>
          </w:tcPr>
          <w:p w14:paraId="45857B9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23,2</w:t>
            </w:r>
          </w:p>
        </w:tc>
        <w:tc>
          <w:tcPr>
            <w:tcW w:w="463" w:type="pct"/>
            <w:shd w:val="clear" w:color="auto" w:fill="auto"/>
            <w:hideMark/>
          </w:tcPr>
          <w:p w14:paraId="2CE3949E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660</w:t>
            </w:r>
          </w:p>
        </w:tc>
        <w:tc>
          <w:tcPr>
            <w:tcW w:w="374" w:type="pct"/>
            <w:shd w:val="clear" w:color="auto" w:fill="auto"/>
            <w:hideMark/>
          </w:tcPr>
          <w:p w14:paraId="31C94AC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39,3</w:t>
            </w:r>
          </w:p>
        </w:tc>
        <w:tc>
          <w:tcPr>
            <w:tcW w:w="443" w:type="pct"/>
            <w:shd w:val="clear" w:color="auto" w:fill="auto"/>
            <w:hideMark/>
          </w:tcPr>
          <w:p w14:paraId="1246F59C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404</w:t>
            </w:r>
          </w:p>
        </w:tc>
        <w:tc>
          <w:tcPr>
            <w:tcW w:w="374" w:type="pct"/>
            <w:shd w:val="clear" w:color="auto" w:fill="auto"/>
            <w:hideMark/>
          </w:tcPr>
          <w:p w14:paraId="47492D6D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24,0</w:t>
            </w:r>
          </w:p>
        </w:tc>
        <w:tc>
          <w:tcPr>
            <w:tcW w:w="443" w:type="pct"/>
            <w:shd w:val="clear" w:color="auto" w:fill="auto"/>
            <w:hideMark/>
          </w:tcPr>
          <w:p w14:paraId="5D607A93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224</w:t>
            </w:r>
          </w:p>
        </w:tc>
        <w:tc>
          <w:tcPr>
            <w:tcW w:w="374" w:type="pct"/>
            <w:shd w:val="clear" w:color="auto" w:fill="auto"/>
            <w:hideMark/>
          </w:tcPr>
          <w:p w14:paraId="594B3A49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13,3</w:t>
            </w:r>
          </w:p>
        </w:tc>
        <w:tc>
          <w:tcPr>
            <w:tcW w:w="464" w:type="pct"/>
            <w:shd w:val="clear" w:color="auto" w:fill="auto"/>
            <w:hideMark/>
          </w:tcPr>
          <w:p w14:paraId="3607D70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</w:t>
            </w:r>
          </w:p>
        </w:tc>
        <w:tc>
          <w:tcPr>
            <w:tcW w:w="461" w:type="pct"/>
            <w:shd w:val="clear" w:color="auto" w:fill="auto"/>
            <w:hideMark/>
          </w:tcPr>
          <w:p w14:paraId="65D17046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37,4</w:t>
            </w:r>
          </w:p>
        </w:tc>
        <w:tc>
          <w:tcPr>
            <w:tcW w:w="411" w:type="pct"/>
            <w:shd w:val="clear" w:color="auto" w:fill="auto"/>
            <w:hideMark/>
          </w:tcPr>
          <w:p w14:paraId="2ECD1EDF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1.678</w:t>
            </w:r>
          </w:p>
        </w:tc>
      </w:tr>
      <w:tr w:rsidR="00151FA2" w:rsidRPr="00941853" w14:paraId="4ED5C28F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694C7E9B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2013</w:t>
            </w:r>
          </w:p>
        </w:tc>
        <w:tc>
          <w:tcPr>
            <w:tcW w:w="441" w:type="pct"/>
            <w:shd w:val="clear" w:color="auto" w:fill="auto"/>
            <w:hideMark/>
          </w:tcPr>
          <w:p w14:paraId="36A1F7D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429</w:t>
            </w:r>
          </w:p>
        </w:tc>
        <w:tc>
          <w:tcPr>
            <w:tcW w:w="373" w:type="pct"/>
            <w:shd w:val="clear" w:color="auto" w:fill="auto"/>
            <w:hideMark/>
          </w:tcPr>
          <w:p w14:paraId="7EAD0243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25,1</w:t>
            </w:r>
          </w:p>
        </w:tc>
        <w:tc>
          <w:tcPr>
            <w:tcW w:w="463" w:type="pct"/>
            <w:shd w:val="clear" w:color="auto" w:fill="auto"/>
            <w:hideMark/>
          </w:tcPr>
          <w:p w14:paraId="4E3CAF69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666</w:t>
            </w:r>
          </w:p>
        </w:tc>
        <w:tc>
          <w:tcPr>
            <w:tcW w:w="374" w:type="pct"/>
            <w:shd w:val="clear" w:color="auto" w:fill="auto"/>
            <w:hideMark/>
          </w:tcPr>
          <w:p w14:paraId="09223EB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38,9</w:t>
            </w:r>
          </w:p>
        </w:tc>
        <w:tc>
          <w:tcPr>
            <w:tcW w:w="443" w:type="pct"/>
            <w:shd w:val="clear" w:color="auto" w:fill="auto"/>
            <w:hideMark/>
          </w:tcPr>
          <w:p w14:paraId="01CCB7B8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378</w:t>
            </w:r>
          </w:p>
        </w:tc>
        <w:tc>
          <w:tcPr>
            <w:tcW w:w="374" w:type="pct"/>
            <w:shd w:val="clear" w:color="auto" w:fill="auto"/>
            <w:hideMark/>
          </w:tcPr>
          <w:p w14:paraId="25B0BB0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22,1</w:t>
            </w:r>
          </w:p>
        </w:tc>
        <w:tc>
          <w:tcPr>
            <w:tcW w:w="443" w:type="pct"/>
            <w:shd w:val="clear" w:color="auto" w:fill="auto"/>
            <w:hideMark/>
          </w:tcPr>
          <w:p w14:paraId="0803C35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238</w:t>
            </w:r>
          </w:p>
        </w:tc>
        <w:tc>
          <w:tcPr>
            <w:tcW w:w="374" w:type="pct"/>
            <w:shd w:val="clear" w:color="auto" w:fill="auto"/>
            <w:hideMark/>
          </w:tcPr>
          <w:p w14:paraId="1369387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13,9</w:t>
            </w:r>
          </w:p>
        </w:tc>
        <w:tc>
          <w:tcPr>
            <w:tcW w:w="464" w:type="pct"/>
            <w:shd w:val="clear" w:color="auto" w:fill="auto"/>
            <w:hideMark/>
          </w:tcPr>
          <w:p w14:paraId="46A7397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616</w:t>
            </w:r>
          </w:p>
        </w:tc>
        <w:tc>
          <w:tcPr>
            <w:tcW w:w="461" w:type="pct"/>
            <w:shd w:val="clear" w:color="auto" w:fill="auto"/>
            <w:hideMark/>
          </w:tcPr>
          <w:p w14:paraId="1854721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36,0</w:t>
            </w:r>
          </w:p>
        </w:tc>
        <w:tc>
          <w:tcPr>
            <w:tcW w:w="411" w:type="pct"/>
            <w:shd w:val="clear" w:color="auto" w:fill="auto"/>
            <w:hideMark/>
          </w:tcPr>
          <w:p w14:paraId="7AA96006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1.711</w:t>
            </w:r>
          </w:p>
        </w:tc>
      </w:tr>
      <w:tr w:rsidR="00151FA2" w:rsidRPr="00941853" w14:paraId="42E56476" w14:textId="77777777" w:rsidTr="00151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7995D5DE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2014</w:t>
            </w:r>
          </w:p>
        </w:tc>
        <w:tc>
          <w:tcPr>
            <w:tcW w:w="441" w:type="pct"/>
            <w:shd w:val="clear" w:color="auto" w:fill="auto"/>
            <w:hideMark/>
          </w:tcPr>
          <w:p w14:paraId="043A9166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398</w:t>
            </w:r>
          </w:p>
        </w:tc>
        <w:tc>
          <w:tcPr>
            <w:tcW w:w="373" w:type="pct"/>
            <w:shd w:val="clear" w:color="auto" w:fill="auto"/>
            <w:hideMark/>
          </w:tcPr>
          <w:p w14:paraId="55E8B15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26,9</w:t>
            </w:r>
          </w:p>
        </w:tc>
        <w:tc>
          <w:tcPr>
            <w:tcW w:w="463" w:type="pct"/>
            <w:shd w:val="clear" w:color="auto" w:fill="auto"/>
            <w:hideMark/>
          </w:tcPr>
          <w:p w14:paraId="5AE78AA0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557</w:t>
            </w:r>
          </w:p>
        </w:tc>
        <w:tc>
          <w:tcPr>
            <w:tcW w:w="374" w:type="pct"/>
            <w:shd w:val="clear" w:color="auto" w:fill="auto"/>
            <w:hideMark/>
          </w:tcPr>
          <w:p w14:paraId="7FBE1548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37,7</w:t>
            </w:r>
          </w:p>
        </w:tc>
        <w:tc>
          <w:tcPr>
            <w:tcW w:w="443" w:type="pct"/>
            <w:shd w:val="clear" w:color="auto" w:fill="auto"/>
            <w:hideMark/>
          </w:tcPr>
          <w:p w14:paraId="3A436058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320</w:t>
            </w:r>
          </w:p>
        </w:tc>
        <w:tc>
          <w:tcPr>
            <w:tcW w:w="374" w:type="pct"/>
            <w:shd w:val="clear" w:color="auto" w:fill="auto"/>
            <w:hideMark/>
          </w:tcPr>
          <w:p w14:paraId="45D3ED1B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21,6</w:t>
            </w:r>
          </w:p>
        </w:tc>
        <w:tc>
          <w:tcPr>
            <w:tcW w:w="443" w:type="pct"/>
            <w:shd w:val="clear" w:color="auto" w:fill="auto"/>
            <w:hideMark/>
          </w:tcPr>
          <w:p w14:paraId="6E3BF62E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203</w:t>
            </w:r>
          </w:p>
        </w:tc>
        <w:tc>
          <w:tcPr>
            <w:tcW w:w="374" w:type="pct"/>
            <w:shd w:val="clear" w:color="auto" w:fill="auto"/>
            <w:hideMark/>
          </w:tcPr>
          <w:p w14:paraId="0D602698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13,7</w:t>
            </w:r>
          </w:p>
        </w:tc>
        <w:tc>
          <w:tcPr>
            <w:tcW w:w="464" w:type="pct"/>
            <w:shd w:val="clear" w:color="auto" w:fill="auto"/>
            <w:hideMark/>
          </w:tcPr>
          <w:p w14:paraId="3CB54DA4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523</w:t>
            </w:r>
          </w:p>
        </w:tc>
        <w:tc>
          <w:tcPr>
            <w:tcW w:w="461" w:type="pct"/>
            <w:shd w:val="clear" w:color="auto" w:fill="auto"/>
            <w:hideMark/>
          </w:tcPr>
          <w:p w14:paraId="12705DCE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35,4</w:t>
            </w:r>
          </w:p>
        </w:tc>
        <w:tc>
          <w:tcPr>
            <w:tcW w:w="411" w:type="pct"/>
            <w:shd w:val="clear" w:color="auto" w:fill="auto"/>
            <w:hideMark/>
          </w:tcPr>
          <w:p w14:paraId="7BCB5769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1.478</w:t>
            </w:r>
          </w:p>
        </w:tc>
      </w:tr>
      <w:tr w:rsidR="00151FA2" w:rsidRPr="00941853" w14:paraId="70BB2FAF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754BCC85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2015</w:t>
            </w:r>
          </w:p>
        </w:tc>
        <w:tc>
          <w:tcPr>
            <w:tcW w:w="441" w:type="pct"/>
            <w:shd w:val="clear" w:color="auto" w:fill="auto"/>
            <w:hideMark/>
          </w:tcPr>
          <w:p w14:paraId="77F1F95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237</w:t>
            </w:r>
          </w:p>
        </w:tc>
        <w:tc>
          <w:tcPr>
            <w:tcW w:w="373" w:type="pct"/>
            <w:shd w:val="clear" w:color="auto" w:fill="auto"/>
            <w:hideMark/>
          </w:tcPr>
          <w:p w14:paraId="18F81FC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21,6</w:t>
            </w:r>
          </w:p>
        </w:tc>
        <w:tc>
          <w:tcPr>
            <w:tcW w:w="463" w:type="pct"/>
            <w:shd w:val="clear" w:color="auto" w:fill="auto"/>
            <w:hideMark/>
          </w:tcPr>
          <w:p w14:paraId="01E70728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429</w:t>
            </w:r>
          </w:p>
        </w:tc>
        <w:tc>
          <w:tcPr>
            <w:tcW w:w="374" w:type="pct"/>
            <w:shd w:val="clear" w:color="auto" w:fill="auto"/>
            <w:hideMark/>
          </w:tcPr>
          <w:p w14:paraId="170A4D6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39,1</w:t>
            </w:r>
          </w:p>
        </w:tc>
        <w:tc>
          <w:tcPr>
            <w:tcW w:w="443" w:type="pct"/>
            <w:shd w:val="clear" w:color="auto" w:fill="auto"/>
            <w:hideMark/>
          </w:tcPr>
          <w:p w14:paraId="0148CB1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374" w:type="pct"/>
            <w:shd w:val="clear" w:color="auto" w:fill="auto"/>
            <w:hideMark/>
          </w:tcPr>
          <w:p w14:paraId="60A39A8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25,1</w:t>
            </w:r>
          </w:p>
        </w:tc>
        <w:tc>
          <w:tcPr>
            <w:tcW w:w="443" w:type="pct"/>
            <w:shd w:val="clear" w:color="auto" w:fill="auto"/>
            <w:hideMark/>
          </w:tcPr>
          <w:p w14:paraId="7F6B115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157</w:t>
            </w:r>
          </w:p>
        </w:tc>
        <w:tc>
          <w:tcPr>
            <w:tcW w:w="374" w:type="pct"/>
            <w:shd w:val="clear" w:color="auto" w:fill="auto"/>
            <w:hideMark/>
          </w:tcPr>
          <w:p w14:paraId="4985310A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14,3</w:t>
            </w:r>
          </w:p>
        </w:tc>
        <w:tc>
          <w:tcPr>
            <w:tcW w:w="464" w:type="pct"/>
            <w:shd w:val="clear" w:color="auto" w:fill="auto"/>
            <w:hideMark/>
          </w:tcPr>
          <w:p w14:paraId="15B71EFB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432</w:t>
            </w:r>
          </w:p>
        </w:tc>
        <w:tc>
          <w:tcPr>
            <w:tcW w:w="461" w:type="pct"/>
            <w:shd w:val="clear" w:color="auto" w:fill="auto"/>
            <w:hideMark/>
          </w:tcPr>
          <w:p w14:paraId="2D2C4E9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39,3</w:t>
            </w:r>
          </w:p>
        </w:tc>
        <w:tc>
          <w:tcPr>
            <w:tcW w:w="411" w:type="pct"/>
            <w:shd w:val="clear" w:color="auto" w:fill="auto"/>
            <w:hideMark/>
          </w:tcPr>
          <w:p w14:paraId="17CEB9D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1.098</w:t>
            </w:r>
          </w:p>
        </w:tc>
      </w:tr>
      <w:tr w:rsidR="00151FA2" w:rsidRPr="00941853" w14:paraId="5B50354D" w14:textId="77777777" w:rsidTr="00151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58214595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2016</w:t>
            </w:r>
          </w:p>
        </w:tc>
        <w:tc>
          <w:tcPr>
            <w:tcW w:w="441" w:type="pct"/>
            <w:shd w:val="clear" w:color="auto" w:fill="auto"/>
            <w:hideMark/>
          </w:tcPr>
          <w:p w14:paraId="0F774C7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865</w:t>
            </w:r>
          </w:p>
        </w:tc>
        <w:tc>
          <w:tcPr>
            <w:tcW w:w="373" w:type="pct"/>
            <w:shd w:val="clear" w:color="auto" w:fill="auto"/>
            <w:hideMark/>
          </w:tcPr>
          <w:p w14:paraId="6EBCEA7C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23,5</w:t>
            </w:r>
          </w:p>
        </w:tc>
        <w:tc>
          <w:tcPr>
            <w:tcW w:w="463" w:type="pct"/>
            <w:shd w:val="clear" w:color="auto" w:fill="auto"/>
            <w:hideMark/>
          </w:tcPr>
          <w:p w14:paraId="607C89E9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1.366</w:t>
            </w:r>
          </w:p>
        </w:tc>
        <w:tc>
          <w:tcPr>
            <w:tcW w:w="374" w:type="pct"/>
            <w:shd w:val="clear" w:color="auto" w:fill="auto"/>
            <w:hideMark/>
          </w:tcPr>
          <w:p w14:paraId="24C39B0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37,2</w:t>
            </w:r>
          </w:p>
        </w:tc>
        <w:tc>
          <w:tcPr>
            <w:tcW w:w="443" w:type="pct"/>
            <w:shd w:val="clear" w:color="auto" w:fill="auto"/>
            <w:hideMark/>
          </w:tcPr>
          <w:p w14:paraId="7F1ECD74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859</w:t>
            </w:r>
          </w:p>
        </w:tc>
        <w:tc>
          <w:tcPr>
            <w:tcW w:w="374" w:type="pct"/>
            <w:shd w:val="clear" w:color="auto" w:fill="auto"/>
            <w:hideMark/>
          </w:tcPr>
          <w:p w14:paraId="5BBCD5A6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23,4</w:t>
            </w:r>
          </w:p>
        </w:tc>
        <w:tc>
          <w:tcPr>
            <w:tcW w:w="443" w:type="pct"/>
            <w:shd w:val="clear" w:color="auto" w:fill="auto"/>
            <w:hideMark/>
          </w:tcPr>
          <w:p w14:paraId="765D1A8B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586</w:t>
            </w:r>
          </w:p>
        </w:tc>
        <w:tc>
          <w:tcPr>
            <w:tcW w:w="374" w:type="pct"/>
            <w:shd w:val="clear" w:color="auto" w:fill="auto"/>
            <w:hideMark/>
          </w:tcPr>
          <w:p w14:paraId="6CD02D2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15,9</w:t>
            </w:r>
          </w:p>
        </w:tc>
        <w:tc>
          <w:tcPr>
            <w:tcW w:w="464" w:type="pct"/>
            <w:shd w:val="clear" w:color="auto" w:fill="auto"/>
            <w:hideMark/>
          </w:tcPr>
          <w:p w14:paraId="0960DEF4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1445</w:t>
            </w:r>
          </w:p>
        </w:tc>
        <w:tc>
          <w:tcPr>
            <w:tcW w:w="461" w:type="pct"/>
            <w:shd w:val="clear" w:color="auto" w:fill="auto"/>
            <w:hideMark/>
          </w:tcPr>
          <w:p w14:paraId="6455E984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39,3</w:t>
            </w:r>
          </w:p>
        </w:tc>
        <w:tc>
          <w:tcPr>
            <w:tcW w:w="411" w:type="pct"/>
            <w:shd w:val="clear" w:color="auto" w:fill="auto"/>
            <w:hideMark/>
          </w:tcPr>
          <w:p w14:paraId="4EEC539B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3.676</w:t>
            </w:r>
          </w:p>
        </w:tc>
      </w:tr>
      <w:tr w:rsidR="00151FA2" w:rsidRPr="00941853" w14:paraId="31E7E7A3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2F19BC91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2017</w:t>
            </w:r>
          </w:p>
        </w:tc>
        <w:tc>
          <w:tcPr>
            <w:tcW w:w="441" w:type="pct"/>
            <w:shd w:val="clear" w:color="auto" w:fill="auto"/>
            <w:hideMark/>
          </w:tcPr>
          <w:p w14:paraId="0963C83E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618</w:t>
            </w:r>
          </w:p>
        </w:tc>
        <w:tc>
          <w:tcPr>
            <w:tcW w:w="373" w:type="pct"/>
            <w:shd w:val="clear" w:color="auto" w:fill="auto"/>
            <w:hideMark/>
          </w:tcPr>
          <w:p w14:paraId="5405A38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22,5</w:t>
            </w:r>
          </w:p>
        </w:tc>
        <w:tc>
          <w:tcPr>
            <w:tcW w:w="463" w:type="pct"/>
            <w:shd w:val="clear" w:color="auto" w:fill="auto"/>
            <w:hideMark/>
          </w:tcPr>
          <w:p w14:paraId="775F43F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989</w:t>
            </w:r>
          </w:p>
        </w:tc>
        <w:tc>
          <w:tcPr>
            <w:tcW w:w="374" w:type="pct"/>
            <w:shd w:val="clear" w:color="auto" w:fill="auto"/>
            <w:hideMark/>
          </w:tcPr>
          <w:p w14:paraId="1CBE3C7C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36,1</w:t>
            </w:r>
          </w:p>
        </w:tc>
        <w:tc>
          <w:tcPr>
            <w:tcW w:w="443" w:type="pct"/>
            <w:shd w:val="clear" w:color="auto" w:fill="auto"/>
            <w:hideMark/>
          </w:tcPr>
          <w:p w14:paraId="492322E9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665</w:t>
            </w:r>
          </w:p>
        </w:tc>
        <w:tc>
          <w:tcPr>
            <w:tcW w:w="374" w:type="pct"/>
            <w:shd w:val="clear" w:color="auto" w:fill="auto"/>
            <w:hideMark/>
          </w:tcPr>
          <w:p w14:paraId="63FF1185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24,2</w:t>
            </w:r>
          </w:p>
        </w:tc>
        <w:tc>
          <w:tcPr>
            <w:tcW w:w="443" w:type="pct"/>
            <w:shd w:val="clear" w:color="auto" w:fill="auto"/>
            <w:hideMark/>
          </w:tcPr>
          <w:p w14:paraId="4B500317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470</w:t>
            </w:r>
          </w:p>
        </w:tc>
        <w:tc>
          <w:tcPr>
            <w:tcW w:w="374" w:type="pct"/>
            <w:shd w:val="clear" w:color="auto" w:fill="auto"/>
            <w:hideMark/>
          </w:tcPr>
          <w:p w14:paraId="57937926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17,1</w:t>
            </w:r>
          </w:p>
        </w:tc>
        <w:tc>
          <w:tcPr>
            <w:tcW w:w="464" w:type="pct"/>
            <w:shd w:val="clear" w:color="auto" w:fill="auto"/>
            <w:hideMark/>
          </w:tcPr>
          <w:p w14:paraId="4F9B80F1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1135</w:t>
            </w:r>
          </w:p>
        </w:tc>
        <w:tc>
          <w:tcPr>
            <w:tcW w:w="461" w:type="pct"/>
            <w:shd w:val="clear" w:color="auto" w:fill="auto"/>
            <w:hideMark/>
          </w:tcPr>
          <w:p w14:paraId="1BAE8B19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41,4</w:t>
            </w:r>
          </w:p>
        </w:tc>
        <w:tc>
          <w:tcPr>
            <w:tcW w:w="411" w:type="pct"/>
            <w:shd w:val="clear" w:color="auto" w:fill="auto"/>
            <w:hideMark/>
          </w:tcPr>
          <w:p w14:paraId="121B06FE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2.742</w:t>
            </w:r>
          </w:p>
        </w:tc>
      </w:tr>
      <w:tr w:rsidR="00151FA2" w:rsidRPr="00941853" w14:paraId="227DA995" w14:textId="77777777" w:rsidTr="00151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28AE15E2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2018</w:t>
            </w:r>
          </w:p>
        </w:tc>
        <w:tc>
          <w:tcPr>
            <w:tcW w:w="441" w:type="pct"/>
            <w:shd w:val="clear" w:color="auto" w:fill="auto"/>
            <w:hideMark/>
          </w:tcPr>
          <w:p w14:paraId="398A4563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882</w:t>
            </w:r>
          </w:p>
        </w:tc>
        <w:tc>
          <w:tcPr>
            <w:tcW w:w="373" w:type="pct"/>
            <w:shd w:val="clear" w:color="auto" w:fill="auto"/>
            <w:hideMark/>
          </w:tcPr>
          <w:p w14:paraId="0894A8FB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20,8</w:t>
            </w:r>
          </w:p>
        </w:tc>
        <w:tc>
          <w:tcPr>
            <w:tcW w:w="463" w:type="pct"/>
            <w:shd w:val="clear" w:color="auto" w:fill="auto"/>
            <w:hideMark/>
          </w:tcPr>
          <w:p w14:paraId="4A2359A2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1.569</w:t>
            </w:r>
          </w:p>
        </w:tc>
        <w:tc>
          <w:tcPr>
            <w:tcW w:w="374" w:type="pct"/>
            <w:shd w:val="clear" w:color="auto" w:fill="auto"/>
            <w:hideMark/>
          </w:tcPr>
          <w:p w14:paraId="49327B63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37,0</w:t>
            </w:r>
          </w:p>
        </w:tc>
        <w:tc>
          <w:tcPr>
            <w:tcW w:w="443" w:type="pct"/>
            <w:shd w:val="clear" w:color="auto" w:fill="auto"/>
            <w:hideMark/>
          </w:tcPr>
          <w:p w14:paraId="30B44F2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1.049</w:t>
            </w:r>
          </w:p>
        </w:tc>
        <w:tc>
          <w:tcPr>
            <w:tcW w:w="374" w:type="pct"/>
            <w:shd w:val="clear" w:color="auto" w:fill="auto"/>
            <w:hideMark/>
          </w:tcPr>
          <w:p w14:paraId="104D118A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24,7</w:t>
            </w:r>
          </w:p>
        </w:tc>
        <w:tc>
          <w:tcPr>
            <w:tcW w:w="443" w:type="pct"/>
            <w:shd w:val="clear" w:color="auto" w:fill="auto"/>
            <w:hideMark/>
          </w:tcPr>
          <w:p w14:paraId="77A69F77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743</w:t>
            </w:r>
          </w:p>
        </w:tc>
        <w:tc>
          <w:tcPr>
            <w:tcW w:w="374" w:type="pct"/>
            <w:shd w:val="clear" w:color="auto" w:fill="auto"/>
            <w:hideMark/>
          </w:tcPr>
          <w:p w14:paraId="4E408B3F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17,5</w:t>
            </w:r>
          </w:p>
        </w:tc>
        <w:tc>
          <w:tcPr>
            <w:tcW w:w="464" w:type="pct"/>
            <w:shd w:val="clear" w:color="auto" w:fill="auto"/>
            <w:hideMark/>
          </w:tcPr>
          <w:p w14:paraId="1D2AC2D6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1792</w:t>
            </w:r>
          </w:p>
        </w:tc>
        <w:tc>
          <w:tcPr>
            <w:tcW w:w="461" w:type="pct"/>
            <w:shd w:val="clear" w:color="auto" w:fill="auto"/>
            <w:hideMark/>
          </w:tcPr>
          <w:p w14:paraId="0C814225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42,2</w:t>
            </w:r>
          </w:p>
        </w:tc>
        <w:tc>
          <w:tcPr>
            <w:tcW w:w="411" w:type="pct"/>
            <w:shd w:val="clear" w:color="auto" w:fill="auto"/>
            <w:hideMark/>
          </w:tcPr>
          <w:p w14:paraId="55D333F9" w14:textId="77777777" w:rsidR="00151FA2" w:rsidRPr="00941853" w:rsidRDefault="00151FA2" w:rsidP="00151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4.243</w:t>
            </w:r>
          </w:p>
        </w:tc>
      </w:tr>
      <w:tr w:rsidR="00151FA2" w:rsidRPr="00941853" w14:paraId="4C73DEF8" w14:textId="77777777" w:rsidTr="0015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auto"/>
            <w:noWrap/>
            <w:hideMark/>
          </w:tcPr>
          <w:p w14:paraId="49DF6F9A" w14:textId="77777777" w:rsidR="00151FA2" w:rsidRPr="00941853" w:rsidRDefault="00151FA2" w:rsidP="00151F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2019</w:t>
            </w:r>
          </w:p>
        </w:tc>
        <w:tc>
          <w:tcPr>
            <w:tcW w:w="441" w:type="pct"/>
            <w:shd w:val="clear" w:color="auto" w:fill="auto"/>
            <w:hideMark/>
          </w:tcPr>
          <w:p w14:paraId="1BC942CF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1.023</w:t>
            </w:r>
          </w:p>
        </w:tc>
        <w:tc>
          <w:tcPr>
            <w:tcW w:w="373" w:type="pct"/>
            <w:shd w:val="clear" w:color="auto" w:fill="auto"/>
            <w:hideMark/>
          </w:tcPr>
          <w:p w14:paraId="1314CD34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22,4</w:t>
            </w:r>
          </w:p>
        </w:tc>
        <w:tc>
          <w:tcPr>
            <w:tcW w:w="463" w:type="pct"/>
            <w:shd w:val="clear" w:color="auto" w:fill="auto"/>
            <w:hideMark/>
          </w:tcPr>
          <w:p w14:paraId="2010FABE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1.618</w:t>
            </w:r>
          </w:p>
        </w:tc>
        <w:tc>
          <w:tcPr>
            <w:tcW w:w="374" w:type="pct"/>
            <w:shd w:val="clear" w:color="auto" w:fill="auto"/>
            <w:hideMark/>
          </w:tcPr>
          <w:p w14:paraId="466FFD0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35,4</w:t>
            </w:r>
          </w:p>
        </w:tc>
        <w:tc>
          <w:tcPr>
            <w:tcW w:w="443" w:type="pct"/>
            <w:shd w:val="clear" w:color="auto" w:fill="auto"/>
            <w:hideMark/>
          </w:tcPr>
          <w:p w14:paraId="5149C8C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1.113</w:t>
            </w:r>
          </w:p>
        </w:tc>
        <w:tc>
          <w:tcPr>
            <w:tcW w:w="374" w:type="pct"/>
            <w:shd w:val="clear" w:color="auto" w:fill="auto"/>
            <w:hideMark/>
          </w:tcPr>
          <w:p w14:paraId="16A79990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24,3</w:t>
            </w:r>
          </w:p>
        </w:tc>
        <w:tc>
          <w:tcPr>
            <w:tcW w:w="443" w:type="pct"/>
            <w:shd w:val="clear" w:color="auto" w:fill="auto"/>
            <w:hideMark/>
          </w:tcPr>
          <w:p w14:paraId="36BAF00C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817</w:t>
            </w:r>
          </w:p>
        </w:tc>
        <w:tc>
          <w:tcPr>
            <w:tcW w:w="374" w:type="pct"/>
            <w:shd w:val="clear" w:color="auto" w:fill="auto"/>
            <w:hideMark/>
          </w:tcPr>
          <w:p w14:paraId="3C97C1D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17,9</w:t>
            </w:r>
          </w:p>
        </w:tc>
        <w:tc>
          <w:tcPr>
            <w:tcW w:w="464" w:type="pct"/>
            <w:shd w:val="clear" w:color="auto" w:fill="auto"/>
            <w:hideMark/>
          </w:tcPr>
          <w:p w14:paraId="24F35761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1930</w:t>
            </w:r>
          </w:p>
        </w:tc>
        <w:tc>
          <w:tcPr>
            <w:tcW w:w="461" w:type="pct"/>
            <w:shd w:val="clear" w:color="auto" w:fill="auto"/>
            <w:hideMark/>
          </w:tcPr>
          <w:p w14:paraId="266BDFA9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42,2</w:t>
            </w:r>
          </w:p>
        </w:tc>
        <w:tc>
          <w:tcPr>
            <w:tcW w:w="411" w:type="pct"/>
            <w:shd w:val="clear" w:color="auto" w:fill="auto"/>
            <w:hideMark/>
          </w:tcPr>
          <w:p w14:paraId="13700B72" w14:textId="77777777" w:rsidR="00151FA2" w:rsidRPr="00941853" w:rsidRDefault="00151FA2" w:rsidP="00151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418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4.571</w:t>
            </w:r>
          </w:p>
        </w:tc>
      </w:tr>
    </w:tbl>
    <w:p w14:paraId="426DED74" w14:textId="1480EC06" w:rsidR="004C2B80" w:rsidRPr="004C2B80" w:rsidRDefault="003F12E1" w:rsidP="004C2B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134C">
        <w:rPr>
          <w:rFonts w:ascii="Times New Roman" w:hAnsi="Times New Roman" w:cs="Times New Roman"/>
          <w:sz w:val="20"/>
          <w:szCs w:val="20"/>
        </w:rPr>
        <w:t xml:space="preserve">*Excesso de peso = sobrepeso + obesidade. </w:t>
      </w:r>
      <w:r w:rsidRPr="00941853">
        <w:rPr>
          <w:rFonts w:ascii="Times New Roman" w:hAnsi="Times New Roman" w:cs="Times New Roman"/>
          <w:b/>
          <w:sz w:val="20"/>
          <w:szCs w:val="20"/>
        </w:rPr>
        <w:t>Fonte:</w:t>
      </w:r>
      <w:r w:rsidRPr="006E134C">
        <w:rPr>
          <w:rFonts w:ascii="Times New Roman" w:hAnsi="Times New Roman" w:cs="Times New Roman"/>
          <w:sz w:val="20"/>
          <w:szCs w:val="20"/>
        </w:rPr>
        <w:t xml:space="preserve"> Autores</w:t>
      </w:r>
      <w:proofErr w:type="gramStart"/>
      <w:r w:rsidR="0094185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41853">
        <w:rPr>
          <w:rFonts w:ascii="Times New Roman" w:hAnsi="Times New Roman" w:cs="Times New Roman"/>
          <w:sz w:val="20"/>
          <w:szCs w:val="20"/>
        </w:rPr>
        <w:t>(</w:t>
      </w:r>
      <w:r w:rsidRPr="006E134C">
        <w:rPr>
          <w:rFonts w:ascii="Times New Roman" w:hAnsi="Times New Roman" w:cs="Times New Roman"/>
          <w:sz w:val="20"/>
          <w:szCs w:val="20"/>
        </w:rPr>
        <w:t>2020</w:t>
      </w:r>
      <w:r w:rsidR="00941853">
        <w:rPr>
          <w:rFonts w:ascii="Times New Roman" w:hAnsi="Times New Roman" w:cs="Times New Roman"/>
          <w:sz w:val="20"/>
          <w:szCs w:val="20"/>
        </w:rPr>
        <w:t>)</w:t>
      </w:r>
      <w:r w:rsidRPr="006E134C">
        <w:rPr>
          <w:rFonts w:ascii="Times New Roman" w:hAnsi="Times New Roman" w:cs="Times New Roman"/>
          <w:sz w:val="20"/>
          <w:szCs w:val="20"/>
        </w:rPr>
        <w:t>.</w:t>
      </w:r>
    </w:p>
    <w:p w14:paraId="176B5983" w14:textId="143D9FAC" w:rsidR="004C2B80" w:rsidRDefault="00151FA2" w:rsidP="00151FA2">
      <w:pPr>
        <w:tabs>
          <w:tab w:val="left" w:pos="23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233937" w14:textId="77777777" w:rsidR="00151FA2" w:rsidRDefault="00151FA2" w:rsidP="00151FA2">
      <w:pPr>
        <w:tabs>
          <w:tab w:val="left" w:pos="23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7F8ADE" w14:textId="0E3B63AB" w:rsidR="003F12E1" w:rsidRPr="00151FA2" w:rsidRDefault="003F12E1" w:rsidP="003F12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A2">
        <w:rPr>
          <w:rFonts w:ascii="Times New Roman" w:hAnsi="Times New Roman" w:cs="Times New Roman"/>
          <w:sz w:val="24"/>
          <w:szCs w:val="24"/>
        </w:rPr>
        <w:t>De uma forma geral vemos por meio da Figura 1 que taxa média de excesso de peso ao longo do período avaliado foi de 36,7% contra uma taxa de 24,3% de baixo peso.</w:t>
      </w:r>
    </w:p>
    <w:p w14:paraId="68B0B63D" w14:textId="12B22BF4" w:rsidR="003F12E1" w:rsidRPr="00151FA2" w:rsidRDefault="00277861" w:rsidP="004C2B80">
      <w:pPr>
        <w:tabs>
          <w:tab w:val="left" w:pos="18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A2">
        <w:rPr>
          <w:rFonts w:ascii="Times New Roman" w:hAnsi="Times New Roman" w:cs="Times New Roman"/>
          <w:sz w:val="24"/>
          <w:szCs w:val="24"/>
        </w:rPr>
        <w:t>A análise de modelagem evidenciou tendência negativa média anual de baixo peso de -5,46% (R</w:t>
      </w:r>
      <w:r w:rsidRPr="00151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1FA2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151FA2">
        <w:rPr>
          <w:rFonts w:ascii="Times New Roman" w:hAnsi="Times New Roman" w:cs="Times New Roman"/>
          <w:sz w:val="24"/>
          <w:szCs w:val="24"/>
        </w:rPr>
        <w:t>= 0,58; p- valor=0,004).  As tendências de gestantes com sobrepeso e obesidade encontraram-se crescentes,</w:t>
      </w:r>
      <w:proofErr w:type="gramStart"/>
      <w:r w:rsidRPr="00151F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51FA2">
        <w:rPr>
          <w:rFonts w:ascii="Times New Roman" w:hAnsi="Times New Roman" w:cs="Times New Roman"/>
          <w:sz w:val="24"/>
          <w:szCs w:val="24"/>
        </w:rPr>
        <w:t>com um aumento anual significativo de 3,27% (R</w:t>
      </w:r>
      <w:r w:rsidRPr="00151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1FA2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151FA2">
        <w:rPr>
          <w:rFonts w:ascii="Times New Roman" w:hAnsi="Times New Roman" w:cs="Times New Roman"/>
          <w:sz w:val="24"/>
          <w:szCs w:val="24"/>
        </w:rPr>
        <w:t> =0,68; p-valor = 0,001) para o sobrepeso e de 10,37% (R</w:t>
      </w:r>
      <w:r w:rsidRPr="00151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1FA2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151FA2">
        <w:rPr>
          <w:rFonts w:ascii="Times New Roman" w:hAnsi="Times New Roman" w:cs="Times New Roman"/>
          <w:sz w:val="24"/>
          <w:szCs w:val="24"/>
        </w:rPr>
        <w:t> =0,92; p-valor &lt; 0,001) para obesidade; nesta perspectiva a tendência do excesso de peso também apresentou-se crescente com aumento anual de 13,64%(R</w:t>
      </w:r>
      <w:r w:rsidRPr="00151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1FA2">
        <w:rPr>
          <w:rFonts w:ascii="Times New Roman" w:hAnsi="Times New Roman" w:cs="Times New Roman"/>
          <w:sz w:val="24"/>
          <w:szCs w:val="24"/>
          <w:vertAlign w:val="subscript"/>
        </w:rPr>
        <w:t>ajus</w:t>
      </w:r>
      <w:r w:rsidRPr="00151FA2">
        <w:rPr>
          <w:rFonts w:ascii="Times New Roman" w:hAnsi="Times New Roman" w:cs="Times New Roman"/>
          <w:sz w:val="24"/>
          <w:szCs w:val="24"/>
        </w:rPr>
        <w:t xml:space="preserve"> =0,98; p-valor &lt; 0,001). No que tange as gestantes eutróficas verifica-se uma tendência negativa significante – Tabela 2. Os estudos relacionados </w:t>
      </w:r>
      <w:proofErr w:type="gramStart"/>
      <w:r w:rsidRPr="00151F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1FA2">
        <w:rPr>
          <w:rFonts w:ascii="Times New Roman" w:hAnsi="Times New Roman" w:cs="Times New Roman"/>
          <w:sz w:val="24"/>
          <w:szCs w:val="24"/>
        </w:rPr>
        <w:t xml:space="preserve"> tendência temporal</w:t>
      </w:r>
      <w:r w:rsidR="00003E6A" w:rsidRPr="00151FA2">
        <w:rPr>
          <w:rFonts w:ascii="Times New Roman" w:hAnsi="Times New Roman" w:cs="Times New Roman"/>
          <w:sz w:val="24"/>
          <w:szCs w:val="24"/>
        </w:rPr>
        <w:t xml:space="preserve"> do estado nutricional de gestantes no Brasil são quase que inexistentes, o único encontrado com abordagem parecida com a da presente pesquisa foi o de Pires et al. (2020) o qual detectou tendência crescentes e significativa de excesso de peso entre as gestantes.</w:t>
      </w:r>
    </w:p>
    <w:p w14:paraId="1979DDA7" w14:textId="276C5457" w:rsidR="003F12E1" w:rsidRDefault="003F12E1" w:rsidP="004C2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6C182" w14:textId="77777777" w:rsidR="00151FA2" w:rsidRDefault="00151FA2" w:rsidP="004C2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A597D" w14:textId="77777777" w:rsidR="00151FA2" w:rsidRDefault="00151FA2" w:rsidP="004C2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F245" w14:textId="77777777" w:rsidR="00151FA2" w:rsidRDefault="00151FA2" w:rsidP="003F12E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F5FD15" w14:textId="1B3DC89E" w:rsidR="00151FA2" w:rsidRDefault="00151FA2" w:rsidP="003F12E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A1DB5D" w14:textId="2C4619F6" w:rsidR="00941853" w:rsidRDefault="00941853" w:rsidP="00151F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19E40D" wp14:editId="652544C6">
            <wp:simplePos x="0" y="0"/>
            <wp:positionH relativeFrom="margin">
              <wp:posOffset>593725</wp:posOffset>
            </wp:positionH>
            <wp:positionV relativeFrom="margin">
              <wp:posOffset>354965</wp:posOffset>
            </wp:positionV>
            <wp:extent cx="4382135" cy="22942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976BF" w14:textId="77777777" w:rsidR="00941853" w:rsidRDefault="00941853" w:rsidP="00151F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FD4FE2" w14:textId="77777777" w:rsidR="00941853" w:rsidRDefault="00941853" w:rsidP="00151F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EE6A6A" w14:textId="77777777" w:rsidR="00941853" w:rsidRDefault="00941853" w:rsidP="00151F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755220" w14:textId="77777777" w:rsidR="00941853" w:rsidRDefault="00941853" w:rsidP="00151F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DC8BF0" w14:textId="77777777" w:rsidR="00941853" w:rsidRDefault="00941853" w:rsidP="009418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027412" w14:textId="77777777" w:rsidR="00941853" w:rsidRDefault="00941853" w:rsidP="009418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61225A4" w14:textId="77777777" w:rsidR="00941853" w:rsidRDefault="00941853" w:rsidP="009418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FA0A4ED" w14:textId="77777777" w:rsidR="00941853" w:rsidRDefault="00941853" w:rsidP="00941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658A15" w14:textId="77777777" w:rsidR="00941853" w:rsidRDefault="00941853" w:rsidP="00941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2CC793" w14:textId="77777777" w:rsidR="00941853" w:rsidRDefault="00941853" w:rsidP="00941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1D635" w14:textId="77777777" w:rsidR="00941853" w:rsidRDefault="00941853" w:rsidP="00941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8CF1CF" w14:textId="7E1516F6" w:rsidR="00E124B8" w:rsidRPr="00941853" w:rsidRDefault="00151FA2" w:rsidP="00941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853">
        <w:rPr>
          <w:rFonts w:ascii="Times New Roman" w:hAnsi="Times New Roman" w:cs="Times New Roman"/>
          <w:b/>
        </w:rPr>
        <w:t>Figura 1-</w:t>
      </w:r>
      <w:r w:rsidRPr="00941853">
        <w:rPr>
          <w:rFonts w:ascii="Times New Roman" w:hAnsi="Times New Roman" w:cs="Times New Roman"/>
        </w:rPr>
        <w:t xml:space="preserve"> Distribuição percentual média da classificação do índice de massa corporal (IMC) de gestantes do estado de Alagoas, no período 2009-2019. </w:t>
      </w:r>
      <w:r w:rsidR="00941853" w:rsidRPr="00941853">
        <w:rPr>
          <w:rFonts w:ascii="Times New Roman" w:hAnsi="Times New Roman" w:cs="Times New Roman"/>
          <w:b/>
        </w:rPr>
        <w:t>Fonte:</w:t>
      </w:r>
      <w:r w:rsidR="00941853" w:rsidRPr="00941853">
        <w:rPr>
          <w:rFonts w:ascii="Times New Roman" w:hAnsi="Times New Roman" w:cs="Times New Roman"/>
        </w:rPr>
        <w:t xml:space="preserve"> Autores</w:t>
      </w:r>
      <w:proofErr w:type="gramStart"/>
      <w:r w:rsidR="00941853" w:rsidRPr="00941853">
        <w:rPr>
          <w:rFonts w:ascii="Times New Roman" w:hAnsi="Times New Roman" w:cs="Times New Roman"/>
        </w:rPr>
        <w:t xml:space="preserve">  </w:t>
      </w:r>
      <w:proofErr w:type="gramEnd"/>
      <w:r w:rsidR="00941853" w:rsidRPr="00941853">
        <w:rPr>
          <w:rFonts w:ascii="Times New Roman" w:hAnsi="Times New Roman" w:cs="Times New Roman"/>
        </w:rPr>
        <w:t>(2020).</w:t>
      </w:r>
    </w:p>
    <w:p w14:paraId="42433F0B" w14:textId="13C32BDA" w:rsidR="003F12E1" w:rsidRDefault="003F12E1" w:rsidP="00E12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C9F6D" w14:textId="77777777" w:rsidR="00941853" w:rsidRDefault="00941853" w:rsidP="00E12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40938" w14:textId="4B92C1EC" w:rsidR="00B41119" w:rsidRPr="00B41119" w:rsidRDefault="00B41119" w:rsidP="00E124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1119">
        <w:rPr>
          <w:rFonts w:ascii="Times New Roman" w:hAnsi="Times New Roman" w:cs="Times New Roman"/>
          <w:b/>
          <w:sz w:val="20"/>
          <w:szCs w:val="20"/>
        </w:rPr>
        <w:t xml:space="preserve">Tabela 2- </w:t>
      </w:r>
      <w:r w:rsidRPr="00B41119">
        <w:rPr>
          <w:rFonts w:ascii="Times New Roman" w:hAnsi="Times New Roman" w:cs="Times New Roman"/>
          <w:sz w:val="20"/>
          <w:szCs w:val="20"/>
        </w:rPr>
        <w:t>Modelagem da tendência das categorias de índice de massa corporal (IMC) de gestantes do estado de Alagoas, entre os anos 2009 e 2019.</w:t>
      </w:r>
    </w:p>
    <w:tbl>
      <w:tblPr>
        <w:tblStyle w:val="SombreamentoClaro"/>
        <w:tblW w:w="9117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1697"/>
        <w:gridCol w:w="933"/>
      </w:tblGrid>
      <w:tr w:rsidR="00B41119" w:rsidRPr="00941853" w14:paraId="6A0C955F" w14:textId="77777777" w:rsidTr="0079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38426344" w14:textId="77777777" w:rsidR="00B41119" w:rsidRPr="00941853" w:rsidRDefault="00B41119" w:rsidP="0079506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Variáveis</w:t>
            </w:r>
          </w:p>
        </w:tc>
        <w:tc>
          <w:tcPr>
            <w:tcW w:w="3260" w:type="dxa"/>
            <w:shd w:val="clear" w:color="auto" w:fill="auto"/>
          </w:tcPr>
          <w:p w14:paraId="65E6EAD6" w14:textId="7EC4A358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Modelagem (</w:t>
            </w:r>
            <w:proofErr w:type="spellStart"/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ax+b</w:t>
            </w:r>
            <w:proofErr w:type="spellEnd"/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6CC0A5A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1697" w:type="dxa"/>
            <w:shd w:val="clear" w:color="auto" w:fill="auto"/>
          </w:tcPr>
          <w:p w14:paraId="3CB60D24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Tendência</w:t>
            </w:r>
          </w:p>
        </w:tc>
        <w:tc>
          <w:tcPr>
            <w:tcW w:w="933" w:type="dxa"/>
            <w:shd w:val="clear" w:color="auto" w:fill="auto"/>
          </w:tcPr>
          <w:p w14:paraId="2F22EDE1" w14:textId="77777777" w:rsidR="00B41119" w:rsidRPr="00941853" w:rsidRDefault="00B41119" w:rsidP="00795060">
            <w:pPr>
              <w:pStyle w:val="LO-normal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</w:rPr>
              <w:t>ajus</w:t>
            </w:r>
          </w:p>
        </w:tc>
      </w:tr>
      <w:tr w:rsidR="00B41119" w:rsidRPr="00941853" w14:paraId="57342577" w14:textId="77777777" w:rsidTr="00795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7FCB4608" w14:textId="77777777" w:rsidR="00B41119" w:rsidRPr="00941853" w:rsidRDefault="00B41119" w:rsidP="00795060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Baixo peso </w:t>
            </w:r>
          </w:p>
        </w:tc>
        <w:tc>
          <w:tcPr>
            <w:tcW w:w="3260" w:type="dxa"/>
            <w:shd w:val="clear" w:color="auto" w:fill="auto"/>
          </w:tcPr>
          <w:p w14:paraId="344AB005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-5,46x + 275,51</w:t>
            </w:r>
          </w:p>
        </w:tc>
        <w:tc>
          <w:tcPr>
            <w:tcW w:w="1134" w:type="dxa"/>
            <w:shd w:val="clear" w:color="auto" w:fill="auto"/>
          </w:tcPr>
          <w:p w14:paraId="304F8742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0,004</w:t>
            </w:r>
          </w:p>
        </w:tc>
        <w:tc>
          <w:tcPr>
            <w:tcW w:w="1697" w:type="dxa"/>
            <w:shd w:val="clear" w:color="auto" w:fill="auto"/>
          </w:tcPr>
          <w:p w14:paraId="7604C7D7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Decrescente</w:t>
            </w:r>
          </w:p>
        </w:tc>
        <w:tc>
          <w:tcPr>
            <w:tcW w:w="933" w:type="dxa"/>
            <w:shd w:val="clear" w:color="auto" w:fill="auto"/>
          </w:tcPr>
          <w:p w14:paraId="30736D48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0,58</w:t>
            </w:r>
          </w:p>
        </w:tc>
      </w:tr>
      <w:tr w:rsidR="00B41119" w:rsidRPr="00941853" w14:paraId="0E837CA7" w14:textId="77777777" w:rsidTr="0079506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068E3CEC" w14:textId="77777777" w:rsidR="00B41119" w:rsidRPr="00941853" w:rsidRDefault="00B41119" w:rsidP="00795060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Eutrofia</w:t>
            </w:r>
          </w:p>
        </w:tc>
        <w:tc>
          <w:tcPr>
            <w:tcW w:w="3260" w:type="dxa"/>
            <w:shd w:val="clear" w:color="auto" w:fill="auto"/>
          </w:tcPr>
          <w:p w14:paraId="19C3D26C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-8,18x + 439,07</w:t>
            </w:r>
          </w:p>
        </w:tc>
        <w:tc>
          <w:tcPr>
            <w:tcW w:w="1134" w:type="dxa"/>
            <w:shd w:val="clear" w:color="auto" w:fill="auto"/>
          </w:tcPr>
          <w:p w14:paraId="086C44EA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0,002</w:t>
            </w:r>
          </w:p>
        </w:tc>
        <w:tc>
          <w:tcPr>
            <w:tcW w:w="1697" w:type="dxa"/>
            <w:shd w:val="clear" w:color="auto" w:fill="auto"/>
          </w:tcPr>
          <w:p w14:paraId="3C9C8A04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Decrescente</w:t>
            </w:r>
          </w:p>
        </w:tc>
        <w:tc>
          <w:tcPr>
            <w:tcW w:w="933" w:type="dxa"/>
            <w:shd w:val="clear" w:color="auto" w:fill="auto"/>
          </w:tcPr>
          <w:p w14:paraId="5C67A074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0,64</w:t>
            </w:r>
          </w:p>
        </w:tc>
      </w:tr>
      <w:tr w:rsidR="00B41119" w:rsidRPr="00941853" w14:paraId="3E2416F9" w14:textId="77777777" w:rsidTr="00795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6551C578" w14:textId="77777777" w:rsidR="00B41119" w:rsidRPr="00941853" w:rsidRDefault="00B41119" w:rsidP="00795060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Sobrepeso</w:t>
            </w:r>
          </w:p>
        </w:tc>
        <w:tc>
          <w:tcPr>
            <w:tcW w:w="3260" w:type="dxa"/>
            <w:shd w:val="clear" w:color="auto" w:fill="auto"/>
          </w:tcPr>
          <w:p w14:paraId="0D116C48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3,27x + 211,07</w:t>
            </w:r>
          </w:p>
        </w:tc>
        <w:tc>
          <w:tcPr>
            <w:tcW w:w="1134" w:type="dxa"/>
            <w:shd w:val="clear" w:color="auto" w:fill="auto"/>
          </w:tcPr>
          <w:p w14:paraId="7073B7E8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0,001</w:t>
            </w:r>
          </w:p>
        </w:tc>
        <w:tc>
          <w:tcPr>
            <w:tcW w:w="1697" w:type="dxa"/>
            <w:shd w:val="clear" w:color="auto" w:fill="auto"/>
          </w:tcPr>
          <w:p w14:paraId="22633080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Crescente</w:t>
            </w:r>
          </w:p>
        </w:tc>
        <w:tc>
          <w:tcPr>
            <w:tcW w:w="933" w:type="dxa"/>
            <w:shd w:val="clear" w:color="auto" w:fill="auto"/>
          </w:tcPr>
          <w:p w14:paraId="524863A8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0,68</w:t>
            </w:r>
          </w:p>
        </w:tc>
      </w:tr>
      <w:tr w:rsidR="00B41119" w:rsidRPr="00941853" w14:paraId="249E76C5" w14:textId="77777777" w:rsidTr="0079506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09921A5D" w14:textId="77777777" w:rsidR="00B41119" w:rsidRPr="00941853" w:rsidRDefault="00B41119" w:rsidP="00795060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Obesidade</w:t>
            </w:r>
          </w:p>
        </w:tc>
        <w:tc>
          <w:tcPr>
            <w:tcW w:w="3260" w:type="dxa"/>
            <w:shd w:val="clear" w:color="auto" w:fill="auto"/>
          </w:tcPr>
          <w:p w14:paraId="450A1556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10,37x + 74,34</w:t>
            </w:r>
          </w:p>
        </w:tc>
        <w:tc>
          <w:tcPr>
            <w:tcW w:w="1134" w:type="dxa"/>
            <w:shd w:val="clear" w:color="auto" w:fill="auto"/>
          </w:tcPr>
          <w:p w14:paraId="2EE15CE2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1697" w:type="dxa"/>
            <w:shd w:val="clear" w:color="auto" w:fill="auto"/>
          </w:tcPr>
          <w:p w14:paraId="16B51F5F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Crescente</w:t>
            </w:r>
          </w:p>
        </w:tc>
        <w:tc>
          <w:tcPr>
            <w:tcW w:w="933" w:type="dxa"/>
            <w:shd w:val="clear" w:color="auto" w:fill="auto"/>
          </w:tcPr>
          <w:p w14:paraId="3D814E1D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0,92</w:t>
            </w:r>
          </w:p>
        </w:tc>
      </w:tr>
      <w:tr w:rsidR="00B41119" w:rsidRPr="00941853" w14:paraId="728895CD" w14:textId="77777777" w:rsidTr="00795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6E3F1AF0" w14:textId="77777777" w:rsidR="00B41119" w:rsidRPr="00941853" w:rsidRDefault="00B41119" w:rsidP="007950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b w:val="0"/>
                <w:sz w:val="20"/>
                <w:szCs w:val="20"/>
              </w:rPr>
              <w:t>Excesso de peso</w:t>
            </w:r>
          </w:p>
        </w:tc>
        <w:tc>
          <w:tcPr>
            <w:tcW w:w="3260" w:type="dxa"/>
            <w:shd w:val="clear" w:color="auto" w:fill="auto"/>
          </w:tcPr>
          <w:p w14:paraId="05F94BF2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13,64x + 285,42</w:t>
            </w:r>
          </w:p>
        </w:tc>
        <w:tc>
          <w:tcPr>
            <w:tcW w:w="1134" w:type="dxa"/>
            <w:shd w:val="clear" w:color="auto" w:fill="auto"/>
          </w:tcPr>
          <w:p w14:paraId="47E345FA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1697" w:type="dxa"/>
            <w:shd w:val="clear" w:color="auto" w:fill="auto"/>
          </w:tcPr>
          <w:p w14:paraId="75005119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53">
              <w:rPr>
                <w:rFonts w:ascii="Times New Roman" w:eastAsia="Times New Roman" w:hAnsi="Times New Roman" w:cs="Times New Roman"/>
                <w:sz w:val="20"/>
                <w:szCs w:val="20"/>
              </w:rPr>
              <w:t>Crescente</w:t>
            </w:r>
          </w:p>
        </w:tc>
        <w:tc>
          <w:tcPr>
            <w:tcW w:w="933" w:type="dxa"/>
            <w:shd w:val="clear" w:color="auto" w:fill="auto"/>
          </w:tcPr>
          <w:p w14:paraId="28341EA6" w14:textId="77777777" w:rsidR="00B41119" w:rsidRPr="00941853" w:rsidRDefault="00B41119" w:rsidP="00795060">
            <w:pPr>
              <w:pStyle w:val="LO-norma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53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</w:tbl>
    <w:p w14:paraId="2F440601" w14:textId="5C2529DB" w:rsidR="00B41119" w:rsidRPr="003F12E1" w:rsidRDefault="00B41119" w:rsidP="004C2B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1119">
        <w:rPr>
          <w:rFonts w:ascii="Times New Roman" w:eastAsia="Times New Roman" w:hAnsi="Times New Roman" w:cs="Times New Roman"/>
          <w:sz w:val="20"/>
          <w:szCs w:val="20"/>
        </w:rPr>
        <w:t>p - probabilidade; R</w:t>
      </w:r>
      <w:r w:rsidRPr="00B4111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B41119">
        <w:rPr>
          <w:rFonts w:ascii="Times New Roman" w:eastAsia="Times New Roman" w:hAnsi="Times New Roman" w:cs="Times New Roman"/>
          <w:sz w:val="20"/>
          <w:szCs w:val="20"/>
          <w:vertAlign w:val="subscript"/>
        </w:rPr>
        <w:t>ajus</w:t>
      </w:r>
      <w:r w:rsidRPr="00B41119">
        <w:rPr>
          <w:rFonts w:ascii="Times New Roman" w:eastAsia="Times New Roman" w:hAnsi="Times New Roman" w:cs="Times New Roman"/>
          <w:sz w:val="20"/>
          <w:szCs w:val="20"/>
        </w:rPr>
        <w:t>- Coeficiente de determinação ajustado.</w:t>
      </w:r>
      <w:r w:rsidRPr="00B41119">
        <w:rPr>
          <w:rFonts w:ascii="Times New Roman" w:hAnsi="Times New Roman" w:cs="Times New Roman"/>
          <w:sz w:val="20"/>
          <w:szCs w:val="20"/>
        </w:rPr>
        <w:t xml:space="preserve"> </w:t>
      </w:r>
      <w:r w:rsidR="00941853" w:rsidRPr="00941853">
        <w:rPr>
          <w:rFonts w:ascii="Times New Roman" w:hAnsi="Times New Roman" w:cs="Times New Roman"/>
          <w:b/>
          <w:sz w:val="20"/>
          <w:szCs w:val="20"/>
        </w:rPr>
        <w:t>Fonte:</w:t>
      </w:r>
      <w:r w:rsidR="00941853" w:rsidRPr="006E134C">
        <w:rPr>
          <w:rFonts w:ascii="Times New Roman" w:hAnsi="Times New Roman" w:cs="Times New Roman"/>
          <w:sz w:val="20"/>
          <w:szCs w:val="20"/>
        </w:rPr>
        <w:t xml:space="preserve"> Autores</w:t>
      </w:r>
      <w:proofErr w:type="gramStart"/>
      <w:r w:rsidR="0094185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41853">
        <w:rPr>
          <w:rFonts w:ascii="Times New Roman" w:hAnsi="Times New Roman" w:cs="Times New Roman"/>
          <w:sz w:val="20"/>
          <w:szCs w:val="20"/>
        </w:rPr>
        <w:t>(</w:t>
      </w:r>
      <w:r w:rsidR="00941853" w:rsidRPr="006E134C">
        <w:rPr>
          <w:rFonts w:ascii="Times New Roman" w:hAnsi="Times New Roman" w:cs="Times New Roman"/>
          <w:sz w:val="20"/>
          <w:szCs w:val="20"/>
        </w:rPr>
        <w:t>2020</w:t>
      </w:r>
      <w:r w:rsidR="00941853">
        <w:rPr>
          <w:rFonts w:ascii="Times New Roman" w:hAnsi="Times New Roman" w:cs="Times New Roman"/>
          <w:sz w:val="20"/>
          <w:szCs w:val="20"/>
        </w:rPr>
        <w:t>)</w:t>
      </w:r>
      <w:r w:rsidR="00941853" w:rsidRPr="006E134C">
        <w:rPr>
          <w:rFonts w:ascii="Times New Roman" w:hAnsi="Times New Roman" w:cs="Times New Roman"/>
          <w:sz w:val="20"/>
          <w:szCs w:val="20"/>
        </w:rPr>
        <w:t>.</w:t>
      </w:r>
    </w:p>
    <w:p w14:paraId="7CE7CEF5" w14:textId="77777777" w:rsidR="00B41119" w:rsidRPr="004C2B80" w:rsidRDefault="00B41119" w:rsidP="00E124B8">
      <w:pPr>
        <w:rPr>
          <w:rFonts w:ascii="Times New Roman" w:hAnsi="Times New Roman" w:cs="Times New Roman"/>
          <w:sz w:val="24"/>
          <w:szCs w:val="24"/>
        </w:rPr>
      </w:pP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2E25B8AE" w14:textId="6B1DBF4B" w:rsidR="00DC59F2" w:rsidRPr="006E134C" w:rsidRDefault="00B41119" w:rsidP="006E1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34C">
        <w:rPr>
          <w:rFonts w:ascii="Times New Roman" w:hAnsi="Times New Roman" w:cs="Times New Roman"/>
          <w:sz w:val="24"/>
          <w:szCs w:val="24"/>
        </w:rPr>
        <w:t>Os resultados mostram que a evolução do estado nutricional das gestantes tende a um declínio do baixo peso, entretanto em uma vertente contrária existe uma tendência de aumento do sobrepeso e obesidade. Neste contexto, é importante se a</w:t>
      </w:r>
      <w:r w:rsidRPr="006E134C">
        <w:rPr>
          <w:rFonts w:ascii="Times New Roman" w:hAnsi="Times New Roman" w:cs="Times New Roman"/>
          <w:bCs/>
          <w:sz w:val="24"/>
          <w:szCs w:val="24"/>
        </w:rPr>
        <w:t xml:space="preserve">valiar as </w:t>
      </w:r>
      <w:r w:rsidRPr="006E134C">
        <w:rPr>
          <w:rFonts w:ascii="Times New Roman" w:hAnsi="Times New Roman" w:cs="Times New Roman"/>
          <w:sz w:val="24"/>
          <w:szCs w:val="24"/>
        </w:rPr>
        <w:t xml:space="preserve">dimensões do estado nutricional das gestantes observando-se quais são os fatores que estão associados a este, visto que estas informações  são fundamentais para o planejamento de programas e políticas públicas de saúde  que visem a melhoria da saúde do público alvo da presente pesquisa. </w:t>
      </w:r>
    </w:p>
    <w:p w14:paraId="7C74DD8B" w14:textId="0041B056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879D" w14:textId="425D90F7" w:rsidR="00DE7FC8" w:rsidRDefault="00DE7FC8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649C17BB" w:rsidR="00E7394C" w:rsidRPr="004A70F4" w:rsidRDefault="00EC2218" w:rsidP="004C2B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73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94C"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2DEF3D5" w14:textId="1CD7ABE7" w:rsidR="005A670F" w:rsidRPr="006E134C" w:rsidRDefault="005A670F" w:rsidP="0094185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E134C">
        <w:rPr>
          <w:rFonts w:ascii="Times New Roman" w:hAnsi="Times New Roman" w:cs="Times New Roman"/>
          <w:shd w:val="clear" w:color="auto" w:fill="FFFFFF"/>
        </w:rPr>
        <w:t xml:space="preserve">ACCIOLY E, SAUNDERS C, LACERDA EMA. </w:t>
      </w:r>
      <w:r w:rsidRPr="00E124B8">
        <w:rPr>
          <w:rFonts w:ascii="Times New Roman" w:hAnsi="Times New Roman" w:cs="Times New Roman"/>
          <w:b/>
          <w:bCs/>
          <w:shd w:val="clear" w:color="auto" w:fill="FFFFFF"/>
        </w:rPr>
        <w:t>Nutrição em obstetrícia e pediatria</w:t>
      </w:r>
      <w:r w:rsidRPr="006E134C">
        <w:rPr>
          <w:rFonts w:ascii="Times New Roman" w:hAnsi="Times New Roman" w:cs="Times New Roman"/>
          <w:shd w:val="clear" w:color="auto" w:fill="FFFFFF"/>
        </w:rPr>
        <w:t>.  2.  ed.  Rio de Janeiro:</w:t>
      </w:r>
      <w:r w:rsidR="00E124B8">
        <w:rPr>
          <w:rFonts w:ascii="Times New Roman" w:hAnsi="Times New Roman" w:cs="Times New Roman"/>
          <w:shd w:val="clear" w:color="auto" w:fill="FFFFFF"/>
        </w:rPr>
        <w:t xml:space="preserve"> </w:t>
      </w:r>
      <w:r w:rsidRPr="006E134C">
        <w:rPr>
          <w:rFonts w:ascii="Times New Roman" w:hAnsi="Times New Roman" w:cs="Times New Roman"/>
          <w:shd w:val="clear" w:color="auto" w:fill="FFFFFF"/>
        </w:rPr>
        <w:t>Guanabara-Koogan, 2009. 649 p</w:t>
      </w:r>
      <w:r w:rsidR="00E124B8">
        <w:rPr>
          <w:rFonts w:ascii="Times New Roman" w:hAnsi="Times New Roman" w:cs="Times New Roman"/>
          <w:shd w:val="clear" w:color="auto" w:fill="FFFFFF"/>
        </w:rPr>
        <w:t>.</w:t>
      </w:r>
    </w:p>
    <w:p w14:paraId="7E3CF9C8" w14:textId="58FB7640" w:rsidR="005A670F" w:rsidRPr="006E134C" w:rsidRDefault="005A670F" w:rsidP="0094185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003E6A">
        <w:rPr>
          <w:rFonts w:ascii="Times New Roman" w:hAnsi="Times New Roman" w:cs="Times New Roman"/>
        </w:rPr>
        <w:t xml:space="preserve">BRASIL. </w:t>
      </w:r>
      <w:r w:rsidRPr="006E134C">
        <w:rPr>
          <w:rFonts w:ascii="Times New Roman" w:hAnsi="Times New Roman" w:cs="Times New Roman"/>
        </w:rPr>
        <w:t xml:space="preserve">Ministério da Saúde. </w:t>
      </w:r>
      <w:r w:rsidRPr="00003E6A">
        <w:rPr>
          <w:rFonts w:ascii="Times New Roman" w:hAnsi="Times New Roman" w:cs="Times New Roman"/>
          <w:b/>
        </w:rPr>
        <w:t>Gestação de alto risco:</w:t>
      </w:r>
      <w:r w:rsidRPr="006E134C">
        <w:rPr>
          <w:rFonts w:ascii="Times New Roman" w:hAnsi="Times New Roman" w:cs="Times New Roman"/>
        </w:rPr>
        <w:t xml:space="preserve"> manual técnico/ Ministério da Saúde, Secretaria de Atenção à Saúde, Departamento de Ações Programáticas Estratégicas.</w:t>
      </w:r>
      <w:r w:rsidR="00DE7FC8">
        <w:rPr>
          <w:rFonts w:ascii="Times New Roman" w:hAnsi="Times New Roman" w:cs="Times New Roman"/>
        </w:rPr>
        <w:t xml:space="preserve"> </w:t>
      </w:r>
      <w:r w:rsidRPr="006E134C">
        <w:rPr>
          <w:rFonts w:ascii="Times New Roman" w:hAnsi="Times New Roman" w:cs="Times New Roman"/>
        </w:rPr>
        <w:t>5</w:t>
      </w:r>
      <w:r w:rsidR="00DE7FC8">
        <w:rPr>
          <w:rFonts w:ascii="Times New Roman" w:hAnsi="Times New Roman" w:cs="Times New Roman"/>
        </w:rPr>
        <w:t xml:space="preserve"> </w:t>
      </w:r>
      <w:r w:rsidR="00003E6A">
        <w:rPr>
          <w:rFonts w:ascii="Times New Roman" w:hAnsi="Times New Roman" w:cs="Times New Roman"/>
        </w:rPr>
        <w:t>ed.</w:t>
      </w:r>
      <w:r w:rsidR="00DE7FC8">
        <w:rPr>
          <w:rFonts w:ascii="Times New Roman" w:hAnsi="Times New Roman" w:cs="Times New Roman"/>
        </w:rPr>
        <w:t xml:space="preserve"> </w:t>
      </w:r>
      <w:r w:rsidR="00003E6A">
        <w:rPr>
          <w:rFonts w:ascii="Times New Roman" w:hAnsi="Times New Roman" w:cs="Times New Roman"/>
        </w:rPr>
        <w:t>Brasília</w:t>
      </w:r>
      <w:r w:rsidRPr="006E134C">
        <w:rPr>
          <w:rFonts w:ascii="Times New Roman" w:hAnsi="Times New Roman" w:cs="Times New Roman"/>
        </w:rPr>
        <w:t>: Editora do Ministério da Saúde, 2012.</w:t>
      </w:r>
      <w:r w:rsidR="00E124B8">
        <w:rPr>
          <w:rFonts w:ascii="Times New Roman" w:hAnsi="Times New Roman" w:cs="Times New Roman"/>
        </w:rPr>
        <w:t xml:space="preserve"> Disponível em: </w:t>
      </w:r>
      <w:hyperlink r:id="rId11" w:history="1">
        <w:r w:rsidR="00E124B8" w:rsidRPr="0025067D">
          <w:rPr>
            <w:rStyle w:val="Hyperlink"/>
            <w:rFonts w:ascii="Times New Roman" w:hAnsi="Times New Roman" w:cs="Times New Roman"/>
          </w:rPr>
          <w:t>http://bvsms.saude.gov.br/bvs/publicacoes/manual_tecnico_gestacao_alto_risco.pdf</w:t>
        </w:r>
      </w:hyperlink>
      <w:r w:rsidR="00E124B8">
        <w:rPr>
          <w:rFonts w:ascii="Times New Roman" w:hAnsi="Times New Roman" w:cs="Times New Roman"/>
        </w:rPr>
        <w:t>. Acesso em: 10 out. 2020.</w:t>
      </w:r>
    </w:p>
    <w:p w14:paraId="044771D5" w14:textId="34A5D04F" w:rsidR="005A670F" w:rsidRPr="006E134C" w:rsidRDefault="005A670F" w:rsidP="00941853">
      <w:pPr>
        <w:spacing w:line="240" w:lineRule="auto"/>
        <w:rPr>
          <w:rFonts w:ascii="Times New Roman" w:hAnsi="Times New Roman" w:cs="Times New Roman"/>
        </w:rPr>
      </w:pPr>
      <w:r w:rsidRPr="006E134C">
        <w:rPr>
          <w:rFonts w:ascii="Times New Roman" w:hAnsi="Times New Roman" w:cs="Times New Roman"/>
        </w:rPr>
        <w:t xml:space="preserve">BRASIL. Ministério da Saúde. </w:t>
      </w:r>
      <w:r w:rsidRPr="00003E6A">
        <w:rPr>
          <w:rFonts w:ascii="Times New Roman" w:hAnsi="Times New Roman" w:cs="Times New Roman"/>
          <w:b/>
        </w:rPr>
        <w:t>Orientações para a coleta e análise de dados antropométricos em serviços de saúde</w:t>
      </w:r>
      <w:r w:rsidRPr="006E134C">
        <w:rPr>
          <w:rFonts w:ascii="Times New Roman" w:hAnsi="Times New Roman" w:cs="Times New Roman"/>
        </w:rPr>
        <w:t>: Norma Técnica do Sistema de Vigilância Alimentar e Nutricional - SISVAN/ Ministério da Saúde, Secretaria de Atenção à Saúde, Departamento de Atenção Básica. Brasília: Ministério da Saúde, 2011.</w:t>
      </w:r>
      <w:r w:rsidR="00E124B8">
        <w:rPr>
          <w:rFonts w:ascii="Times New Roman" w:hAnsi="Times New Roman" w:cs="Times New Roman"/>
        </w:rPr>
        <w:t xml:space="preserve"> Disponível em: </w:t>
      </w:r>
      <w:hyperlink r:id="rId12" w:history="1">
        <w:r w:rsidR="00E124B8" w:rsidRPr="0025067D">
          <w:rPr>
            <w:rStyle w:val="Hyperlink"/>
            <w:rFonts w:ascii="Times New Roman" w:hAnsi="Times New Roman" w:cs="Times New Roman"/>
          </w:rPr>
          <w:t>https://bvsms.saude.gov.br/bvs/publicacoes/orientacoes_coleta_analise_dados_antropometricos.pdf</w:t>
        </w:r>
      </w:hyperlink>
      <w:r w:rsidR="00E124B8">
        <w:rPr>
          <w:rFonts w:ascii="Times New Roman" w:hAnsi="Times New Roman" w:cs="Times New Roman"/>
        </w:rPr>
        <w:t>. Acesso em: 05 out. 2020.</w:t>
      </w:r>
    </w:p>
    <w:p w14:paraId="43E6BBBD" w14:textId="132EEAE3" w:rsidR="005A670F" w:rsidRPr="006E134C" w:rsidRDefault="005A670F" w:rsidP="00941853">
      <w:pPr>
        <w:spacing w:line="240" w:lineRule="auto"/>
        <w:rPr>
          <w:rFonts w:ascii="Times New Roman" w:hAnsi="Times New Roman" w:cs="Times New Roman"/>
        </w:rPr>
      </w:pPr>
      <w:r w:rsidRPr="006E134C">
        <w:rPr>
          <w:rFonts w:ascii="Times New Roman" w:hAnsi="Times New Roman" w:cs="Times New Roman"/>
        </w:rPr>
        <w:t xml:space="preserve">BRASIL. Ministério da Saúde. </w:t>
      </w:r>
      <w:r w:rsidR="00003E6A" w:rsidRPr="00003E6A">
        <w:rPr>
          <w:rFonts w:ascii="Times New Roman" w:hAnsi="Times New Roman" w:cs="Times New Roman"/>
          <w:b/>
        </w:rPr>
        <w:t>Vigitel Brasil 2019</w:t>
      </w:r>
      <w:r w:rsidRPr="00003E6A">
        <w:rPr>
          <w:rFonts w:ascii="Times New Roman" w:hAnsi="Times New Roman" w:cs="Times New Roman"/>
          <w:b/>
        </w:rPr>
        <w:t>:</w:t>
      </w:r>
      <w:r w:rsidRPr="006E134C">
        <w:rPr>
          <w:rFonts w:ascii="Times New Roman" w:hAnsi="Times New Roman" w:cs="Times New Roman"/>
        </w:rPr>
        <w:t xml:space="preserve"> vigilância de fatores de risco e proteção para doenças cr</w:t>
      </w:r>
      <w:r w:rsidR="00003E6A">
        <w:rPr>
          <w:rFonts w:ascii="Times New Roman" w:hAnsi="Times New Roman" w:cs="Times New Roman"/>
        </w:rPr>
        <w:t>ônicas por inquérito telefônico</w:t>
      </w:r>
      <w:r w:rsidRPr="006E134C">
        <w:rPr>
          <w:rFonts w:ascii="Times New Roman" w:hAnsi="Times New Roman" w:cs="Times New Roman"/>
        </w:rPr>
        <w:t>: estimativas sobre frequência e distribuição sociodemográfica de fatores de risco e proteção para doenças crônicas nas capitais dos 26 estados brasileiros e no Distrito Federal em 2019 [recurso eletrônico] / Ministério da Saúde, Secretaria de Vigilância em Saúde, Departamento de Análise em Saúde e Vigilância de Doenças não</w:t>
      </w:r>
      <w:r w:rsidR="00DE7FC8">
        <w:rPr>
          <w:rFonts w:ascii="Times New Roman" w:hAnsi="Times New Roman" w:cs="Times New Roman"/>
        </w:rPr>
        <w:t xml:space="preserve"> </w:t>
      </w:r>
      <w:r w:rsidRPr="006E134C">
        <w:rPr>
          <w:rFonts w:ascii="Times New Roman" w:hAnsi="Times New Roman" w:cs="Times New Roman"/>
        </w:rPr>
        <w:t>Transmissíveis. Brasília: Ministério da Saúde, 2020.</w:t>
      </w:r>
      <w:r w:rsidR="00DE7FC8">
        <w:rPr>
          <w:rFonts w:ascii="Times New Roman" w:hAnsi="Times New Roman" w:cs="Times New Roman"/>
        </w:rPr>
        <w:t xml:space="preserve"> Disponível em: </w:t>
      </w:r>
      <w:hyperlink r:id="rId13" w:history="1">
        <w:r w:rsidR="00DE7FC8" w:rsidRPr="0025067D">
          <w:rPr>
            <w:rStyle w:val="Hyperlink"/>
            <w:rFonts w:ascii="Times New Roman" w:hAnsi="Times New Roman" w:cs="Times New Roman"/>
          </w:rPr>
          <w:t>https://portalarquivos.saude.gov.br/images/pdf/2020/April/27/vigitel-brasil-2019-vigilancia-fatores-risco.pdf</w:t>
        </w:r>
      </w:hyperlink>
      <w:r w:rsidR="00DE7FC8">
        <w:rPr>
          <w:rFonts w:ascii="Times New Roman" w:hAnsi="Times New Roman" w:cs="Times New Roman"/>
        </w:rPr>
        <w:t>. Acesso em: 30 set. 2020.</w:t>
      </w:r>
    </w:p>
    <w:p w14:paraId="05BD26D1" w14:textId="304F290B" w:rsidR="005A670F" w:rsidRPr="006E134C" w:rsidRDefault="00003E6A" w:rsidP="0094185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CUNHA, L.R. </w:t>
      </w:r>
      <w:r w:rsidR="005A670F" w:rsidRPr="006E134C">
        <w:rPr>
          <w:rFonts w:ascii="Times New Roman" w:hAnsi="Times New Roman" w:cs="Times New Roman"/>
          <w:shd w:val="clear" w:color="auto" w:fill="FFFFFF"/>
        </w:rPr>
        <w:t xml:space="preserve"> et al. Avaliação do estado nutricional e do ganho de peso de gestantes atendidas em uma unidade básica de saúde de Pelotas-RS. </w:t>
      </w:r>
      <w:r w:rsidR="005A670F" w:rsidRPr="006E134C">
        <w:rPr>
          <w:rFonts w:ascii="Times New Roman" w:hAnsi="Times New Roman" w:cs="Times New Roman"/>
          <w:b/>
          <w:shd w:val="clear" w:color="auto" w:fill="FFFFFF"/>
        </w:rPr>
        <w:t>Revista Brasileira de Obesidade, Nutrição e Emagrecimento,</w:t>
      </w:r>
      <w:r w:rsidR="005A670F" w:rsidRPr="006E134C">
        <w:rPr>
          <w:rFonts w:ascii="Times New Roman" w:hAnsi="Times New Roman" w:cs="Times New Roman"/>
          <w:shd w:val="clear" w:color="auto" w:fill="FFFFFF"/>
        </w:rPr>
        <w:t xml:space="preserve"> São Paulo.  v.10.  n.57.  p.123-132. Maio/Jun. 2016. ISSN 1981-9919</w:t>
      </w:r>
      <w:r w:rsidR="00DE7FC8">
        <w:rPr>
          <w:rFonts w:ascii="Times New Roman" w:hAnsi="Times New Roman" w:cs="Times New Roman"/>
          <w:shd w:val="clear" w:color="auto" w:fill="FFFFFF"/>
        </w:rPr>
        <w:t xml:space="preserve">. Disponível em: </w:t>
      </w:r>
      <w:hyperlink r:id="rId14" w:history="1">
        <w:r w:rsidR="00DE7FC8" w:rsidRPr="0025067D">
          <w:rPr>
            <w:rStyle w:val="Hyperlink"/>
            <w:rFonts w:ascii="Times New Roman" w:hAnsi="Times New Roman" w:cs="Times New Roman"/>
            <w:shd w:val="clear" w:color="auto" w:fill="FFFFFF"/>
          </w:rPr>
          <w:t>http://www.rbone.com.br/index.php/rbone/article/view/424</w:t>
        </w:r>
      </w:hyperlink>
      <w:r w:rsidR="00DE7FC8">
        <w:rPr>
          <w:rFonts w:ascii="Times New Roman" w:hAnsi="Times New Roman" w:cs="Times New Roman"/>
          <w:shd w:val="clear" w:color="auto" w:fill="FFFFFF"/>
        </w:rPr>
        <w:t>. Acesso em: 05 out. 2020.</w:t>
      </w:r>
    </w:p>
    <w:p w14:paraId="4486DBA5" w14:textId="3CF346D6" w:rsidR="005A670F" w:rsidRPr="006E134C" w:rsidRDefault="005A670F" w:rsidP="00941853">
      <w:pPr>
        <w:spacing w:line="240" w:lineRule="auto"/>
        <w:jc w:val="both"/>
        <w:rPr>
          <w:rFonts w:ascii="Times New Roman" w:hAnsi="Times New Roman" w:cs="Times New Roman"/>
        </w:rPr>
      </w:pPr>
      <w:r w:rsidRPr="006E134C">
        <w:rPr>
          <w:rFonts w:ascii="Times New Roman" w:hAnsi="Times New Roman" w:cs="Times New Roman"/>
        </w:rPr>
        <w:t>Mancini MC et al</w:t>
      </w:r>
      <w:r w:rsidR="00EC2218">
        <w:rPr>
          <w:rFonts w:ascii="Times New Roman" w:hAnsi="Times New Roman" w:cs="Times New Roman"/>
        </w:rPr>
        <w:t xml:space="preserve">. </w:t>
      </w:r>
      <w:r w:rsidRPr="00DE7FC8">
        <w:rPr>
          <w:rFonts w:ascii="Times New Roman" w:hAnsi="Times New Roman" w:cs="Times New Roman"/>
          <w:b/>
          <w:bCs/>
        </w:rPr>
        <w:t>Tratado de obesidade</w:t>
      </w:r>
      <w:r w:rsidRPr="006E134C">
        <w:rPr>
          <w:rFonts w:ascii="Times New Roman" w:hAnsi="Times New Roman" w:cs="Times New Roman"/>
        </w:rPr>
        <w:t xml:space="preserve">. Rio de Janeiro: Guanabara Koogan, 2. ed. 2015. </w:t>
      </w:r>
    </w:p>
    <w:p w14:paraId="04A519DE" w14:textId="15336F38" w:rsidR="005A670F" w:rsidRPr="00151FA2" w:rsidRDefault="005A670F" w:rsidP="0094185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6E134C">
        <w:rPr>
          <w:rFonts w:ascii="Times New Roman" w:hAnsi="Times New Roman" w:cs="Times New Roman"/>
          <w:shd w:val="clear" w:color="auto" w:fill="FFFFFF"/>
        </w:rPr>
        <w:t xml:space="preserve">REINHARD T, WIDTH M. </w:t>
      </w:r>
      <w:r w:rsidRPr="00DE7FC8">
        <w:rPr>
          <w:rFonts w:ascii="Times New Roman" w:hAnsi="Times New Roman" w:cs="Times New Roman"/>
          <w:b/>
          <w:bCs/>
          <w:shd w:val="clear" w:color="auto" w:fill="FFFFFF"/>
        </w:rPr>
        <w:t>Manual de sobrevivência para</w:t>
      </w:r>
      <w:r w:rsidR="00E124B8" w:rsidRPr="00DE7FC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DE7FC8">
        <w:rPr>
          <w:rFonts w:ascii="Times New Roman" w:hAnsi="Times New Roman" w:cs="Times New Roman"/>
          <w:b/>
          <w:bCs/>
          <w:shd w:val="clear" w:color="auto" w:fill="FFFFFF"/>
        </w:rPr>
        <w:t>nutrição clínica</w:t>
      </w:r>
      <w:r w:rsidRPr="006E134C">
        <w:rPr>
          <w:rFonts w:ascii="Times New Roman" w:hAnsi="Times New Roman" w:cs="Times New Roman"/>
          <w:shd w:val="clear" w:color="auto" w:fill="FFFFFF"/>
        </w:rPr>
        <w:t xml:space="preserve">.  </w:t>
      </w:r>
      <w:r w:rsidRPr="00151FA2">
        <w:rPr>
          <w:rFonts w:ascii="Times New Roman" w:hAnsi="Times New Roman" w:cs="Times New Roman"/>
          <w:shd w:val="clear" w:color="auto" w:fill="FFFFFF"/>
          <w:lang w:val="en-US"/>
        </w:rPr>
        <w:t>Rio de</w:t>
      </w:r>
      <w:r w:rsidR="00E124B8" w:rsidRPr="00151FA2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51FA2">
        <w:rPr>
          <w:rFonts w:ascii="Times New Roman" w:hAnsi="Times New Roman" w:cs="Times New Roman"/>
          <w:shd w:val="clear" w:color="auto" w:fill="FFFFFF"/>
          <w:lang w:val="en-US"/>
        </w:rPr>
        <w:t>Janeiro:  Guanabara-Koogan</w:t>
      </w:r>
      <w:proofErr w:type="gramStart"/>
      <w:r w:rsidRPr="00151FA2">
        <w:rPr>
          <w:rFonts w:ascii="Times New Roman" w:hAnsi="Times New Roman" w:cs="Times New Roman"/>
          <w:shd w:val="clear" w:color="auto" w:fill="FFFFFF"/>
          <w:lang w:val="en-US"/>
        </w:rPr>
        <w:t>,2009</w:t>
      </w:r>
      <w:proofErr w:type="gramEnd"/>
      <w:r w:rsidRPr="00151FA2">
        <w:rPr>
          <w:rFonts w:ascii="Times New Roman" w:hAnsi="Times New Roman" w:cs="Times New Roman"/>
          <w:shd w:val="clear" w:color="auto" w:fill="FFFFFF"/>
          <w:lang w:val="en-US"/>
        </w:rPr>
        <w:t>. 309p</w:t>
      </w:r>
    </w:p>
    <w:p w14:paraId="4CDE13B8" w14:textId="3DACDED2" w:rsidR="005A670F" w:rsidRPr="00151FA2" w:rsidRDefault="005A670F" w:rsidP="00941853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6E134C">
        <w:rPr>
          <w:rFonts w:ascii="Times New Roman" w:hAnsi="Times New Roman" w:cs="Times New Roman"/>
          <w:shd w:val="clear" w:color="auto" w:fill="FFFFFF"/>
          <w:lang w:val="en-US"/>
        </w:rPr>
        <w:t>WORLD HEALTH ORGANIZATION</w:t>
      </w:r>
      <w:r>
        <w:rPr>
          <w:rFonts w:ascii="Times New Roman" w:hAnsi="Times New Roman" w:cs="Times New Roman"/>
          <w:shd w:val="clear" w:color="auto" w:fill="FFFFFF"/>
          <w:lang w:val="en-US"/>
        </w:rPr>
        <w:t>- WHO</w:t>
      </w:r>
      <w:r w:rsidRPr="006E134C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6E134C">
        <w:rPr>
          <w:rFonts w:ascii="Times New Roman" w:hAnsi="Times New Roman" w:cs="Times New Roman"/>
          <w:shd w:val="clear" w:color="auto" w:fill="FFFFFF"/>
          <w:lang w:val="en-US"/>
        </w:rPr>
        <w:t xml:space="preserve"> Physical status: the use and interpretation of </w:t>
      </w:r>
      <w:r w:rsidRPr="00A15C71">
        <w:rPr>
          <w:rFonts w:ascii="Times New Roman" w:hAnsi="Times New Roman" w:cs="Times New Roman"/>
          <w:shd w:val="clear" w:color="auto" w:fill="FFFFFF"/>
          <w:lang w:val="en-US"/>
        </w:rPr>
        <w:t>anthropometry.</w:t>
      </w:r>
      <w:r w:rsidRPr="00A15C71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 Report of a WHO Expert Committee. </w:t>
      </w:r>
      <w:r w:rsidRPr="00A15C71">
        <w:rPr>
          <w:rFonts w:ascii="Times New Roman" w:hAnsi="Times New Roman" w:cs="Times New Roman"/>
          <w:shd w:val="clear" w:color="auto" w:fill="FFFFFF"/>
          <w:lang w:val="en-US"/>
        </w:rPr>
        <w:t>1995. (Technical Report Series, 854).</w:t>
      </w:r>
      <w:r w:rsidR="00DE7FC8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DE7FC8">
        <w:rPr>
          <w:rFonts w:ascii="Times New Roman" w:hAnsi="Times New Roman" w:cs="Times New Roman"/>
          <w:shd w:val="clear" w:color="auto" w:fill="FFFFFF"/>
          <w:lang w:val="en-US"/>
        </w:rPr>
        <w:t>Disponível</w:t>
      </w:r>
      <w:proofErr w:type="spellEnd"/>
      <w:r w:rsidR="00DE7FC8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DE7FC8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="00DE7FC8"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hyperlink r:id="rId15" w:history="1">
        <w:r w:rsidR="00DE7FC8" w:rsidRPr="0025067D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https://apps.who.int/iris/handle/10665/37003</w:t>
        </w:r>
      </w:hyperlink>
      <w:r w:rsidR="00DE7FC8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="00DE7FC8" w:rsidRPr="00151FA2">
        <w:rPr>
          <w:rFonts w:ascii="Times New Roman" w:hAnsi="Times New Roman" w:cs="Times New Roman"/>
          <w:shd w:val="clear" w:color="auto" w:fill="FFFFFF"/>
          <w:lang w:val="en-US"/>
        </w:rPr>
        <w:t>Acesso</w:t>
      </w:r>
      <w:proofErr w:type="spellEnd"/>
      <w:r w:rsidR="00DE7FC8" w:rsidRPr="00151FA2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DE7FC8" w:rsidRPr="00151FA2">
        <w:rPr>
          <w:rFonts w:ascii="Times New Roman" w:hAnsi="Times New Roman" w:cs="Times New Roman"/>
          <w:shd w:val="clear" w:color="auto" w:fill="FFFFFF"/>
          <w:lang w:val="en-US"/>
        </w:rPr>
        <w:t>em</w:t>
      </w:r>
      <w:proofErr w:type="spellEnd"/>
      <w:r w:rsidR="00DE7FC8" w:rsidRPr="00151FA2">
        <w:rPr>
          <w:rFonts w:ascii="Times New Roman" w:hAnsi="Times New Roman" w:cs="Times New Roman"/>
          <w:shd w:val="clear" w:color="auto" w:fill="FFFFFF"/>
          <w:lang w:val="en-US"/>
        </w:rPr>
        <w:t>: 05 out. 2020.</w:t>
      </w:r>
    </w:p>
    <w:p w14:paraId="1C1503C2" w14:textId="15653817" w:rsidR="006E134C" w:rsidRPr="00151FA2" w:rsidRDefault="00A15C71" w:rsidP="0094185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A15C71">
        <w:rPr>
          <w:rFonts w:ascii="Times New Roman" w:hAnsi="Times New Roman" w:cs="Times New Roman"/>
          <w:shd w:val="clear" w:color="auto" w:fill="FFFFFF"/>
          <w:lang w:val="en-US"/>
        </w:rPr>
        <w:t>SWINBURN</w:t>
      </w:r>
      <w:r w:rsidR="00003E6A" w:rsidRPr="00A15C71">
        <w:rPr>
          <w:rFonts w:ascii="Times New Roman" w:hAnsi="Times New Roman" w:cs="Times New Roman"/>
          <w:shd w:val="clear" w:color="auto" w:fill="FFFFFF"/>
          <w:lang w:val="en-US"/>
        </w:rPr>
        <w:t>, B.A. et al.</w:t>
      </w:r>
      <w:proofErr w:type="gramEnd"/>
      <w:r w:rsidR="00003E6A" w:rsidRPr="00A15C71">
        <w:rPr>
          <w:rFonts w:ascii="Times New Roman" w:hAnsi="Times New Roman" w:cs="Times New Roman"/>
          <w:shd w:val="clear" w:color="auto" w:fill="FFFFFF"/>
          <w:lang w:val="en-US"/>
        </w:rPr>
        <w:t xml:space="preserve"> The Global </w:t>
      </w:r>
      <w:proofErr w:type="spellStart"/>
      <w:r w:rsidR="00003E6A" w:rsidRPr="00A15C71">
        <w:rPr>
          <w:rFonts w:ascii="Times New Roman" w:hAnsi="Times New Roman" w:cs="Times New Roman"/>
          <w:shd w:val="clear" w:color="auto" w:fill="FFFFFF"/>
          <w:lang w:val="en-US"/>
        </w:rPr>
        <w:t>Syndemic</w:t>
      </w:r>
      <w:proofErr w:type="spellEnd"/>
      <w:r w:rsidR="00003E6A" w:rsidRPr="00A15C71">
        <w:rPr>
          <w:rFonts w:ascii="Times New Roman" w:hAnsi="Times New Roman" w:cs="Times New Roman"/>
          <w:shd w:val="clear" w:color="auto" w:fill="FFFFFF"/>
          <w:lang w:val="en-US"/>
        </w:rPr>
        <w:t xml:space="preserve"> of Obesity, Undernutrition, and Climate Change: The Lancet Commission report. </w:t>
      </w:r>
      <w:r w:rsidR="00003E6A" w:rsidRPr="00151FA2">
        <w:rPr>
          <w:rFonts w:ascii="Times New Roman" w:hAnsi="Times New Roman" w:cs="Times New Roman"/>
          <w:b/>
          <w:shd w:val="clear" w:color="auto" w:fill="FFFFFF"/>
        </w:rPr>
        <w:t xml:space="preserve">The Lancet </w:t>
      </w:r>
      <w:proofErr w:type="spellStart"/>
      <w:r w:rsidR="00003E6A" w:rsidRPr="00151FA2">
        <w:rPr>
          <w:rFonts w:ascii="Times New Roman" w:hAnsi="Times New Roman" w:cs="Times New Roman"/>
          <w:b/>
          <w:shd w:val="clear" w:color="auto" w:fill="FFFFFF"/>
        </w:rPr>
        <w:t>Commissions</w:t>
      </w:r>
      <w:proofErr w:type="spellEnd"/>
      <w:r w:rsidRPr="00151FA2">
        <w:rPr>
          <w:rFonts w:ascii="Times New Roman" w:hAnsi="Times New Roman" w:cs="Times New Roman"/>
          <w:shd w:val="clear" w:color="auto" w:fill="FFFFFF"/>
        </w:rPr>
        <w:t xml:space="preserve">, v. 393, p. 791-846, 2019. </w:t>
      </w:r>
      <w:r w:rsidR="00522D1F" w:rsidRPr="00151FA2">
        <w:rPr>
          <w:rFonts w:ascii="Times New Roman" w:hAnsi="Times New Roman" w:cs="Times New Roman"/>
          <w:shd w:val="clear" w:color="auto" w:fill="FFFFFF"/>
        </w:rPr>
        <w:t xml:space="preserve">Disponível em: </w:t>
      </w:r>
      <w:hyperlink r:id="rId16" w:history="1">
        <w:r w:rsidR="00522D1F" w:rsidRPr="00151FA2">
          <w:rPr>
            <w:rStyle w:val="Hyperlink"/>
            <w:rFonts w:ascii="Times New Roman" w:hAnsi="Times New Roman" w:cs="Times New Roman"/>
            <w:shd w:val="clear" w:color="auto" w:fill="FFFFFF"/>
          </w:rPr>
          <w:t>https://www.thelancet.com/commissions/global-syndemic</w:t>
        </w:r>
      </w:hyperlink>
      <w:r w:rsidR="00522D1F" w:rsidRPr="00151FA2">
        <w:rPr>
          <w:rFonts w:ascii="Times New Roman" w:hAnsi="Times New Roman" w:cs="Times New Roman"/>
          <w:shd w:val="clear" w:color="auto" w:fill="FFFFFF"/>
        </w:rPr>
        <w:t>. Acesso em 10 out. 2020.</w:t>
      </w:r>
    </w:p>
    <w:p w14:paraId="5F8A9872" w14:textId="3C569511" w:rsidR="00FB0D88" w:rsidRPr="00A15C71" w:rsidRDefault="00A15C71" w:rsidP="00941853">
      <w:pPr>
        <w:spacing w:line="240" w:lineRule="auto"/>
      </w:pPr>
      <w:r w:rsidRPr="00A15C71">
        <w:rPr>
          <w:rFonts w:ascii="Times New Roman" w:hAnsi="Times New Roman" w:cs="Times New Roman"/>
          <w:shd w:val="clear" w:color="auto" w:fill="FFFFFF"/>
        </w:rPr>
        <w:t xml:space="preserve">PIRES, C. da C. </w:t>
      </w:r>
      <w:proofErr w:type="gramStart"/>
      <w:r w:rsidRPr="00A15C71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A15C71">
        <w:rPr>
          <w:rFonts w:ascii="Times New Roman" w:hAnsi="Times New Roman" w:cs="Times New Roman"/>
          <w:shd w:val="clear" w:color="auto" w:fill="FFFFFF"/>
        </w:rPr>
        <w:t xml:space="preserve"> al.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15C71">
        <w:rPr>
          <w:rFonts w:ascii="Times New Roman" w:hAnsi="Times New Roman" w:cs="Times New Roman"/>
          <w:shd w:val="clear" w:color="auto" w:fill="FFFFFF"/>
        </w:rPr>
        <w:t>Evolução do excesso de peso em gestantes usuárias da Atenção Primária à Saúde do município de Macaé-RJ entre 2010-2018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A15C71">
        <w:rPr>
          <w:rFonts w:ascii="Times New Roman" w:hAnsi="Times New Roman" w:cs="Times New Roman"/>
          <w:b/>
          <w:shd w:val="clear" w:color="auto" w:fill="FFFFFF"/>
        </w:rPr>
        <w:t>Demetra</w:t>
      </w:r>
      <w:proofErr w:type="spellEnd"/>
      <w:r>
        <w:rPr>
          <w:rFonts w:ascii="Times New Roman" w:hAnsi="Times New Roman" w:cs="Times New Roman"/>
          <w:shd w:val="clear" w:color="auto" w:fill="FFFFFF"/>
        </w:rPr>
        <w:t>, v. 15,</w:t>
      </w:r>
      <w:r w:rsidRPr="00A15C71">
        <w:rPr>
          <w:rFonts w:ascii="Times New Roman" w:hAnsi="Times New Roman" w:cs="Times New Roman"/>
          <w:shd w:val="clear" w:color="auto" w:fill="FFFFFF"/>
        </w:rPr>
        <w:t xml:space="preserve"> 2020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762DDC">
        <w:rPr>
          <w:rFonts w:ascii="Times New Roman" w:hAnsi="Times New Roman" w:cs="Times New Roman"/>
          <w:shd w:val="clear" w:color="auto" w:fill="FFFFFF"/>
        </w:rPr>
        <w:t xml:space="preserve"> Disponível em: </w:t>
      </w:r>
      <w:hyperlink r:id="rId17" w:history="1">
        <w:r w:rsidR="00762DDC" w:rsidRPr="0025067D">
          <w:rPr>
            <w:rStyle w:val="Hyperlink"/>
            <w:rFonts w:ascii="Times New Roman" w:hAnsi="Times New Roman" w:cs="Times New Roman"/>
            <w:shd w:val="clear" w:color="auto" w:fill="FFFFFF"/>
          </w:rPr>
          <w:t>https://www.e-publicacoes.uerj.br/index.php/demetra/article/view/48033</w:t>
        </w:r>
      </w:hyperlink>
      <w:r w:rsidR="00762DDC">
        <w:rPr>
          <w:rFonts w:ascii="Times New Roman" w:hAnsi="Times New Roman" w:cs="Times New Roman"/>
          <w:shd w:val="clear" w:color="auto" w:fill="FFFFFF"/>
        </w:rPr>
        <w:t>. Acesso em: 05 out. 2020.</w:t>
      </w:r>
    </w:p>
    <w:sectPr w:rsidR="00FB0D88" w:rsidRPr="00A15C71" w:rsidSect="006E134C">
      <w:headerReference w:type="default" r:id="rId18"/>
      <w:footerReference w:type="default" r:id="rId1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6338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47A3" w16cex:dateUtc="2020-10-19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6338E1" w16cid:durableId="233847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D0818" w14:textId="77777777" w:rsidR="00935FA8" w:rsidRDefault="00935FA8" w:rsidP="00FA6FD1">
      <w:pPr>
        <w:spacing w:after="0" w:line="240" w:lineRule="auto"/>
      </w:pPr>
      <w:r>
        <w:separator/>
      </w:r>
    </w:p>
  </w:endnote>
  <w:endnote w:type="continuationSeparator" w:id="0">
    <w:p w14:paraId="630E3D51" w14:textId="77777777" w:rsidR="00935FA8" w:rsidRDefault="00935FA8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BC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A892" w14:textId="77777777" w:rsidR="00935FA8" w:rsidRDefault="00935FA8" w:rsidP="00FA6FD1">
      <w:pPr>
        <w:spacing w:after="0" w:line="240" w:lineRule="auto"/>
      </w:pPr>
      <w:r>
        <w:separator/>
      </w:r>
    </w:p>
  </w:footnote>
  <w:footnote w:type="continuationSeparator" w:id="0">
    <w:p w14:paraId="206E4592" w14:textId="77777777" w:rsidR="00935FA8" w:rsidRDefault="00935FA8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82F326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ázaro Oliveira">
    <w15:presenceInfo w15:providerId="Windows Live" w15:userId="0bd673835b8aa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3E6A"/>
    <w:rsid w:val="00006E82"/>
    <w:rsid w:val="00017E47"/>
    <w:rsid w:val="00034B03"/>
    <w:rsid w:val="00035A1C"/>
    <w:rsid w:val="00040523"/>
    <w:rsid w:val="000406C5"/>
    <w:rsid w:val="0006694D"/>
    <w:rsid w:val="0008271B"/>
    <w:rsid w:val="000938C3"/>
    <w:rsid w:val="00095D76"/>
    <w:rsid w:val="000A7C98"/>
    <w:rsid w:val="000F53D7"/>
    <w:rsid w:val="00151FA2"/>
    <w:rsid w:val="00152388"/>
    <w:rsid w:val="00183512"/>
    <w:rsid w:val="0018494D"/>
    <w:rsid w:val="001A2E8B"/>
    <w:rsid w:val="001A5F72"/>
    <w:rsid w:val="001D640C"/>
    <w:rsid w:val="001E53BC"/>
    <w:rsid w:val="00210234"/>
    <w:rsid w:val="002355E7"/>
    <w:rsid w:val="00277861"/>
    <w:rsid w:val="002B1E03"/>
    <w:rsid w:val="00317A62"/>
    <w:rsid w:val="00320AEE"/>
    <w:rsid w:val="00331278"/>
    <w:rsid w:val="003333B4"/>
    <w:rsid w:val="003342DD"/>
    <w:rsid w:val="00375EFA"/>
    <w:rsid w:val="003C4164"/>
    <w:rsid w:val="003C5DBA"/>
    <w:rsid w:val="003E6CD3"/>
    <w:rsid w:val="003F12E1"/>
    <w:rsid w:val="003F677D"/>
    <w:rsid w:val="00424194"/>
    <w:rsid w:val="004538A4"/>
    <w:rsid w:val="00464E3A"/>
    <w:rsid w:val="004A7BEB"/>
    <w:rsid w:val="004B24FE"/>
    <w:rsid w:val="004C2B80"/>
    <w:rsid w:val="004D28A3"/>
    <w:rsid w:val="004E1AC9"/>
    <w:rsid w:val="004E3C1F"/>
    <w:rsid w:val="00503CEA"/>
    <w:rsid w:val="005207CC"/>
    <w:rsid w:val="00522D1F"/>
    <w:rsid w:val="00527298"/>
    <w:rsid w:val="00550C73"/>
    <w:rsid w:val="005541CA"/>
    <w:rsid w:val="00572A77"/>
    <w:rsid w:val="0058713B"/>
    <w:rsid w:val="005A670F"/>
    <w:rsid w:val="005B2180"/>
    <w:rsid w:val="005B30D2"/>
    <w:rsid w:val="005B4161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9251C"/>
    <w:rsid w:val="006C06E1"/>
    <w:rsid w:val="006D47E4"/>
    <w:rsid w:val="006E134C"/>
    <w:rsid w:val="006E4A01"/>
    <w:rsid w:val="007063B9"/>
    <w:rsid w:val="0074074C"/>
    <w:rsid w:val="00752BC9"/>
    <w:rsid w:val="00761514"/>
    <w:rsid w:val="00762035"/>
    <w:rsid w:val="00762DDC"/>
    <w:rsid w:val="0076541E"/>
    <w:rsid w:val="007817F5"/>
    <w:rsid w:val="00795D65"/>
    <w:rsid w:val="007A4EAB"/>
    <w:rsid w:val="007E4D75"/>
    <w:rsid w:val="007F47EE"/>
    <w:rsid w:val="0080789C"/>
    <w:rsid w:val="00832C81"/>
    <w:rsid w:val="00842317"/>
    <w:rsid w:val="008514A6"/>
    <w:rsid w:val="00854D34"/>
    <w:rsid w:val="00867312"/>
    <w:rsid w:val="008C58E0"/>
    <w:rsid w:val="008D0C63"/>
    <w:rsid w:val="008D56FB"/>
    <w:rsid w:val="00901104"/>
    <w:rsid w:val="009101E3"/>
    <w:rsid w:val="00923C61"/>
    <w:rsid w:val="00935FA8"/>
    <w:rsid w:val="00941853"/>
    <w:rsid w:val="00941B6B"/>
    <w:rsid w:val="009863FA"/>
    <w:rsid w:val="009F33D4"/>
    <w:rsid w:val="009F432C"/>
    <w:rsid w:val="00A15C71"/>
    <w:rsid w:val="00A20D3E"/>
    <w:rsid w:val="00A34B5A"/>
    <w:rsid w:val="00A4609F"/>
    <w:rsid w:val="00A560BE"/>
    <w:rsid w:val="00A71464"/>
    <w:rsid w:val="00A76941"/>
    <w:rsid w:val="00AB1E3E"/>
    <w:rsid w:val="00AB51CF"/>
    <w:rsid w:val="00AC4FB9"/>
    <w:rsid w:val="00AE1EDC"/>
    <w:rsid w:val="00B1310D"/>
    <w:rsid w:val="00B161BD"/>
    <w:rsid w:val="00B21BF6"/>
    <w:rsid w:val="00B25C6D"/>
    <w:rsid w:val="00B32686"/>
    <w:rsid w:val="00B41119"/>
    <w:rsid w:val="00B53B07"/>
    <w:rsid w:val="00B620C3"/>
    <w:rsid w:val="00B83D9C"/>
    <w:rsid w:val="00B87393"/>
    <w:rsid w:val="00B97A27"/>
    <w:rsid w:val="00BC11C4"/>
    <w:rsid w:val="00BD7BA4"/>
    <w:rsid w:val="00BE1BD2"/>
    <w:rsid w:val="00BF713A"/>
    <w:rsid w:val="00C12426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16D54"/>
    <w:rsid w:val="00D307ED"/>
    <w:rsid w:val="00D423AE"/>
    <w:rsid w:val="00D57F24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DE7FC8"/>
    <w:rsid w:val="00DF0543"/>
    <w:rsid w:val="00E030E1"/>
    <w:rsid w:val="00E050C5"/>
    <w:rsid w:val="00E124B8"/>
    <w:rsid w:val="00E47392"/>
    <w:rsid w:val="00E521EC"/>
    <w:rsid w:val="00E53E15"/>
    <w:rsid w:val="00E7394C"/>
    <w:rsid w:val="00EB6FD2"/>
    <w:rsid w:val="00EC212B"/>
    <w:rsid w:val="00EC2218"/>
    <w:rsid w:val="00EC3929"/>
    <w:rsid w:val="00EC7F10"/>
    <w:rsid w:val="00ED519C"/>
    <w:rsid w:val="00EF1307"/>
    <w:rsid w:val="00F37FD4"/>
    <w:rsid w:val="00F7123A"/>
    <w:rsid w:val="00FA6FD1"/>
    <w:rsid w:val="00FB0D88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19"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table" w:styleId="SombreamentoClaro">
    <w:name w:val="Light Shading"/>
    <w:basedOn w:val="Tabelanormal"/>
    <w:uiPriority w:val="60"/>
    <w:rsid w:val="003F12E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4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B4111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4C2B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B80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B80"/>
    <w:rPr>
      <w:rFonts w:eastAsiaTheme="minorHAns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24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19"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table" w:styleId="SombreamentoClaro">
    <w:name w:val="Light Shading"/>
    <w:basedOn w:val="Tabelanormal"/>
    <w:uiPriority w:val="60"/>
    <w:rsid w:val="003F12E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4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B4111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4C2B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B80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B80"/>
    <w:rPr>
      <w:rFonts w:eastAsiaTheme="minorHAns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arquivos.saude.gov.br/images/pdf/2020/April/27/vigitel-brasil-2019-vigilancia-fatores-risco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vsms.saude.gov.br/bvs/publicacoes/orientacoes_coleta_analise_dados_antropometricos.pdf" TargetMode="External"/><Relationship Id="rId17" Type="http://schemas.openxmlformats.org/officeDocument/2006/relationships/hyperlink" Target="https://www.e-publicacoes.uerj.br/index.php/demetra/article/view/48033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thelancet.com/commissions/global-syndemi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vsms.saude.gov.br/bvs/publicacoes/manual_tecnico_gestacao_alto_risco.pdf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apps.who.int/iris/handle/10665/37003" TargetMode="External"/><Relationship Id="rId23" Type="http://schemas.microsoft.com/office/2011/relationships/people" Target="people.xml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bone.com.br/index.php/rbone/article/view/424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D9AC-FA99-4C16-9C31-848B9E5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2262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lidia bezerra barbosa</cp:lastModifiedBy>
  <cp:revision>4</cp:revision>
  <cp:lastPrinted>2018-08-03T23:15:00Z</cp:lastPrinted>
  <dcterms:created xsi:type="dcterms:W3CDTF">2020-10-20T12:25:00Z</dcterms:created>
  <dcterms:modified xsi:type="dcterms:W3CDTF">2020-10-20T12:57:00Z</dcterms:modified>
</cp:coreProperties>
</file>