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Pr="00267FFC" w:rsidRDefault="0017220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2" w14:textId="77777777" w:rsidR="00172207" w:rsidRPr="00267FFC" w:rsidRDefault="0017220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754BC" w14:textId="77777777" w:rsidR="00267FFC" w:rsidRPr="00267FFC" w:rsidRDefault="00267FF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C5251" w14:textId="6D2F3B83" w:rsidR="00267FFC" w:rsidRPr="00267FFC" w:rsidRDefault="00267FFC" w:rsidP="00267FFC">
      <w:pPr>
        <w:jc w:val="center"/>
        <w:rPr>
          <w:rFonts w:ascii="Times New Roman" w:hAnsi="Times New Roman" w:cs="Times New Roman"/>
          <w:sz w:val="20"/>
          <w:szCs w:val="20"/>
        </w:rPr>
      </w:pPr>
      <w:r w:rsidRPr="00267FFC">
        <w:rPr>
          <w:rFonts w:ascii="Times New Roman" w:hAnsi="Times New Roman" w:cs="Times New Roman"/>
          <w:b/>
          <w:sz w:val="24"/>
          <w:szCs w:val="20"/>
        </w:rPr>
        <w:t xml:space="preserve">APRAXIA DE FALA INFANTIL E A INTERVENÇÃO FONOAUDIOLÓGICA COM O MODELO </w:t>
      </w:r>
      <w:proofErr w:type="spellStart"/>
      <w:r w:rsidRPr="00267FFC">
        <w:rPr>
          <w:rFonts w:ascii="Times New Roman" w:hAnsi="Times New Roman" w:cs="Times New Roman"/>
          <w:b/>
          <w:sz w:val="24"/>
          <w:szCs w:val="20"/>
        </w:rPr>
        <w:t>ReST</w:t>
      </w:r>
      <w:proofErr w:type="spellEnd"/>
      <w:r w:rsidRPr="00267FFC">
        <w:rPr>
          <w:rFonts w:ascii="Times New Roman" w:hAnsi="Times New Roman" w:cs="Times New Roman"/>
          <w:b/>
          <w:sz w:val="24"/>
          <w:szCs w:val="20"/>
        </w:rPr>
        <w:t>: UM ESTUDO DE CASO</w:t>
      </w:r>
    </w:p>
    <w:p w14:paraId="3F7EB8A7" w14:textId="77777777" w:rsidR="00267FFC" w:rsidRPr="00267FFC" w:rsidRDefault="00267FFC" w:rsidP="00267F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7EC697" w14:textId="68A83448" w:rsidR="00267FFC" w:rsidRPr="00267FFC" w:rsidRDefault="00267FFC" w:rsidP="0026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FFC">
        <w:rPr>
          <w:rFonts w:ascii="Times New Roman" w:hAnsi="Times New Roman" w:cs="Times New Roman"/>
          <w:sz w:val="24"/>
          <w:szCs w:val="24"/>
        </w:rPr>
        <w:t>Karolina de Fátima Gonçalves Trevisanuto</w:t>
      </w:r>
      <w:r w:rsidRPr="00267F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67FFC">
        <w:rPr>
          <w:rFonts w:ascii="Times New Roman" w:hAnsi="Times New Roman" w:cs="Times New Roman"/>
          <w:sz w:val="24"/>
          <w:szCs w:val="24"/>
        </w:rPr>
        <w:t xml:space="preserve"> e Gabriela </w:t>
      </w:r>
      <w:r w:rsidRPr="00267FFC">
        <w:rPr>
          <w:rFonts w:ascii="Times New Roman" w:hAnsi="Times New Roman" w:cs="Times New Roman"/>
          <w:sz w:val="24"/>
          <w:szCs w:val="24"/>
        </w:rPr>
        <w:t>Viola Coppe</w:t>
      </w:r>
      <w:r w:rsidRPr="00267FF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958C96" w14:textId="77777777" w:rsidR="00267FFC" w:rsidRPr="00267FFC" w:rsidRDefault="00267FFC" w:rsidP="00267FFC">
      <w:pPr>
        <w:rPr>
          <w:rFonts w:ascii="Times New Roman" w:hAnsi="Times New Roman" w:cs="Times New Roman"/>
          <w:sz w:val="24"/>
          <w:szCs w:val="24"/>
        </w:rPr>
      </w:pPr>
    </w:p>
    <w:p w14:paraId="093F288B" w14:textId="4D76B638" w:rsidR="00267FFC" w:rsidRPr="00267FFC" w:rsidRDefault="00267FFC" w:rsidP="00267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FFC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67FFC">
        <w:rPr>
          <w:rFonts w:ascii="Times New Roman" w:hAnsi="Times New Roman" w:cs="Times New Roman"/>
          <w:sz w:val="24"/>
          <w:szCs w:val="24"/>
        </w:rPr>
        <w:t>krolinatrev2002@outlook.com</w:t>
      </w:r>
    </w:p>
    <w:p w14:paraId="57030C00" w14:textId="77777777" w:rsidR="00267FFC" w:rsidRPr="00267FFC" w:rsidRDefault="00267FFC" w:rsidP="00267F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03BFC" w14:textId="4EFB239A" w:rsidR="00267FFC" w:rsidRPr="00267FFC" w:rsidRDefault="00267FFC" w:rsidP="00267FFC">
      <w:pPr>
        <w:jc w:val="both"/>
        <w:rPr>
          <w:rFonts w:ascii="Times New Roman" w:hAnsi="Times New Roman" w:cs="Times New Roman"/>
          <w:sz w:val="20"/>
          <w:szCs w:val="20"/>
        </w:rPr>
      </w:pPr>
      <w:r w:rsidRPr="00267FF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267FFC">
        <w:rPr>
          <w:rFonts w:ascii="Times New Roman" w:hAnsi="Times New Roman" w:cs="Times New Roman"/>
          <w:sz w:val="20"/>
          <w:szCs w:val="20"/>
        </w:rPr>
        <w:t xml:space="preserve">Graduanda, UNICERP, Curso de </w:t>
      </w:r>
      <w:r w:rsidRPr="00267FFC">
        <w:rPr>
          <w:rFonts w:ascii="Times New Roman" w:hAnsi="Times New Roman" w:cs="Times New Roman"/>
          <w:sz w:val="20"/>
          <w:szCs w:val="20"/>
        </w:rPr>
        <w:t>Fonoaudiologia</w:t>
      </w:r>
      <w:r w:rsidRPr="00267FFC">
        <w:rPr>
          <w:rFonts w:ascii="Times New Roman" w:hAnsi="Times New Roman" w:cs="Times New Roman"/>
          <w:sz w:val="20"/>
          <w:szCs w:val="20"/>
        </w:rPr>
        <w:t xml:space="preserve">, Patrocínio/MG, Brasil; </w:t>
      </w:r>
      <w:r w:rsidRPr="00267FFC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267FFC">
        <w:rPr>
          <w:rFonts w:ascii="Times New Roman" w:hAnsi="Times New Roman" w:cs="Times New Roman"/>
          <w:sz w:val="20"/>
          <w:szCs w:val="20"/>
        </w:rPr>
        <w:t xml:space="preserve">Mestre, UNICERP, Curso de </w:t>
      </w:r>
      <w:r w:rsidRPr="00267FFC">
        <w:rPr>
          <w:rFonts w:ascii="Times New Roman" w:hAnsi="Times New Roman" w:cs="Times New Roman"/>
          <w:sz w:val="20"/>
          <w:szCs w:val="20"/>
        </w:rPr>
        <w:t>Fonoaudiologia</w:t>
      </w:r>
      <w:r w:rsidRPr="00267FFC">
        <w:rPr>
          <w:rFonts w:ascii="Times New Roman" w:hAnsi="Times New Roman" w:cs="Times New Roman"/>
          <w:sz w:val="20"/>
          <w:szCs w:val="20"/>
        </w:rPr>
        <w:t>, Patrocínio/MG, Brasil.</w:t>
      </w:r>
    </w:p>
    <w:p w14:paraId="15DC69F8" w14:textId="01F65FC7" w:rsidR="00267FFC" w:rsidRPr="00267FFC" w:rsidRDefault="00267FFC" w:rsidP="00267FF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3DA1AFF" w14:textId="77777777" w:rsidR="00267FFC" w:rsidRPr="00267FFC" w:rsidRDefault="00267FFC" w:rsidP="00267FF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7FFC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267FFC">
        <w:rPr>
          <w:rFonts w:ascii="Times New Roman" w:hAnsi="Times New Roman" w:cs="Times New Roman"/>
          <w:sz w:val="24"/>
          <w:szCs w:val="24"/>
        </w:rPr>
        <w:t xml:space="preserve"> A apraxia de fala infantil, um dos tipos de transtorno de fala, apresenta divergências nos critérios diagnósticos, tornando-o complexo e dificultando na intervenção, visto que demonstra uma carência de estudos voltados para o tratamento da AFI. </w:t>
      </w:r>
      <w:r w:rsidRPr="00267FFC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267FFC">
        <w:rPr>
          <w:rFonts w:ascii="Times New Roman" w:hAnsi="Times New Roman" w:cs="Times New Roman"/>
          <w:sz w:val="24"/>
          <w:szCs w:val="24"/>
        </w:rPr>
        <w:t xml:space="preserve"> Apresentar a proposta de intervenção fonoaudiológica </w:t>
      </w:r>
      <w:proofErr w:type="spellStart"/>
      <w:r w:rsidRPr="00267FFC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267FFC">
        <w:rPr>
          <w:rFonts w:ascii="Times New Roman" w:hAnsi="Times New Roman" w:cs="Times New Roman"/>
          <w:sz w:val="24"/>
          <w:szCs w:val="24"/>
        </w:rPr>
        <w:t xml:space="preserve"> direcionada para o tratamento de uma criança com AFI. </w:t>
      </w:r>
      <w:r w:rsidRPr="00267FFC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267F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7FFC">
        <w:rPr>
          <w:rFonts w:ascii="Times New Roman" w:hAnsi="Times New Roman" w:cs="Times New Roman"/>
          <w:sz w:val="24"/>
          <w:szCs w:val="24"/>
        </w:rPr>
        <w:t>Estudo de caso descritivo de uma</w:t>
      </w:r>
      <w:r w:rsidRPr="00267F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7FFC">
        <w:rPr>
          <w:rFonts w:ascii="Times New Roman" w:hAnsi="Times New Roman" w:cs="Times New Roman"/>
          <w:sz w:val="24"/>
          <w:szCs w:val="24"/>
        </w:rPr>
        <w:t xml:space="preserve">criança de 4 anos do sexo masculino com diagnóstico de AFI. Para a coleta de dados da avaliação, foi observado o </w:t>
      </w:r>
      <w:proofErr w:type="spellStart"/>
      <w:r w:rsidRPr="00267FFC">
        <w:rPr>
          <w:rFonts w:ascii="Times New Roman" w:hAnsi="Times New Roman" w:cs="Times New Roman"/>
          <w:sz w:val="24"/>
          <w:szCs w:val="24"/>
        </w:rPr>
        <w:t>subteste</w:t>
      </w:r>
      <w:proofErr w:type="spellEnd"/>
      <w:r w:rsidRPr="00267FFC">
        <w:rPr>
          <w:rFonts w:ascii="Times New Roman" w:hAnsi="Times New Roman" w:cs="Times New Roman"/>
          <w:sz w:val="24"/>
          <w:szCs w:val="24"/>
        </w:rPr>
        <w:t xml:space="preserve"> do protocolo ABFW na área de fonologia, com as provas de nomeação e imitação e um checklist, contendo as principais características da AFI. Após a análise, foi realizado a intervenção com o método </w:t>
      </w:r>
      <w:proofErr w:type="spellStart"/>
      <w:r w:rsidRPr="00267FFC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267FFC">
        <w:rPr>
          <w:rFonts w:ascii="Times New Roman" w:hAnsi="Times New Roman" w:cs="Times New Roman"/>
          <w:sz w:val="24"/>
          <w:szCs w:val="24"/>
        </w:rPr>
        <w:t xml:space="preserve">, contendo 20 </w:t>
      </w:r>
      <w:proofErr w:type="spellStart"/>
      <w:r w:rsidRPr="00267FFC">
        <w:rPr>
          <w:rFonts w:ascii="Times New Roman" w:hAnsi="Times New Roman" w:cs="Times New Roman"/>
          <w:sz w:val="24"/>
          <w:szCs w:val="24"/>
        </w:rPr>
        <w:t>pseudopalavras</w:t>
      </w:r>
      <w:proofErr w:type="spellEnd"/>
      <w:r w:rsidRPr="00267FFC">
        <w:rPr>
          <w:rFonts w:ascii="Times New Roman" w:hAnsi="Times New Roman" w:cs="Times New Roman"/>
          <w:sz w:val="24"/>
          <w:szCs w:val="24"/>
        </w:rPr>
        <w:t xml:space="preserve"> distribuídas em 7 oxítonas, 7 paroxítonas e 6 proparoxítonas, apresentadas nas 12 sessões divididas em 3 vezes por semana com duração de 50 a 60 minutos cada. Posteriormente, foi realizado a reavaliação com os mesmos critérios da avaliação para verificar os resultados adquiridos pelo o paciente. </w:t>
      </w:r>
      <w:r w:rsidRPr="00267FFC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267F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7FFC">
        <w:rPr>
          <w:rFonts w:ascii="Times New Roman" w:hAnsi="Times New Roman" w:cs="Times New Roman"/>
          <w:sz w:val="24"/>
          <w:szCs w:val="24"/>
        </w:rPr>
        <w:t xml:space="preserve">Foi apresentado as etapas de execução da intervenção </w:t>
      </w:r>
      <w:proofErr w:type="spellStart"/>
      <w:r w:rsidRPr="00267FFC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267FFC">
        <w:rPr>
          <w:rFonts w:ascii="Times New Roman" w:hAnsi="Times New Roman" w:cs="Times New Roman"/>
          <w:sz w:val="24"/>
          <w:szCs w:val="24"/>
        </w:rPr>
        <w:t xml:space="preserve"> direcionada para o tratamento de uma criança com AFI, bem como verificado os aspectos remediados como: distorção e erros em vogais, dificuldade na configuração articulatória iniciais, dificuldade em palavras maiores, fala lentificada e alteração prosódica, e por fim, comparado a avaliação e reavaliação com os resultados adquiridos pela criança. </w:t>
      </w:r>
      <w:r w:rsidRPr="00267FFC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267FFC">
        <w:rPr>
          <w:rFonts w:ascii="Times New Roman" w:hAnsi="Times New Roman" w:cs="Times New Roman"/>
          <w:sz w:val="24"/>
          <w:szCs w:val="24"/>
        </w:rPr>
        <w:t xml:space="preserve"> Conclui-se que o método </w:t>
      </w:r>
      <w:proofErr w:type="spellStart"/>
      <w:r w:rsidRPr="00267FFC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267FFC">
        <w:rPr>
          <w:rFonts w:ascii="Times New Roman" w:hAnsi="Times New Roman" w:cs="Times New Roman"/>
          <w:sz w:val="24"/>
          <w:szCs w:val="24"/>
        </w:rPr>
        <w:t xml:space="preserve"> é funcional para o tratamento de apraxia de fala infantil, dado que o paciente adquiriu aspectos segmentais e suprassegmentais da fala.</w:t>
      </w:r>
    </w:p>
    <w:p w14:paraId="214A828E" w14:textId="77777777" w:rsidR="00267FFC" w:rsidRPr="00267FFC" w:rsidRDefault="00267FFC" w:rsidP="00267FF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7F33DD" w14:textId="77777777" w:rsidR="00267FFC" w:rsidRPr="00267FFC" w:rsidRDefault="00267FFC" w:rsidP="00267FF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67FFC">
        <w:rPr>
          <w:rFonts w:ascii="Times New Roman" w:eastAsia="Times New Roman" w:hAnsi="Times New Roman" w:cs="Times New Roman"/>
          <w:b/>
          <w:sz w:val="24"/>
          <w:szCs w:val="24"/>
        </w:rPr>
        <w:t>Palavras chave:</w:t>
      </w:r>
      <w:r w:rsidRPr="00267FFC">
        <w:rPr>
          <w:rFonts w:ascii="Times New Roman" w:eastAsia="Times New Roman" w:hAnsi="Times New Roman" w:cs="Times New Roman"/>
          <w:sz w:val="24"/>
          <w:szCs w:val="24"/>
        </w:rPr>
        <w:t xml:space="preserve"> Aprendizagem motora. Desenvolvimento infantil. Dispraxia. </w:t>
      </w:r>
    </w:p>
    <w:p w14:paraId="00000010" w14:textId="77777777" w:rsidR="00172207" w:rsidRPr="00267FFC" w:rsidRDefault="00172207" w:rsidP="00267FFC">
      <w:pPr>
        <w:spacing w:before="240"/>
        <w:jc w:val="center"/>
        <w:rPr>
          <w:rFonts w:ascii="Times New Roman" w:hAnsi="Times New Roman" w:cs="Times New Roman"/>
        </w:rPr>
      </w:pPr>
    </w:p>
    <w:sectPr w:rsidR="00172207" w:rsidRPr="00267FF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5AFF" w14:textId="77777777" w:rsidR="00251F9D" w:rsidRDefault="00251F9D">
      <w:pPr>
        <w:spacing w:line="240" w:lineRule="auto"/>
      </w:pPr>
      <w:r>
        <w:separator/>
      </w:r>
    </w:p>
  </w:endnote>
  <w:endnote w:type="continuationSeparator" w:id="0">
    <w:p w14:paraId="48A1F164" w14:textId="77777777" w:rsidR="00251F9D" w:rsidRDefault="00251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EF8E" w14:textId="77777777" w:rsidR="00251F9D" w:rsidRDefault="00251F9D">
      <w:pPr>
        <w:spacing w:line="240" w:lineRule="auto"/>
      </w:pPr>
      <w:r>
        <w:separator/>
      </w:r>
    </w:p>
  </w:footnote>
  <w:footnote w:type="continuationSeparator" w:id="0">
    <w:p w14:paraId="4F703C19" w14:textId="77777777" w:rsidR="00251F9D" w:rsidRDefault="00251F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251F9D"/>
    <w:rsid w:val="00267FFC"/>
    <w:rsid w:val="00910982"/>
    <w:rsid w:val="00C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B1F60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qFormat/>
    <w:rsid w:val="00267FF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Karol</cp:lastModifiedBy>
  <cp:revision>2</cp:revision>
  <dcterms:created xsi:type="dcterms:W3CDTF">2023-11-03T19:01:00Z</dcterms:created>
  <dcterms:modified xsi:type="dcterms:W3CDTF">2023-11-03T19:01:00Z</dcterms:modified>
</cp:coreProperties>
</file>