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CCA06" w14:textId="77777777" w:rsidR="009B4014" w:rsidRDefault="00E64BAF">
      <w:r>
        <w:rPr>
          <w:noProof/>
          <w:lang w:eastAsia="pt-BR"/>
        </w:rPr>
        <w:drawing>
          <wp:inline distT="0" distB="0" distL="0" distR="0" wp14:anchorId="5CFF94FF" wp14:editId="5403ECC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36C46AF9" w14:textId="47540BB3" w:rsidR="00342DF4" w:rsidRDefault="00FA73C2" w:rsidP="00FA73C2">
      <w:pPr>
        <w:spacing w:after="0" w:line="240" w:lineRule="auto"/>
        <w:jc w:val="center"/>
        <w:rPr>
          <w:rFonts w:ascii="Times New Roman" w:eastAsia="Times New Roman" w:hAnsi="Times New Roman" w:cs="Times New Roman"/>
          <w:bCs/>
          <w:sz w:val="24"/>
          <w:szCs w:val="24"/>
          <w:lang w:eastAsia="pt-BR"/>
        </w:rPr>
      </w:pPr>
      <w:r w:rsidRPr="00FA73C2">
        <w:rPr>
          <w:rFonts w:ascii="Times New Roman" w:eastAsia="Times New Roman" w:hAnsi="Times New Roman" w:cs="Times New Roman"/>
          <w:b/>
          <w:bCs/>
          <w:sz w:val="24"/>
          <w:szCs w:val="24"/>
          <w:lang w:eastAsia="pt-BR"/>
        </w:rPr>
        <w:t>O ESTIGMA DO LAUDO: IMPACTOS QUE UM DIAGNÓSTICO EQUIVOCADO DE DEFICIÊNCIA INTELECTUAL EM UM CASO DE DISLEXIA</w:t>
      </w:r>
    </w:p>
    <w:p w14:paraId="28489B5E" w14:textId="58A5B87D" w:rsidR="00342DF4" w:rsidRDefault="00D76CCE"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Roberto Harrysson Braga Tolentino</w:t>
      </w:r>
    </w:p>
    <w:p w14:paraId="047D2584" w14:textId="0ED48D23" w:rsidR="00342DF4" w:rsidRDefault="00D76CCE"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UVIGO- Universidade de Vigo/Espanha</w:t>
      </w:r>
    </w:p>
    <w:p w14:paraId="5014ED8D" w14:textId="787E50EF" w:rsidR="00342DF4" w:rsidRDefault="00000000" w:rsidP="00342DF4">
      <w:pPr>
        <w:spacing w:after="0" w:line="240" w:lineRule="auto"/>
        <w:jc w:val="right"/>
        <w:rPr>
          <w:rFonts w:ascii="Times New Roman" w:eastAsia="Times New Roman" w:hAnsi="Times New Roman" w:cs="Times New Roman"/>
          <w:sz w:val="24"/>
          <w:szCs w:val="24"/>
          <w:lang w:eastAsia="pt-BR"/>
        </w:rPr>
      </w:pPr>
      <w:hyperlink r:id="rId5" w:history="1">
        <w:r w:rsidR="002F40AA" w:rsidRPr="00031E49">
          <w:rPr>
            <w:rStyle w:val="Hiperligao"/>
            <w:rFonts w:ascii="Times New Roman" w:eastAsia="Times New Roman" w:hAnsi="Times New Roman" w:cs="Times New Roman"/>
            <w:sz w:val="24"/>
            <w:szCs w:val="24"/>
            <w:lang w:eastAsia="pt-BR"/>
          </w:rPr>
          <w:t>rbtolentino@gmail.com</w:t>
        </w:r>
      </w:hyperlink>
    </w:p>
    <w:p w14:paraId="2AD03C75" w14:textId="77777777" w:rsidR="002F40AA" w:rsidRDefault="002F40AA" w:rsidP="00342DF4">
      <w:pPr>
        <w:spacing w:after="0" w:line="240" w:lineRule="auto"/>
        <w:jc w:val="right"/>
        <w:rPr>
          <w:rFonts w:ascii="Times New Roman" w:eastAsia="Times New Roman" w:hAnsi="Times New Roman" w:cs="Times New Roman"/>
          <w:sz w:val="24"/>
          <w:szCs w:val="24"/>
          <w:lang w:eastAsia="pt-BR"/>
        </w:rPr>
      </w:pPr>
    </w:p>
    <w:p w14:paraId="4DEA27B1" w14:textId="04E8559E" w:rsidR="00342DF4" w:rsidRDefault="00D76CCE"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Elmara Verneque Durães Tolentino</w:t>
      </w:r>
    </w:p>
    <w:p w14:paraId="2B01999A" w14:textId="4562FDD9" w:rsidR="00342DF4" w:rsidRDefault="00FE70A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UNEB- Universidade do Estado da Bahia</w:t>
      </w:r>
    </w:p>
    <w:p w14:paraId="776E7CC9" w14:textId="59A9235A" w:rsidR="00342DF4" w:rsidRDefault="00000000" w:rsidP="00342DF4">
      <w:pPr>
        <w:spacing w:after="0" w:line="240" w:lineRule="auto"/>
        <w:jc w:val="right"/>
        <w:rPr>
          <w:rFonts w:ascii="Times New Roman" w:eastAsia="Times New Roman" w:hAnsi="Times New Roman" w:cs="Times New Roman"/>
          <w:sz w:val="24"/>
          <w:szCs w:val="24"/>
          <w:lang w:eastAsia="pt-BR"/>
        </w:rPr>
      </w:pPr>
      <w:hyperlink r:id="rId6" w:history="1">
        <w:r w:rsidR="002F40AA" w:rsidRPr="00031E49">
          <w:rPr>
            <w:rStyle w:val="Hiperligao"/>
            <w:rFonts w:ascii="Times New Roman" w:eastAsia="Times New Roman" w:hAnsi="Times New Roman" w:cs="Times New Roman"/>
            <w:sz w:val="24"/>
            <w:szCs w:val="24"/>
            <w:lang w:eastAsia="pt-BR"/>
          </w:rPr>
          <w:t>elmaraverneque@gmail.com</w:t>
        </w:r>
      </w:hyperlink>
    </w:p>
    <w:p w14:paraId="4A4F4705" w14:textId="77777777" w:rsidR="002F40AA" w:rsidRDefault="002F40AA" w:rsidP="00342DF4">
      <w:pPr>
        <w:spacing w:after="0" w:line="240" w:lineRule="auto"/>
        <w:jc w:val="right"/>
        <w:rPr>
          <w:rFonts w:ascii="Times New Roman" w:eastAsia="Times New Roman" w:hAnsi="Times New Roman" w:cs="Times New Roman"/>
          <w:sz w:val="24"/>
          <w:szCs w:val="24"/>
          <w:lang w:eastAsia="pt-BR"/>
        </w:rPr>
      </w:pPr>
    </w:p>
    <w:p w14:paraId="64B63509" w14:textId="4B022D8C" w:rsidR="00342DF4" w:rsidRDefault="00045A65" w:rsidP="00342DF4">
      <w:pPr>
        <w:spacing w:after="0" w:line="240" w:lineRule="auto"/>
        <w:jc w:val="right"/>
        <w:rPr>
          <w:rFonts w:ascii="Times New Roman" w:eastAsia="Times New Roman" w:hAnsi="Times New Roman" w:cs="Times New Roman"/>
          <w:b/>
          <w:bCs/>
          <w:sz w:val="24"/>
          <w:szCs w:val="24"/>
          <w:lang w:eastAsia="pt-BR"/>
        </w:rPr>
      </w:pPr>
      <w:r w:rsidRPr="00045A65">
        <w:rPr>
          <w:rFonts w:ascii="Times New Roman" w:eastAsia="Times New Roman" w:hAnsi="Times New Roman" w:cs="Times New Roman"/>
          <w:b/>
          <w:bCs/>
          <w:sz w:val="24"/>
          <w:szCs w:val="24"/>
          <w:lang w:eastAsia="pt-BR"/>
        </w:rPr>
        <w:t>Eixo 4 – Currículo, Práticas Pedagógicas e Formação Docente</w:t>
      </w:r>
    </w:p>
    <w:p w14:paraId="3D1D8A96" w14:textId="75D3CF17" w:rsidR="00342DF4" w:rsidRDefault="00045A65" w:rsidP="00342DF4">
      <w:pPr>
        <w:spacing w:after="0" w:line="240" w:lineRule="auto"/>
        <w:jc w:val="right"/>
        <w:rPr>
          <w:rFonts w:ascii="Times New Roman" w:eastAsia="Times New Roman" w:hAnsi="Times New Roman" w:cs="Times New Roman"/>
          <w:b/>
          <w:sz w:val="24"/>
          <w:szCs w:val="24"/>
          <w:lang w:eastAsia="pt-BR"/>
        </w:rPr>
      </w:pPr>
      <w:r w:rsidRPr="00045A65">
        <w:rPr>
          <w:rFonts w:ascii="Times New Roman" w:eastAsia="Times New Roman" w:hAnsi="Times New Roman" w:cs="Times New Roman"/>
          <w:b/>
          <w:sz w:val="24"/>
          <w:szCs w:val="24"/>
          <w:lang w:eastAsia="pt-BR"/>
        </w:rPr>
        <w:t>Dislexia; Erro Diagnóstico; Formação Docente; Neurofisiologia da Educação; Impacto Emocional.</w:t>
      </w:r>
    </w:p>
    <w:p w14:paraId="315A810C" w14:textId="77777777" w:rsidR="00342DF4" w:rsidRDefault="00342DF4"/>
    <w:p w14:paraId="5513C041"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Introdução</w:t>
      </w:r>
    </w:p>
    <w:p w14:paraId="6646EF17" w14:textId="63B3261A" w:rsidR="00292396" w:rsidRPr="002F40AA" w:rsidRDefault="005A554B" w:rsidP="002F40AA">
      <w:pPr>
        <w:jc w:val="both"/>
        <w:rPr>
          <w:rFonts w:ascii="Times New Roman" w:eastAsia="Times New Roman" w:hAnsi="Times New Roman" w:cs="Times New Roman"/>
          <w:b/>
          <w:sz w:val="24"/>
          <w:szCs w:val="24"/>
          <w:lang w:eastAsia="pt-BR"/>
        </w:rPr>
      </w:pPr>
      <w:r w:rsidRPr="005A554B">
        <w:rPr>
          <w:rFonts w:ascii="Times New Roman" w:hAnsi="Times New Roman" w:cs="Times New Roman"/>
          <w:sz w:val="24"/>
          <w:szCs w:val="24"/>
        </w:rPr>
        <w:t>Identificar uma neurodivergência em escolares exige articulação entre observação pedagógica e avaliação clínica. Erros diagnósticos são frequentes e podem trazer consequências graves ao desenvolvimento acadêmico, social e emocional. Este estudo analisa o caso de uma mulher que, aos 10 anos, recebeu diagnóstico de “retardo mental” por testes psicométricos, apesar de apresentar capacidades cognitivas preservadas no cotidiano. Somente na vida adulta foi corretamente diagnosticada com dislexia. O objetivo é investigar o impacto de um erro diagnóstico e destacar a formação docente em Neurofisiologia da Educação como ferramenta essencial para identificação precoce de neurodivergências, prevenindo estigmas e prejuízos.</w:t>
      </w:r>
    </w:p>
    <w:p w14:paraId="70EA2D2F"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Fundamentos Teóricos</w:t>
      </w:r>
    </w:p>
    <w:p w14:paraId="533807BC" w14:textId="78C4E151" w:rsidR="002F40AA" w:rsidRDefault="005A554B" w:rsidP="002F40AA">
      <w:pPr>
        <w:jc w:val="both"/>
        <w:rPr>
          <w:rFonts w:ascii="Times New Roman" w:hAnsi="Times New Roman" w:cs="Times New Roman"/>
          <w:sz w:val="24"/>
          <w:szCs w:val="24"/>
        </w:rPr>
      </w:pPr>
      <w:r w:rsidRPr="005A554B">
        <w:rPr>
          <w:rFonts w:ascii="Times New Roman" w:hAnsi="Times New Roman" w:cs="Times New Roman"/>
          <w:sz w:val="24"/>
          <w:szCs w:val="24"/>
        </w:rPr>
        <w:t>A dislexia é um transtorno específico da aprendizagem de origem neurobiológica, caracterizado por dificuldades de leitura e decodificação sem comprometimento intelectual (Moojen; Bassôa; Gonçalves, 2016). O caso ilustra falha grave ao confundir transtorno de linguagem com deficiência intelectual. Estudos apontam trajetórias semelhantes de diagnósticos equivocados, revelando marcas da falta de suporte adequado (Silva; Soares; Silva, 2023). As consequências ultrapassam o fracasso escolar, afetando a saúde mental. Pereira e Silva (2024) destacam que a dislexia pode gerar ansiedade, depressão e baixa autoestima, reforçando a necessidade de compreensão científica para evitar erros que afetam o desenvolvimento integral.</w:t>
      </w:r>
    </w:p>
    <w:p w14:paraId="0973C568" w14:textId="72A230D3"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Metodologia</w:t>
      </w:r>
    </w:p>
    <w:p w14:paraId="6DFCE1A4" w14:textId="48CED550" w:rsidR="00292396" w:rsidRPr="002F40AA" w:rsidRDefault="005A554B" w:rsidP="002F40AA">
      <w:pPr>
        <w:jc w:val="both"/>
        <w:rPr>
          <w:rFonts w:ascii="Times New Roman" w:hAnsi="Times New Roman" w:cs="Times New Roman"/>
          <w:sz w:val="24"/>
          <w:szCs w:val="24"/>
        </w:rPr>
      </w:pPr>
      <w:r w:rsidRPr="005A554B">
        <w:rPr>
          <w:rFonts w:ascii="Times New Roman" w:hAnsi="Times New Roman" w:cs="Times New Roman"/>
          <w:sz w:val="24"/>
          <w:szCs w:val="24"/>
        </w:rPr>
        <w:lastRenderedPageBreak/>
        <w:t>A pesquisa adota abordagem qualitativa em estudo de caso, com duas fontes principais: análise documental da bateria de testes que sustentou o diagnóstico equivocado e entrevistas semiestruturadas com a participante. Os relatos biográficos enfocam percurso escolar, impactos emocionais do laudo e relação atual com o aprendizado. A análise busca contrastar dados dos testes com evidências de inteligência preservada, à luz da literatura científica sobre dislexia.</w:t>
      </w:r>
    </w:p>
    <w:p w14:paraId="0500195F"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 xml:space="preserve">Análise </w:t>
      </w:r>
      <w:r w:rsidR="00BD0C00" w:rsidRPr="002F40AA">
        <w:rPr>
          <w:rFonts w:ascii="Times New Roman" w:eastAsia="Times New Roman" w:hAnsi="Times New Roman" w:cs="Times New Roman"/>
          <w:b/>
          <w:sz w:val="24"/>
          <w:szCs w:val="24"/>
          <w:lang w:eastAsia="pt-BR"/>
        </w:rPr>
        <w:t>parcial dos resultados</w:t>
      </w:r>
    </w:p>
    <w:p w14:paraId="507C1844" w14:textId="05428C54" w:rsidR="00292396" w:rsidRPr="002F40AA" w:rsidRDefault="005A554B" w:rsidP="002F40AA">
      <w:pPr>
        <w:jc w:val="both"/>
        <w:rPr>
          <w:rFonts w:ascii="Times New Roman" w:hAnsi="Times New Roman" w:cs="Times New Roman"/>
          <w:sz w:val="24"/>
          <w:szCs w:val="24"/>
        </w:rPr>
      </w:pPr>
      <w:r w:rsidRPr="005A554B">
        <w:rPr>
          <w:rFonts w:ascii="Times New Roman" w:hAnsi="Times New Roman" w:cs="Times New Roman"/>
          <w:sz w:val="24"/>
          <w:szCs w:val="24"/>
        </w:rPr>
        <w:t>Analisando inicialmente os documentos (laudos, testes, etc) e correlacionando com o relato de vida que foi transcrito a partir de uma entrevista semi-estruturada; obteve-se uma dissonância bastante relevante entre o laudo recebido na infância e a realidade da paciente. Os testes, embora tenham sido aplicados por profissionais, parecem ter desconsiderado o contexto e as especificidades de um transtorno clássico de aprendizagem. A narrativa da paciente apresentou uma trajetória marcada pelo estigma, pela baixa autoestima e por estratégias de evitação que culminaram em uma aversão ao estudo na vida adulta, além de comorbidades como ansiedade e depressão, corroborando os achados de Pereira e Silva (2024). Fica evidente que um professor com conhecimentos em Neurofisiologia da Educação, ao observar a discrepância entre o laudo e a capacidade da aluna em sala de aula, poderia ter atuado como um agente interventor, questionando o diagnóstico e solicitando uma reavaliação multiprofissional mais aprofundada.</w:t>
      </w:r>
    </w:p>
    <w:p w14:paraId="184C231D" w14:textId="77777777" w:rsidR="00342DF4" w:rsidRPr="002F40AA" w:rsidRDefault="00342DF4"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Conclusões</w:t>
      </w:r>
      <w:r w:rsidR="00BD0C00" w:rsidRPr="002F40AA">
        <w:rPr>
          <w:rFonts w:ascii="Times New Roman" w:eastAsia="Times New Roman" w:hAnsi="Times New Roman" w:cs="Times New Roman"/>
          <w:b/>
          <w:sz w:val="24"/>
          <w:szCs w:val="24"/>
          <w:lang w:eastAsia="pt-BR"/>
        </w:rPr>
        <w:t xml:space="preserve"> parciais</w:t>
      </w:r>
    </w:p>
    <w:p w14:paraId="2931395C" w14:textId="6F719EAD" w:rsidR="00292396" w:rsidRPr="002F40AA" w:rsidRDefault="005A554B" w:rsidP="002F40AA">
      <w:pPr>
        <w:jc w:val="both"/>
        <w:rPr>
          <w:rFonts w:ascii="Times New Roman" w:eastAsia="Times New Roman" w:hAnsi="Times New Roman" w:cs="Times New Roman"/>
          <w:b/>
          <w:sz w:val="24"/>
          <w:szCs w:val="24"/>
          <w:lang w:eastAsia="pt-BR"/>
        </w:rPr>
      </w:pPr>
      <w:r w:rsidRPr="005A554B">
        <w:rPr>
          <w:rFonts w:ascii="Times New Roman" w:hAnsi="Times New Roman" w:cs="Times New Roman"/>
          <w:sz w:val="24"/>
          <w:szCs w:val="24"/>
        </w:rPr>
        <w:t>Este caso demonstra os riscos de diagnósticos descontextualizados e a importância de fundamentos científicos sólidos na avaliação. Reforça a urgência de capacitar professores em Neurofisiologia da Educação, instrumentalizando-os como observadores qualificados capazes de dialogar com equipes clínicas quando a sala de aula contrasta com o laudo. Não se trata de transformar educadores em diagnosticadores, mas em defensores atentos da realidade dos alunos. A pesquisa aponta para a necessidade de políticas de formação continuada que fortaleçam esse papel docente, contribuindo para uma inclusão justa e eficaz.</w:t>
      </w:r>
    </w:p>
    <w:p w14:paraId="5FDB8DCB" w14:textId="77777777" w:rsidR="00BD0C00" w:rsidRPr="002F40AA" w:rsidRDefault="00BD0C00" w:rsidP="002F40AA">
      <w:pPr>
        <w:jc w:val="both"/>
        <w:rPr>
          <w:rFonts w:ascii="Times New Roman" w:eastAsia="Times New Roman" w:hAnsi="Times New Roman" w:cs="Times New Roman"/>
          <w:b/>
          <w:sz w:val="24"/>
          <w:szCs w:val="24"/>
          <w:lang w:eastAsia="pt-BR"/>
        </w:rPr>
      </w:pPr>
      <w:r w:rsidRPr="002F40AA">
        <w:rPr>
          <w:rFonts w:ascii="Times New Roman" w:eastAsia="Times New Roman" w:hAnsi="Times New Roman" w:cs="Times New Roman"/>
          <w:b/>
          <w:sz w:val="24"/>
          <w:szCs w:val="24"/>
          <w:lang w:eastAsia="pt-BR"/>
        </w:rPr>
        <w:t>Apoio técnico ou financeiro (se houver)</w:t>
      </w:r>
    </w:p>
    <w:p w14:paraId="04DB8D6D" w14:textId="2479FDB5" w:rsidR="00BD0C00" w:rsidRPr="002F40AA" w:rsidRDefault="002F40AA" w:rsidP="002F40AA">
      <w:pPr>
        <w:jc w:val="both"/>
        <w:rPr>
          <w:rFonts w:ascii="Times New Roman" w:eastAsia="Times New Roman" w:hAnsi="Times New Roman" w:cs="Times New Roman"/>
          <w:bCs/>
          <w:sz w:val="24"/>
          <w:szCs w:val="24"/>
          <w:lang w:eastAsia="pt-BR"/>
        </w:rPr>
      </w:pPr>
      <w:r w:rsidRPr="002F40AA">
        <w:rPr>
          <w:rFonts w:ascii="Times New Roman" w:eastAsia="Times New Roman" w:hAnsi="Times New Roman" w:cs="Times New Roman"/>
          <w:bCs/>
          <w:sz w:val="24"/>
          <w:szCs w:val="24"/>
          <w:lang w:eastAsia="pt-BR"/>
        </w:rPr>
        <w:t>Não houve</w:t>
      </w:r>
    </w:p>
    <w:p w14:paraId="75CD388E" w14:textId="77777777"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3DD6252D" w14:textId="21339877" w:rsidR="005A554B" w:rsidRDefault="005A554B" w:rsidP="00BD0C00">
      <w:pPr>
        <w:jc w:val="both"/>
        <w:rPr>
          <w:rFonts w:ascii="Times New Roman" w:hAnsi="Times New Roman" w:cs="Times New Roman"/>
          <w:sz w:val="24"/>
          <w:szCs w:val="24"/>
        </w:rPr>
      </w:pPr>
      <w:r w:rsidRPr="005A554B">
        <w:rPr>
          <w:rFonts w:ascii="Times New Roman" w:hAnsi="Times New Roman" w:cs="Times New Roman"/>
          <w:sz w:val="24"/>
          <w:szCs w:val="24"/>
        </w:rPr>
        <w:t>PEREIRA,</w:t>
      </w:r>
      <w:r w:rsidR="004D1810">
        <w:rPr>
          <w:rFonts w:ascii="Times New Roman" w:hAnsi="Times New Roman" w:cs="Times New Roman"/>
          <w:sz w:val="24"/>
          <w:szCs w:val="24"/>
        </w:rPr>
        <w:t xml:space="preserve"> D.</w:t>
      </w:r>
      <w:r w:rsidRPr="005A554B">
        <w:rPr>
          <w:rFonts w:ascii="Times New Roman" w:hAnsi="Times New Roman" w:cs="Times New Roman"/>
          <w:sz w:val="24"/>
          <w:szCs w:val="24"/>
        </w:rPr>
        <w:t xml:space="preserve"> M.; SILVA, J.</w:t>
      </w:r>
      <w:r w:rsidR="004D1810">
        <w:rPr>
          <w:rFonts w:ascii="Times New Roman" w:hAnsi="Times New Roman" w:cs="Times New Roman"/>
          <w:sz w:val="24"/>
          <w:szCs w:val="24"/>
        </w:rPr>
        <w:t xml:space="preserve"> P.</w:t>
      </w:r>
      <w:r w:rsidRPr="005A554B">
        <w:rPr>
          <w:rFonts w:ascii="Times New Roman" w:hAnsi="Times New Roman" w:cs="Times New Roman"/>
          <w:sz w:val="24"/>
          <w:szCs w:val="24"/>
        </w:rPr>
        <w:t xml:space="preserve"> Um olhar sobre o impacto emocional da dislexia na infância: o papel da inteligência emocional. </w:t>
      </w:r>
      <w:r w:rsidRPr="005A554B">
        <w:rPr>
          <w:rFonts w:ascii="Times New Roman" w:hAnsi="Times New Roman" w:cs="Times New Roman"/>
          <w:i/>
          <w:iCs/>
          <w:sz w:val="24"/>
          <w:szCs w:val="24"/>
        </w:rPr>
        <w:t>Interfaces Científicas - Humanas e Sociais</w:t>
      </w:r>
      <w:r w:rsidRPr="005A554B">
        <w:rPr>
          <w:rFonts w:ascii="Times New Roman" w:hAnsi="Times New Roman" w:cs="Times New Roman"/>
          <w:sz w:val="24"/>
          <w:szCs w:val="24"/>
        </w:rPr>
        <w:t>, v. 12, n. 2, p. 86–100, 2024. DOI: 10.17564/2316-3801.2024v12n2p86-100.</w:t>
      </w:r>
    </w:p>
    <w:p w14:paraId="19DA8EC3" w14:textId="05E3C5D7" w:rsidR="005A554B" w:rsidRDefault="005A554B" w:rsidP="00BD0C00">
      <w:pPr>
        <w:jc w:val="both"/>
        <w:rPr>
          <w:rFonts w:ascii="Times New Roman" w:hAnsi="Times New Roman" w:cs="Times New Roman"/>
          <w:sz w:val="24"/>
          <w:szCs w:val="24"/>
        </w:rPr>
      </w:pPr>
      <w:r w:rsidRPr="005A554B">
        <w:rPr>
          <w:rFonts w:ascii="Times New Roman" w:hAnsi="Times New Roman" w:cs="Times New Roman"/>
          <w:sz w:val="24"/>
          <w:szCs w:val="24"/>
        </w:rPr>
        <w:t>MOOJEN, S</w:t>
      </w:r>
      <w:r>
        <w:rPr>
          <w:rFonts w:ascii="Times New Roman" w:hAnsi="Times New Roman" w:cs="Times New Roman"/>
          <w:sz w:val="24"/>
          <w:szCs w:val="24"/>
        </w:rPr>
        <w:t>.</w:t>
      </w:r>
      <w:r w:rsidRPr="005A554B">
        <w:rPr>
          <w:rFonts w:ascii="Times New Roman" w:hAnsi="Times New Roman" w:cs="Times New Roman"/>
          <w:sz w:val="24"/>
          <w:szCs w:val="24"/>
        </w:rPr>
        <w:t xml:space="preserve"> M</w:t>
      </w:r>
      <w:r>
        <w:rPr>
          <w:rFonts w:ascii="Times New Roman" w:hAnsi="Times New Roman" w:cs="Times New Roman"/>
          <w:sz w:val="24"/>
          <w:szCs w:val="24"/>
        </w:rPr>
        <w:t>.</w:t>
      </w:r>
      <w:r w:rsidRPr="005A554B">
        <w:rPr>
          <w:rFonts w:ascii="Times New Roman" w:hAnsi="Times New Roman" w:cs="Times New Roman"/>
          <w:sz w:val="24"/>
          <w:szCs w:val="24"/>
        </w:rPr>
        <w:t xml:space="preserve"> P</w:t>
      </w:r>
      <w:r>
        <w:rPr>
          <w:rFonts w:ascii="Times New Roman" w:hAnsi="Times New Roman" w:cs="Times New Roman"/>
          <w:sz w:val="24"/>
          <w:szCs w:val="24"/>
        </w:rPr>
        <w:t>.</w:t>
      </w:r>
      <w:r w:rsidRPr="005A554B">
        <w:rPr>
          <w:rFonts w:ascii="Times New Roman" w:hAnsi="Times New Roman" w:cs="Times New Roman"/>
          <w:sz w:val="24"/>
          <w:szCs w:val="24"/>
        </w:rPr>
        <w:t>; BASSÔA, A</w:t>
      </w:r>
      <w:r>
        <w:rPr>
          <w:rFonts w:ascii="Times New Roman" w:hAnsi="Times New Roman" w:cs="Times New Roman"/>
          <w:sz w:val="24"/>
          <w:szCs w:val="24"/>
        </w:rPr>
        <w:t>.</w:t>
      </w:r>
      <w:r w:rsidRPr="005A554B">
        <w:rPr>
          <w:rFonts w:ascii="Times New Roman" w:hAnsi="Times New Roman" w:cs="Times New Roman"/>
          <w:sz w:val="24"/>
          <w:szCs w:val="24"/>
        </w:rPr>
        <w:t>; GONÇALVES, H</w:t>
      </w:r>
      <w:r w:rsidR="004D1810">
        <w:rPr>
          <w:rFonts w:ascii="Times New Roman" w:hAnsi="Times New Roman" w:cs="Times New Roman"/>
          <w:sz w:val="24"/>
          <w:szCs w:val="24"/>
        </w:rPr>
        <w:t>.</w:t>
      </w:r>
      <w:r w:rsidRPr="005A554B">
        <w:rPr>
          <w:rFonts w:ascii="Times New Roman" w:hAnsi="Times New Roman" w:cs="Times New Roman"/>
          <w:sz w:val="24"/>
          <w:szCs w:val="24"/>
        </w:rPr>
        <w:t xml:space="preserve"> A. Características da dislexia de desenvolvimento e sua manifestação na idade adulta. </w:t>
      </w:r>
      <w:r w:rsidRPr="004D1810">
        <w:rPr>
          <w:rFonts w:ascii="Times New Roman" w:hAnsi="Times New Roman" w:cs="Times New Roman"/>
          <w:i/>
          <w:iCs/>
          <w:sz w:val="24"/>
          <w:szCs w:val="24"/>
        </w:rPr>
        <w:t>Revista Psicopedagogia</w:t>
      </w:r>
      <w:r w:rsidRPr="005A554B">
        <w:rPr>
          <w:rFonts w:ascii="Times New Roman" w:hAnsi="Times New Roman" w:cs="Times New Roman"/>
          <w:sz w:val="24"/>
          <w:szCs w:val="24"/>
        </w:rPr>
        <w:t xml:space="preserve">, São Paulo, v. 33, n. 100, p. 50-59, 2016. </w:t>
      </w:r>
    </w:p>
    <w:p w14:paraId="15B14C0B" w14:textId="5B5D001F" w:rsidR="002F40AA" w:rsidRDefault="005A554B" w:rsidP="00BD0C00">
      <w:pPr>
        <w:jc w:val="both"/>
      </w:pPr>
      <w:r w:rsidRPr="005A554B">
        <w:rPr>
          <w:rFonts w:ascii="Times New Roman" w:hAnsi="Times New Roman" w:cs="Times New Roman"/>
          <w:sz w:val="24"/>
          <w:szCs w:val="24"/>
        </w:rPr>
        <w:t>SILVA, N. M. O. da; SOARES, J. do N.; SILVA, A. L. da. O autodiagnóstico da dislexia na pessoa adulta: um estudo de caso. Diversitas Journal, v. 8, n. 1, 2023. DOI: 10.48017/dj.v8i1.2456.</w:t>
      </w:r>
    </w:p>
    <w:sectPr w:rsidR="002F40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45A65"/>
    <w:rsid w:val="00292396"/>
    <w:rsid w:val="002C29DB"/>
    <w:rsid w:val="002F40AA"/>
    <w:rsid w:val="00342DF4"/>
    <w:rsid w:val="003B3E13"/>
    <w:rsid w:val="003C038D"/>
    <w:rsid w:val="004B6E1F"/>
    <w:rsid w:val="004D1810"/>
    <w:rsid w:val="005A554B"/>
    <w:rsid w:val="00660186"/>
    <w:rsid w:val="006D36CB"/>
    <w:rsid w:val="00773D54"/>
    <w:rsid w:val="00806044"/>
    <w:rsid w:val="00850BC3"/>
    <w:rsid w:val="0085627F"/>
    <w:rsid w:val="00941F25"/>
    <w:rsid w:val="009B4014"/>
    <w:rsid w:val="009B5F59"/>
    <w:rsid w:val="00B27229"/>
    <w:rsid w:val="00BD0C00"/>
    <w:rsid w:val="00BE1E8E"/>
    <w:rsid w:val="00C537B6"/>
    <w:rsid w:val="00D76CCE"/>
    <w:rsid w:val="00DA48D2"/>
    <w:rsid w:val="00DC79A8"/>
    <w:rsid w:val="00E64BAF"/>
    <w:rsid w:val="00FA4CB5"/>
    <w:rsid w:val="00FA73C2"/>
    <w:rsid w:val="00FE70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33AD"/>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dice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iperligao">
    <w:name w:val="Hyperlink"/>
    <w:basedOn w:val="Tipodeletrapredefinidodopargrafo"/>
    <w:uiPriority w:val="99"/>
    <w:unhideWhenUsed/>
    <w:rsid w:val="002F40AA"/>
    <w:rPr>
      <w:color w:val="0563C1" w:themeColor="hyperlink"/>
      <w:u w:val="single"/>
    </w:rPr>
  </w:style>
  <w:style w:type="character" w:styleId="MenoNoResolvida">
    <w:name w:val="Unresolved Mention"/>
    <w:basedOn w:val="Tipodeletrapredefinidodopargrafo"/>
    <w:uiPriority w:val="99"/>
    <w:semiHidden/>
    <w:unhideWhenUsed/>
    <w:rsid w:val="002F4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maraverneque@gmail.com" TargetMode="External"/><Relationship Id="rId5" Type="http://schemas.openxmlformats.org/officeDocument/2006/relationships/hyperlink" Target="mailto:rbtolentino@gmail.com"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671</Words>
  <Characters>4193</Characters>
  <Application>Microsoft Office Word</Application>
  <DocSecurity>0</DocSecurity>
  <Lines>67</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Roberto e Mara Tolentino</cp:lastModifiedBy>
  <cp:revision>4</cp:revision>
  <dcterms:created xsi:type="dcterms:W3CDTF">2025-09-18T15:00:00Z</dcterms:created>
  <dcterms:modified xsi:type="dcterms:W3CDTF">2025-09-18T15:12:00Z</dcterms:modified>
</cp:coreProperties>
</file>