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49BEE" w14:textId="433E9CF5" w:rsidR="00447988" w:rsidRPr="00447988" w:rsidRDefault="006871E2" w:rsidP="006871E2">
      <w:pPr>
        <w:pStyle w:val="Ttulo1"/>
        <w:ind w:left="0" w:right="4"/>
      </w:pPr>
      <w:r>
        <w:rPr>
          <w:b w:val="0"/>
          <w:bCs w:val="0"/>
        </w:rPr>
        <w:t xml:space="preserve"> 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6E0999BE" w:rsidR="00047138" w:rsidRDefault="006871E2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PREVALÊNCIA DE AGENESIAS DENTÁRIAS EM INDIVÍDUOS DE 12 À 20 ANOS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91F9CD" w14:textId="760AD2CE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F123D2">
        <w:t>Paula Regina Monteiro Valente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F123D2">
        <w:t>Maria Clara Cavalcante da Silva</w:t>
      </w:r>
      <w:r>
        <w:t>;</w:t>
      </w:r>
      <w:r w:rsidR="005D4D2A">
        <w:t xml:space="preserve"> </w:t>
      </w:r>
      <w:r w:rsidR="005D4D2A" w:rsidRPr="005D4D2A">
        <w:rPr>
          <w:vertAlign w:val="superscript"/>
        </w:rPr>
        <w:t>3</w:t>
      </w:r>
      <w:r w:rsidR="005D4D2A">
        <w:t xml:space="preserve"> Pollyana Moraes Silva</w:t>
      </w:r>
      <w:r>
        <w:rPr>
          <w:spacing w:val="-2"/>
        </w:rPr>
        <w:t xml:space="preserve"> </w:t>
      </w:r>
      <w:r w:rsidR="005D4D2A" w:rsidRPr="005D4D2A">
        <w:rPr>
          <w:vertAlign w:val="superscript"/>
        </w:rPr>
        <w:t>4</w:t>
      </w:r>
      <w:r>
        <w:rPr>
          <w:spacing w:val="-5"/>
        </w:rPr>
        <w:t xml:space="preserve"> </w:t>
      </w:r>
      <w:r w:rsidR="00A232B8">
        <w:t>Adriana Beatriz Silveira Pinto</w:t>
      </w:r>
      <w:r>
        <w:t>.</w:t>
      </w:r>
      <w:r>
        <w:rPr>
          <w:spacing w:val="4"/>
        </w:rPr>
        <w:t xml:space="preserve"> </w:t>
      </w:r>
      <w:r w:rsidR="005D4D2A" w:rsidRPr="005D4D2A">
        <w:rPr>
          <w:vertAlign w:val="superscript"/>
        </w:rPr>
        <w:t>5</w:t>
      </w:r>
      <w:r>
        <w:rPr>
          <w:spacing w:val="-4"/>
        </w:rPr>
        <w:t xml:space="preserve"> </w:t>
      </w:r>
      <w:r w:rsidR="00F123D2">
        <w:t>Carlos Eduardo da Silva Nossa Tuma</w:t>
      </w:r>
    </w:p>
    <w:p w14:paraId="14292669" w14:textId="5280042D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</w:t>
      </w:r>
      <w:r w:rsidR="00F123D2">
        <w:t xml:space="preserve">Odontologia </w:t>
      </w:r>
      <w:r>
        <w:t>pela</w:t>
      </w:r>
      <w:r>
        <w:rPr>
          <w:spacing w:val="-4"/>
        </w:rPr>
        <w:t xml:space="preserve"> </w:t>
      </w:r>
      <w:r>
        <w:t>Universidade</w:t>
      </w:r>
      <w:r w:rsidR="00F123D2">
        <w:t xml:space="preserve"> do Estado do Amazonas </w:t>
      </w:r>
      <w:r>
        <w:t>–</w:t>
      </w:r>
      <w:r>
        <w:rPr>
          <w:spacing w:val="-3"/>
        </w:rPr>
        <w:t xml:space="preserve"> </w:t>
      </w:r>
      <w:r w:rsidR="00F123D2">
        <w:t>UEA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Graduando em </w:t>
      </w:r>
      <w:r w:rsidR="00F123D2">
        <w:t xml:space="preserve">Odontologia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F123D2">
        <w:t xml:space="preserve">do Estado do Amazonas </w:t>
      </w:r>
      <w:r>
        <w:t>-</w:t>
      </w:r>
      <w:r>
        <w:rPr>
          <w:spacing w:val="-1"/>
        </w:rPr>
        <w:t xml:space="preserve"> </w:t>
      </w:r>
      <w:r>
        <w:t>U</w:t>
      </w:r>
      <w:r w:rsidR="00F123D2">
        <w:t>EA</w:t>
      </w:r>
      <w:r>
        <w:t>;</w:t>
      </w:r>
      <w:r>
        <w:rPr>
          <w:spacing w:val="-8"/>
        </w:rPr>
        <w:t xml:space="preserve"> </w:t>
      </w:r>
      <w:r w:rsidR="005D4D2A">
        <w:rPr>
          <w:spacing w:val="-8"/>
        </w:rPr>
        <w:t>3</w:t>
      </w:r>
      <w:r w:rsidR="005D4D2A" w:rsidRPr="005D4D2A">
        <w:t xml:space="preserve"> </w:t>
      </w:r>
      <w:r w:rsidR="005D4D2A">
        <w:t>Graduando em</w:t>
      </w:r>
      <w:r w:rsidR="005D4D2A">
        <w:rPr>
          <w:spacing w:val="-11"/>
        </w:rPr>
        <w:t xml:space="preserve"> </w:t>
      </w:r>
      <w:r w:rsidR="005D4D2A">
        <w:t>Odontologia pela</w:t>
      </w:r>
      <w:r w:rsidR="005D4D2A">
        <w:rPr>
          <w:spacing w:val="-4"/>
        </w:rPr>
        <w:t xml:space="preserve"> </w:t>
      </w:r>
      <w:r w:rsidR="005D4D2A">
        <w:t>Universidade do Estado do Amazonas;</w:t>
      </w:r>
      <w:r w:rsidR="005D4D2A">
        <w:rPr>
          <w:spacing w:val="-8"/>
        </w:rPr>
        <w:t xml:space="preserve"> </w:t>
      </w:r>
      <w:r w:rsidR="005D4D2A">
        <w:t>4</w:t>
      </w:r>
      <w:r w:rsidR="00A232B8">
        <w:t xml:space="preserve"> Profa. Dra. da</w:t>
      </w:r>
      <w:r>
        <w:t xml:space="preserve"> Universidade</w:t>
      </w:r>
      <w:r w:rsidR="005D4D2A">
        <w:t xml:space="preserve"> do Estado do Amazonas – UEA; 5</w:t>
      </w:r>
      <w:r w:rsidR="00A232B8">
        <w:t xml:space="preserve"> Prof. Dr. da Universidade do Estado do Amazonas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04DCFFFB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F123D2">
        <w:rPr>
          <w:sz w:val="24"/>
        </w:rPr>
        <w:t>ORTODONTIA</w:t>
      </w:r>
    </w:p>
    <w:p w14:paraId="68819924" w14:textId="233C13C0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 w:rsidR="00F123D2">
        <w:rPr>
          <w:sz w:val="24"/>
        </w:rPr>
        <w:t>PESQUISA CIENTÍFICA</w:t>
      </w:r>
    </w:p>
    <w:p w14:paraId="4EDCF03D" w14:textId="162C2AAF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A232B8">
        <w:rPr>
          <w:color w:val="467885"/>
          <w:sz w:val="24"/>
          <w:u w:val="single" w:color="467885"/>
        </w:rPr>
        <w:t>prmv.odo19@uea.edu.br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¹; </w:t>
      </w:r>
      <w:hyperlink r:id="rId8" w:history="1">
        <w:r w:rsidR="00A232B8" w:rsidRPr="00A232B8">
          <w:rPr>
            <w:rStyle w:val="Hyperlink"/>
            <w:color w:val="31849B" w:themeColor="accent5" w:themeShade="BF"/>
          </w:rPr>
          <w:t>mccds.odo19@uea.edu.br</w:t>
        </w:r>
      </w:hyperlink>
      <w:r w:rsidR="00A232B8"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hyperlink r:id="rId9" w:history="1">
        <w:r w:rsidR="005D4D2A" w:rsidRPr="005D4D2A">
          <w:rPr>
            <w:rStyle w:val="Hyperlink"/>
            <w:color w:val="31849B" w:themeColor="accent5" w:themeShade="BF"/>
            <w:spacing w:val="-4"/>
            <w:sz w:val="24"/>
          </w:rPr>
          <w:t>pms.odo19@uea.edu.br</w:t>
        </w:r>
      </w:hyperlink>
      <w:r w:rsidR="005D4D2A">
        <w:rPr>
          <w:spacing w:val="-4"/>
          <w:sz w:val="24"/>
        </w:rPr>
        <w:t xml:space="preserve"> </w:t>
      </w:r>
      <w:r w:rsidR="005D4D2A" w:rsidRPr="005D4D2A">
        <w:rPr>
          <w:spacing w:val="-4"/>
          <w:sz w:val="24"/>
          <w:vertAlign w:val="superscript"/>
        </w:rPr>
        <w:t>3 -</w:t>
      </w:r>
      <w:r w:rsidR="005D4D2A">
        <w:rPr>
          <w:spacing w:val="-4"/>
          <w:sz w:val="24"/>
        </w:rPr>
        <w:t xml:space="preserve">; </w:t>
      </w:r>
      <w:r w:rsidR="00A232B8">
        <w:rPr>
          <w:color w:val="467885"/>
          <w:sz w:val="24"/>
          <w:u w:val="single" w:color="467885"/>
        </w:rPr>
        <w:t>abeatriz@uea.edu.br</w:t>
      </w:r>
      <w:r>
        <w:rPr>
          <w:color w:val="467885"/>
          <w:spacing w:val="-7"/>
          <w:sz w:val="24"/>
        </w:rPr>
        <w:t xml:space="preserve"> </w:t>
      </w:r>
      <w:r w:rsidR="005D4D2A" w:rsidRPr="005D4D2A">
        <w:rPr>
          <w:spacing w:val="-10"/>
          <w:sz w:val="24"/>
          <w:vertAlign w:val="superscript"/>
        </w:rPr>
        <w:t>4</w:t>
      </w:r>
      <w:r w:rsidR="00A232B8">
        <w:rPr>
          <w:spacing w:val="-10"/>
          <w:sz w:val="24"/>
        </w:rPr>
        <w:t xml:space="preserve">, </w:t>
      </w:r>
      <w:hyperlink r:id="rId10" w:history="1">
        <w:r w:rsidR="00A232B8" w:rsidRPr="00A232B8">
          <w:rPr>
            <w:rStyle w:val="Hyperlink"/>
            <w:color w:val="31849B" w:themeColor="accent5" w:themeShade="BF"/>
            <w:spacing w:val="-10"/>
            <w:sz w:val="24"/>
          </w:rPr>
          <w:t>ctuma@uea.edu.br</w:t>
        </w:r>
      </w:hyperlink>
      <w:r w:rsidR="00A232B8">
        <w:rPr>
          <w:spacing w:val="-10"/>
          <w:sz w:val="24"/>
        </w:rPr>
        <w:t xml:space="preserve"> </w:t>
      </w:r>
      <w:r w:rsidR="005D4D2A">
        <w:rPr>
          <w:spacing w:val="-10"/>
          <w:sz w:val="24"/>
          <w:vertAlign w:val="superscript"/>
        </w:rPr>
        <w:t>5.</w:t>
      </w:r>
      <w:bookmarkStart w:id="0" w:name="_GoBack"/>
      <w:bookmarkEnd w:id="0"/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4A5E8D7C" w:rsidR="00047138" w:rsidRPr="00E914C2" w:rsidRDefault="00024126" w:rsidP="007F652B">
      <w:pPr>
        <w:jc w:val="both"/>
        <w:rPr>
          <w:sz w:val="24"/>
          <w:szCs w:val="24"/>
        </w:rPr>
      </w:pPr>
      <w:r w:rsidRPr="00E914C2">
        <w:rPr>
          <w:sz w:val="24"/>
          <w:szCs w:val="24"/>
        </w:rPr>
        <w:t xml:space="preserve">A agenesia dentária é uma condição comum caracterizada pela ausência congênita de um </w:t>
      </w:r>
      <w:r w:rsidR="00E914C2">
        <w:rPr>
          <w:sz w:val="24"/>
          <w:szCs w:val="24"/>
        </w:rPr>
        <w:t>ou mais dentes, afetando tanto</w:t>
      </w:r>
      <w:r w:rsidRPr="00E914C2">
        <w:rPr>
          <w:sz w:val="24"/>
          <w:szCs w:val="24"/>
        </w:rPr>
        <w:t xml:space="preserve"> dentição decídua quanto permanente. Esta anomalia pode ser classificada em hipodontia (menos de seis dentes ausentes), oligodontia (seis ou mais dentes ausentes, excluindo terceiros molares) e anodontia (ausência total de dentes).</w:t>
      </w:r>
      <w:r w:rsidRPr="00E914C2">
        <w:rPr>
          <w:spacing w:val="-2"/>
          <w:sz w:val="24"/>
          <w:szCs w:val="24"/>
        </w:rPr>
        <w:t xml:space="preserve"> </w:t>
      </w:r>
      <w:r w:rsidRPr="00E914C2">
        <w:rPr>
          <w:sz w:val="24"/>
          <w:szCs w:val="24"/>
        </w:rPr>
        <w:t>Este estudo investigou a prevalência e caracter</w:t>
      </w:r>
      <w:r w:rsidR="00E914C2">
        <w:rPr>
          <w:sz w:val="24"/>
          <w:szCs w:val="24"/>
        </w:rPr>
        <w:t>ísticas da agenesia dentária n</w:t>
      </w:r>
      <w:r w:rsidRPr="00E914C2">
        <w:rPr>
          <w:sz w:val="24"/>
          <w:szCs w:val="24"/>
        </w:rPr>
        <w:t>uma amostra de 200 pacientes com idad</w:t>
      </w:r>
      <w:r w:rsidR="00E914C2">
        <w:rPr>
          <w:sz w:val="24"/>
          <w:szCs w:val="24"/>
        </w:rPr>
        <w:t>e entre 12 e 20 anos em Manaus - AM</w:t>
      </w:r>
      <w:r w:rsidRPr="00E914C2">
        <w:rPr>
          <w:sz w:val="24"/>
          <w:szCs w:val="24"/>
        </w:rPr>
        <w:t xml:space="preserve">, utilizando radiografias panorâmicas obtidas em uma clínica de radiologia particular. </w:t>
      </w:r>
      <w:r w:rsidR="00E914C2">
        <w:rPr>
          <w:sz w:val="24"/>
          <w:szCs w:val="24"/>
        </w:rPr>
        <w:t>A pesquisa consistiu em</w:t>
      </w:r>
      <w:r w:rsidR="007F652B" w:rsidRPr="00E914C2">
        <w:rPr>
          <w:sz w:val="24"/>
          <w:szCs w:val="24"/>
        </w:rPr>
        <w:t xml:space="preserve"> análise estatística de radiografias panorâmicas de indivíduos de 12 a 20 anos, residentes em Manaus, selecionados por sexo e idade, excluindo casos com aparelho ortodôntico, próteses ou dentes ausentes, com objetivo de estabelecer parâmetros para tratamento de agenesias e melhorar prognósticos, sob aprovação do Comitê de Ética em Pesquisa.</w:t>
      </w:r>
      <w:r w:rsidR="005D4D2A" w:rsidRPr="00E914C2">
        <w:rPr>
          <w:b/>
          <w:sz w:val="24"/>
          <w:szCs w:val="24"/>
        </w:rPr>
        <w:t xml:space="preserve"> </w:t>
      </w:r>
      <w:r w:rsidR="007F652B" w:rsidRPr="00E914C2">
        <w:rPr>
          <w:sz w:val="24"/>
          <w:szCs w:val="24"/>
        </w:rPr>
        <w:t>Foram analisados 200 prontuários, de pacientes c</w:t>
      </w:r>
      <w:r w:rsidR="00E914C2" w:rsidRPr="00E914C2">
        <w:rPr>
          <w:sz w:val="24"/>
          <w:szCs w:val="24"/>
        </w:rPr>
        <w:t xml:space="preserve">om idade 12 a 20 anos (média da </w:t>
      </w:r>
      <w:r w:rsidR="007F652B" w:rsidRPr="00E914C2">
        <w:rPr>
          <w:sz w:val="24"/>
          <w:szCs w:val="24"/>
        </w:rPr>
        <w:t>idade 15,4), obtendo a prevalência de agenesia de 21%, ocorrendo em 42 pacientes, desses 42, o dente que apresentou maior frequência de agenesia foi o elemento 28, em 23 pacien</w:t>
      </w:r>
      <w:r w:rsidR="00E914C2" w:rsidRPr="00E914C2">
        <w:rPr>
          <w:sz w:val="24"/>
          <w:szCs w:val="24"/>
        </w:rPr>
        <w:t xml:space="preserve">tes. Dez pacientes apresentaram </w:t>
      </w:r>
      <w:r w:rsidR="007F652B" w:rsidRPr="00E914C2">
        <w:rPr>
          <w:sz w:val="24"/>
          <w:szCs w:val="24"/>
        </w:rPr>
        <w:t>agenesia de mais de um elemento, sendo que 05 pacientes apresentaram agenesia dos elementos 18 e 28.  Dentre os pacientes af</w:t>
      </w:r>
      <w:r w:rsidR="00E914C2">
        <w:rPr>
          <w:sz w:val="24"/>
          <w:szCs w:val="24"/>
        </w:rPr>
        <w:t>etados, os terceiros molares foram mais</w:t>
      </w:r>
      <w:r w:rsidR="007F652B" w:rsidRPr="00E914C2">
        <w:rPr>
          <w:sz w:val="24"/>
          <w:szCs w:val="24"/>
        </w:rPr>
        <w:t xml:space="preserve"> ausentes, contrariando e</w:t>
      </w:r>
      <w:r w:rsidR="00AE5877">
        <w:rPr>
          <w:sz w:val="24"/>
          <w:szCs w:val="24"/>
        </w:rPr>
        <w:t>studos anteriores onde</w:t>
      </w:r>
      <w:r w:rsidR="007F652B" w:rsidRPr="00E914C2">
        <w:rPr>
          <w:sz w:val="24"/>
          <w:szCs w:val="24"/>
        </w:rPr>
        <w:t xml:space="preserve"> os incisivos laterais superiores e segundos pré-molares in</w:t>
      </w:r>
      <w:r w:rsidR="00AE5877">
        <w:rPr>
          <w:sz w:val="24"/>
          <w:szCs w:val="24"/>
        </w:rPr>
        <w:t>feriores eram</w:t>
      </w:r>
      <w:r w:rsidR="007F652B" w:rsidRPr="00E914C2">
        <w:rPr>
          <w:sz w:val="24"/>
          <w:szCs w:val="24"/>
        </w:rPr>
        <w:t xml:space="preserve"> mais afetados. Em relação ao sexo dos 42 (21%) pacientes que apresentaram agenesia, a maioria era do sexo masculino, 23 (54,8%). Não houve diferença estatisticamente significante ent</w:t>
      </w:r>
      <w:r w:rsidR="00AE5877">
        <w:rPr>
          <w:sz w:val="24"/>
          <w:szCs w:val="24"/>
        </w:rPr>
        <w:t>re as variáveis (p=0,856), n</w:t>
      </w:r>
      <w:r w:rsidR="007F652B" w:rsidRPr="00E914C2">
        <w:rPr>
          <w:sz w:val="24"/>
          <w:szCs w:val="24"/>
        </w:rPr>
        <w:t>o Teste Qui Quadrado de Pearson</w:t>
      </w:r>
      <w:r w:rsidR="00E914C2" w:rsidRPr="00E914C2">
        <w:rPr>
          <w:sz w:val="24"/>
          <w:szCs w:val="24"/>
        </w:rPr>
        <w:t>.</w:t>
      </w:r>
      <w:r w:rsidR="00A232B8" w:rsidRPr="00E914C2">
        <w:rPr>
          <w:spacing w:val="-2"/>
          <w:sz w:val="24"/>
          <w:szCs w:val="24"/>
        </w:rPr>
        <w:t xml:space="preserve"> </w:t>
      </w:r>
      <w:r w:rsidR="00AE5877">
        <w:rPr>
          <w:spacing w:val="-2"/>
          <w:sz w:val="24"/>
          <w:szCs w:val="24"/>
        </w:rPr>
        <w:t>C</w:t>
      </w:r>
      <w:r w:rsidR="007F652B" w:rsidRPr="00E914C2">
        <w:rPr>
          <w:spacing w:val="-2"/>
          <w:sz w:val="24"/>
          <w:szCs w:val="24"/>
        </w:rPr>
        <w:t>om os resultado</w:t>
      </w:r>
      <w:r w:rsidR="00AE5877">
        <w:rPr>
          <w:spacing w:val="-2"/>
          <w:sz w:val="24"/>
          <w:szCs w:val="24"/>
        </w:rPr>
        <w:t>s deste estudo, concluiu-se</w:t>
      </w:r>
      <w:r w:rsidR="007F652B" w:rsidRPr="00E914C2">
        <w:rPr>
          <w:spacing w:val="-2"/>
          <w:sz w:val="24"/>
          <w:szCs w:val="24"/>
        </w:rPr>
        <w:t xml:space="preserve"> que a prevalência de agenesia foi de 21%, com média de idade de 15,4 anos, de forma predominante no sexo masculino (56%), nos terceiros molares, classificando-os nesta ordem 28,38,18 e 48, respectivamente.</w:t>
      </w:r>
    </w:p>
    <w:p w14:paraId="27258446" w14:textId="60E761E7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lastRenderedPageBreak/>
        <w:t>Palavras-chave:</w:t>
      </w:r>
      <w:r>
        <w:rPr>
          <w:b/>
          <w:spacing w:val="-2"/>
          <w:sz w:val="24"/>
        </w:rPr>
        <w:t xml:space="preserve"> </w:t>
      </w:r>
      <w:r w:rsidR="006871E2">
        <w:rPr>
          <w:sz w:val="24"/>
        </w:rPr>
        <w:t>agenesia, hipodontia, oligodontia, panorâmica.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254B197F" w14:textId="0DC23DA2" w:rsidR="00047138" w:rsidRDefault="005E616E" w:rsidP="006871E2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p w14:paraId="513821B4" w14:textId="77777777" w:rsidR="006871E2" w:rsidRDefault="006871E2" w:rsidP="006871E2">
      <w:pPr>
        <w:pStyle w:val="Default"/>
      </w:pPr>
    </w:p>
    <w:p w14:paraId="7171D94B" w14:textId="77777777" w:rsidR="006871E2" w:rsidRDefault="006871E2" w:rsidP="00F41E7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Torres PF, Simplício AH de M, Luz ARCA, Lima M de DM de, Moura L de FA de D, Moura MS de. Anomalias dentárias de número em pacientes ortodônticos. Revista de Odontologia da UNESP. 2015 Oct 6; 44(5): 280–4. </w:t>
      </w:r>
    </w:p>
    <w:p w14:paraId="37AA0975" w14:textId="77777777" w:rsidR="006871E2" w:rsidRDefault="006871E2" w:rsidP="00F41E7A">
      <w:pPr>
        <w:pStyle w:val="Default"/>
        <w:jc w:val="both"/>
        <w:rPr>
          <w:sz w:val="23"/>
          <w:szCs w:val="23"/>
        </w:rPr>
      </w:pPr>
    </w:p>
    <w:p w14:paraId="1139A70C" w14:textId="77777777" w:rsidR="006871E2" w:rsidRDefault="006871E2" w:rsidP="00F41E7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Sirianni LO, Acunha Gonçalves ALC. Avaliação da prevalência de agenesia de segundos pré-molares dos pacientes do curso de Odontologia do Centro Universitário da Serra Gaúcha. Journal of Oral Investigations. 2019 Jul 12; 8(2): 7. </w:t>
      </w:r>
    </w:p>
    <w:p w14:paraId="6BCA2D28" w14:textId="77777777" w:rsidR="006871E2" w:rsidRDefault="006871E2" w:rsidP="00F41E7A">
      <w:pPr>
        <w:pStyle w:val="Default"/>
        <w:jc w:val="both"/>
        <w:rPr>
          <w:sz w:val="23"/>
          <w:szCs w:val="23"/>
        </w:rPr>
      </w:pPr>
    </w:p>
    <w:p w14:paraId="46334168" w14:textId="77777777" w:rsidR="006871E2" w:rsidRDefault="006871E2" w:rsidP="00F41E7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Capoani V, Gonçalves ALCA. Avaliação da prevalência de agenesia de incisivos laterais superiores dos pacientes da Faculdade de Odontologia do Centro Universitário da Serra Gaúcha. Journal of Oral Investigations [Internet]. 2019 Apr 17 [cited 2022 May 15]; 8(1): 57–68. Available from: http://seer.imed.edu.br/index.php/JOI/article/view/3050 </w:t>
      </w:r>
    </w:p>
    <w:p w14:paraId="3760FF95" w14:textId="77777777" w:rsidR="006871E2" w:rsidRDefault="006871E2" w:rsidP="00F41E7A">
      <w:pPr>
        <w:pStyle w:val="Default"/>
        <w:jc w:val="both"/>
        <w:rPr>
          <w:sz w:val="23"/>
          <w:szCs w:val="23"/>
        </w:rPr>
      </w:pPr>
    </w:p>
    <w:p w14:paraId="1F39D7F0" w14:textId="77777777" w:rsidR="006871E2" w:rsidRDefault="006871E2" w:rsidP="00F41E7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Gabriel O, Daniela Gamba Garib, Tulio Silva Lara. Ortodontia Interceptiva. Artes Médicas Editora; 2015. </w:t>
      </w:r>
    </w:p>
    <w:p w14:paraId="091DDFBE" w14:textId="77777777" w:rsidR="006871E2" w:rsidRDefault="006871E2" w:rsidP="00F41E7A">
      <w:pPr>
        <w:pStyle w:val="Default"/>
        <w:jc w:val="both"/>
        <w:rPr>
          <w:sz w:val="23"/>
          <w:szCs w:val="23"/>
        </w:rPr>
      </w:pPr>
    </w:p>
    <w:p w14:paraId="5A1D2F6C" w14:textId="72F0A08C" w:rsidR="006871E2" w:rsidRDefault="006871E2" w:rsidP="00F41E7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Ramos Boeira Junior B, Echeverrigaray S. Dentistry and Molecular Biology: A Promising Field for Tooth Agenesis Mnagement. The Tohoku Journal of Experimental Medicine. 2012; 226(4): 243-9. </w:t>
      </w:r>
    </w:p>
    <w:p w14:paraId="2CB1334D" w14:textId="77777777" w:rsidR="006871E2" w:rsidRDefault="006871E2" w:rsidP="00F41E7A">
      <w:pPr>
        <w:pStyle w:val="Default"/>
        <w:jc w:val="both"/>
        <w:rPr>
          <w:sz w:val="23"/>
          <w:szCs w:val="23"/>
        </w:rPr>
      </w:pPr>
    </w:p>
    <w:p w14:paraId="61AFEB97" w14:textId="26E44730" w:rsidR="006871E2" w:rsidRPr="00F41E7A" w:rsidRDefault="006871E2" w:rsidP="00F41E7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Silva FO, Amorim AvdO, Sobrinho SI, Pinto AC de S. Associação entre Padrão Facial e Agenesia em pacientes ortodônticos em uma cidade d Sudoeste da Bahia / Association between facial pattern and agenesis in orthodontic pacientes in a Southwest city of Bahia. ID on line Revista de psi</w:t>
      </w:r>
      <w:r w:rsidR="00F41E7A">
        <w:rPr>
          <w:sz w:val="23"/>
          <w:szCs w:val="23"/>
        </w:rPr>
        <w:t>cologia [Internet]. 2019 Dec 29</w:t>
      </w:r>
      <w:r w:rsidRPr="00F41E7A">
        <w:rPr>
          <w:color w:val="auto"/>
          <w:sz w:val="23"/>
          <w:szCs w:val="23"/>
        </w:rPr>
        <w:t xml:space="preserve">-9. Availabe from: https://idonline.emnuvens.com.br/id/articlr/view/2266 </w:t>
      </w:r>
    </w:p>
    <w:p w14:paraId="144C0449" w14:textId="77777777" w:rsidR="00F41E7A" w:rsidRDefault="00F41E7A" w:rsidP="00F41E7A">
      <w:pPr>
        <w:pStyle w:val="Default"/>
        <w:jc w:val="both"/>
        <w:rPr>
          <w:color w:val="auto"/>
          <w:sz w:val="23"/>
          <w:szCs w:val="23"/>
        </w:rPr>
      </w:pPr>
    </w:p>
    <w:p w14:paraId="34EDE5FC" w14:textId="77777777" w:rsidR="006871E2" w:rsidRDefault="006871E2" w:rsidP="00F41E7A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Bedoya-Rodriguez A, Collo-Quevedo L, Gordillo-Meléndez L, Yusti-Salazar A, Julián Andrés Tmayo-Cardona, Pérez-Jaramillo A, et al. Anomalías dentales em pacientes de ortodoncia de la ciudad de Cali, Colombia. 2014 Jan 6; 27(1): 45-54. </w:t>
      </w:r>
    </w:p>
    <w:p w14:paraId="259CBE21" w14:textId="77777777" w:rsidR="006871E2" w:rsidRDefault="006871E2" w:rsidP="00F41E7A">
      <w:pPr>
        <w:pStyle w:val="Default"/>
        <w:jc w:val="both"/>
        <w:rPr>
          <w:color w:val="auto"/>
          <w:sz w:val="23"/>
          <w:szCs w:val="23"/>
        </w:rPr>
      </w:pPr>
    </w:p>
    <w:p w14:paraId="0936B9B4" w14:textId="77777777" w:rsidR="006871E2" w:rsidRDefault="006871E2" w:rsidP="00F41E7A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Capoani, V., &amp; Gonçalves, F. M. (2019). </w:t>
      </w:r>
      <w:r>
        <w:rPr>
          <w:color w:val="1F1F1F"/>
          <w:sz w:val="23"/>
          <w:szCs w:val="23"/>
        </w:rPr>
        <w:t xml:space="preserve">Prevalence of tooth agenesis in Brazilian orthodontic patients. </w:t>
      </w:r>
      <w:r>
        <w:rPr>
          <w:i/>
          <w:iCs/>
          <w:color w:val="1F1F1F"/>
          <w:sz w:val="23"/>
          <w:szCs w:val="23"/>
        </w:rPr>
        <w:t>Dental Press Journal of Orthodontics</w:t>
      </w:r>
      <w:r>
        <w:rPr>
          <w:color w:val="1F1F1F"/>
          <w:sz w:val="23"/>
          <w:szCs w:val="23"/>
        </w:rPr>
        <w:t xml:space="preserve">, </w:t>
      </w:r>
      <w:r>
        <w:rPr>
          <w:i/>
          <w:iCs/>
          <w:color w:val="1F1F1F"/>
          <w:sz w:val="23"/>
          <w:szCs w:val="23"/>
        </w:rPr>
        <w:t>24</w:t>
      </w:r>
      <w:r>
        <w:rPr>
          <w:color w:val="1F1F1F"/>
          <w:sz w:val="23"/>
          <w:szCs w:val="23"/>
        </w:rPr>
        <w:t xml:space="preserve">(6), 26-33. </w:t>
      </w:r>
    </w:p>
    <w:p w14:paraId="11876745" w14:textId="07639F8A" w:rsidR="00047138" w:rsidRPr="00447988" w:rsidRDefault="00047138" w:rsidP="006871E2">
      <w:pPr>
        <w:pStyle w:val="PargrafodaLista"/>
        <w:tabs>
          <w:tab w:val="left" w:pos="374"/>
        </w:tabs>
        <w:spacing w:before="243"/>
        <w:ind w:left="374"/>
        <w:rPr>
          <w:sz w:val="24"/>
        </w:rPr>
      </w:pPr>
    </w:p>
    <w:sectPr w:rsidR="00047138" w:rsidRPr="00447988">
      <w:headerReference w:type="default" r:id="rId11"/>
      <w:footerReference w:type="default" r:id="rId12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63B01" w14:textId="77777777" w:rsidR="00FA1A1B" w:rsidRDefault="00FA1A1B">
      <w:r>
        <w:separator/>
      </w:r>
    </w:p>
  </w:endnote>
  <w:endnote w:type="continuationSeparator" w:id="0">
    <w:p w14:paraId="5CD27540" w14:textId="77777777" w:rsidR="00FA1A1B" w:rsidRDefault="00FA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.0pt;margin-top:736.035583pt;width:547.4pt;height:105.3pt;mso-position-horizontal-relative:page;mso-position-vertical-relative:page;z-index:-15849472" id="docshapegroup5" coordorigin="0,14721" coordsize="10948,2106">
              <v:shape style="position:absolute;left:0;top:14720;width:10948;height:2106" type="#_x0000_t75" id="docshape6" stroked="false">
                <v:imagedata r:id="rId2" o:title=""/>
              </v:shape>
              <v:rect style="position:absolute;left:5095;top:15109;width:4599;height:1110" id="docshape7" filled="true" fillcolor="#ffffff" stroked="false">
                <v:fill type="solid"/>
              </v:rect>
              <v:rect style="position:absolute;left:5095;top:15109;width:4599;height:1110" id="docshape8" filled="false" stroked="true" strokeweight="1pt" strokecolor="#ffffff">
                <v:stroke dashstyle="solid"/>
              </v:rect>
              <w10:wrap type="no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3D122" w14:textId="77777777" w:rsidR="00FA1A1B" w:rsidRDefault="00FA1A1B">
      <w:r>
        <w:separator/>
      </w:r>
    </w:p>
  </w:footnote>
  <w:footnote w:type="continuationSeparator" w:id="0">
    <w:p w14:paraId="6F328266" w14:textId="77777777" w:rsidR="00FA1A1B" w:rsidRDefault="00FA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0pt;width:595.950pt;height:103.5pt;mso-position-horizontal-relative:page;mso-position-vertical-relative:page;z-index:-15849984" id="docshapegroup1" coordorigin="0,0" coordsize="11919,2070">
              <v:shape style="position:absolute;left:0;top:0;width:9025;height:2070" type="#_x0000_t75" id="docshape2" stroked="false">
                <v:imagedata r:id="rId4" o:title=""/>
              </v:shape>
              <v:shape style="position:absolute;left:6660;top:0;width:5259;height:2070" type="#_x0000_t75" id="docshape3" stroked="false">
                <v:imagedata r:id="rId5" o:title=""/>
              </v:shape>
              <v:shape style="position:absolute;left:2802;top:30;width:6285;height:1980" type="#_x0000_t75" id="docshape4" stroked="false">
                <v:imagedata r:id="rId6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81D97"/>
    <w:multiLevelType w:val="hybridMultilevel"/>
    <w:tmpl w:val="E1663B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449C4B"/>
    <w:multiLevelType w:val="hybridMultilevel"/>
    <w:tmpl w:val="7152E8D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E9579F"/>
    <w:multiLevelType w:val="hybridMultilevel"/>
    <w:tmpl w:val="3DAF357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A14AC6C"/>
    <w:multiLevelType w:val="hybridMultilevel"/>
    <w:tmpl w:val="1163DAC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A313214"/>
    <w:multiLevelType w:val="hybridMultilevel"/>
    <w:tmpl w:val="FBD413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C24CB9"/>
    <w:multiLevelType w:val="hybridMultilevel"/>
    <w:tmpl w:val="8157A7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3217F06"/>
    <w:multiLevelType w:val="hybridMultilevel"/>
    <w:tmpl w:val="DEFCC61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8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9">
    <w:nsid w:val="434C02E5"/>
    <w:multiLevelType w:val="hybridMultilevel"/>
    <w:tmpl w:val="8548BF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98CC6"/>
    <w:multiLevelType w:val="hybridMultilevel"/>
    <w:tmpl w:val="960A379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12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7138"/>
    <w:rsid w:val="00005B83"/>
    <w:rsid w:val="00024126"/>
    <w:rsid w:val="00047138"/>
    <w:rsid w:val="003159C9"/>
    <w:rsid w:val="003440DF"/>
    <w:rsid w:val="00427D11"/>
    <w:rsid w:val="00447988"/>
    <w:rsid w:val="005D4D2A"/>
    <w:rsid w:val="005E616E"/>
    <w:rsid w:val="00630843"/>
    <w:rsid w:val="006871E2"/>
    <w:rsid w:val="006B673F"/>
    <w:rsid w:val="007F1C35"/>
    <w:rsid w:val="007F652B"/>
    <w:rsid w:val="00815093"/>
    <w:rsid w:val="00892BAD"/>
    <w:rsid w:val="009F0018"/>
    <w:rsid w:val="00A232B8"/>
    <w:rsid w:val="00AE5877"/>
    <w:rsid w:val="00D80094"/>
    <w:rsid w:val="00E914C2"/>
    <w:rsid w:val="00F123D2"/>
    <w:rsid w:val="00F41E00"/>
    <w:rsid w:val="00F41E7A"/>
    <w:rsid w:val="00FA1A1B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A232B8"/>
    <w:rPr>
      <w:color w:val="0000FF" w:themeColor="hyperlink"/>
      <w:u w:val="single"/>
    </w:rPr>
  </w:style>
  <w:style w:type="paragraph" w:customStyle="1" w:styleId="Default">
    <w:name w:val="Default"/>
    <w:rsid w:val="006871E2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A232B8"/>
    <w:rPr>
      <w:color w:val="0000FF" w:themeColor="hyperlink"/>
      <w:u w:val="single"/>
    </w:rPr>
  </w:style>
  <w:style w:type="paragraph" w:customStyle="1" w:styleId="Default">
    <w:name w:val="Default"/>
    <w:rsid w:val="006871E2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cds.odo19@uea.edu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tuma@ue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s.odo19@uea.edu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jpeg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869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>RESUMO</vt:lpstr>
      <vt:lpstr>REFERÊNCIAS: </vt:lpstr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CLARA</cp:lastModifiedBy>
  <cp:revision>7</cp:revision>
  <cp:lastPrinted>2024-11-12T19:40:00Z</cp:lastPrinted>
  <dcterms:created xsi:type="dcterms:W3CDTF">2024-11-12T18:01:00Z</dcterms:created>
  <dcterms:modified xsi:type="dcterms:W3CDTF">2024-11-23T19:46:00Z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