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A070" w14:textId="7C1BD94F" w:rsidR="0094014F" w:rsidRDefault="00C0047C" w:rsidP="00C0047C">
      <w:pPr>
        <w:tabs>
          <w:tab w:val="left" w:pos="1540"/>
        </w:tabs>
        <w:spacing w:line="360" w:lineRule="auto"/>
        <w:ind w:left="-360"/>
        <w:jc w:val="center"/>
        <w:rPr>
          <w:rFonts w:eastAsia="Verdana"/>
        </w:rPr>
      </w:pPr>
      <w:r>
        <w:rPr>
          <w:rFonts w:eastAsia="Verdana"/>
          <w:b/>
        </w:rPr>
        <w:t>D</w:t>
      </w:r>
      <w:r w:rsidRPr="0035317D">
        <w:rPr>
          <w:rFonts w:eastAsia="Verdana"/>
          <w:b/>
        </w:rPr>
        <w:t>IVERSIDADE E INCLUSÃO</w:t>
      </w:r>
      <w:r w:rsidRPr="00754D1D">
        <w:rPr>
          <w:rFonts w:eastAsia="Verdana"/>
          <w:b/>
        </w:rPr>
        <w:t xml:space="preserve">: </w:t>
      </w:r>
      <w:r w:rsidRPr="0035317D">
        <w:rPr>
          <w:rFonts w:eastAsia="Verdana"/>
        </w:rPr>
        <w:t>construindo uma sociedade que respeite as diferenças</w:t>
      </w:r>
    </w:p>
    <w:p w14:paraId="3CEB8727" w14:textId="77777777" w:rsidR="00C0047C" w:rsidRDefault="00C0047C">
      <w:pPr>
        <w:tabs>
          <w:tab w:val="left" w:pos="1540"/>
        </w:tabs>
        <w:spacing w:line="360" w:lineRule="auto"/>
        <w:ind w:left="-360"/>
        <w:jc w:val="right"/>
        <w:rPr>
          <w:sz w:val="24"/>
          <w:szCs w:val="24"/>
        </w:rPr>
      </w:pPr>
    </w:p>
    <w:p w14:paraId="6B4B6F98" w14:textId="181A23FC" w:rsidR="00C0047C" w:rsidRDefault="00C0047C" w:rsidP="00C0047C">
      <w:pPr>
        <w:tabs>
          <w:tab w:val="left" w:pos="2060"/>
          <w:tab w:val="left" w:pos="7240"/>
        </w:tabs>
        <w:spacing w:line="360" w:lineRule="auto"/>
        <w:ind w:left="-360"/>
        <w:jc w:val="right"/>
        <w:rPr>
          <w:sz w:val="24"/>
          <w:szCs w:val="24"/>
        </w:rPr>
      </w:pPr>
      <w:r w:rsidRPr="00C0047C">
        <w:rPr>
          <w:sz w:val="24"/>
          <w:szCs w:val="24"/>
        </w:rPr>
        <w:t xml:space="preserve">Manuella Castro </w:t>
      </w:r>
      <w:r w:rsidR="00C110AA">
        <w:rPr>
          <w:sz w:val="24"/>
          <w:szCs w:val="24"/>
        </w:rPr>
        <w:t>e</w:t>
      </w:r>
      <w:r w:rsidRPr="00C0047C">
        <w:rPr>
          <w:sz w:val="24"/>
          <w:szCs w:val="24"/>
        </w:rPr>
        <w:t xml:space="preserve"> S</w:t>
      </w:r>
      <w:r w:rsidR="00C110AA" w:rsidRPr="00C0047C">
        <w:rPr>
          <w:sz w:val="24"/>
          <w:szCs w:val="24"/>
        </w:rPr>
        <w:t>ilva</w:t>
      </w:r>
      <w:r w:rsidR="00FE070D" w:rsidRPr="00FE070D">
        <w:rPr>
          <w:sz w:val="24"/>
          <w:szCs w:val="24"/>
          <w:vertAlign w:val="superscript"/>
        </w:rPr>
        <w:t>1</w:t>
      </w:r>
    </w:p>
    <w:p w14:paraId="70115F2D" w14:textId="410158C0" w:rsidR="00C0047C" w:rsidRPr="00C0047C" w:rsidRDefault="00C0047C" w:rsidP="00C0047C">
      <w:pPr>
        <w:tabs>
          <w:tab w:val="left" w:pos="2060"/>
          <w:tab w:val="left" w:pos="7240"/>
        </w:tabs>
        <w:spacing w:line="360" w:lineRule="auto"/>
        <w:ind w:left="-360"/>
        <w:jc w:val="right"/>
        <w:rPr>
          <w:sz w:val="24"/>
          <w:szCs w:val="24"/>
        </w:rPr>
      </w:pPr>
      <w:r w:rsidRPr="00C0047C">
        <w:rPr>
          <w:sz w:val="24"/>
          <w:szCs w:val="24"/>
        </w:rPr>
        <w:t>A</w:t>
      </w:r>
      <w:r w:rsidR="00C110AA" w:rsidRPr="00C0047C">
        <w:rPr>
          <w:sz w:val="24"/>
          <w:szCs w:val="24"/>
        </w:rPr>
        <w:t>na</w:t>
      </w:r>
      <w:r w:rsidRPr="00C0047C">
        <w:rPr>
          <w:sz w:val="24"/>
          <w:szCs w:val="24"/>
        </w:rPr>
        <w:t xml:space="preserve"> M</w:t>
      </w:r>
      <w:r w:rsidR="00C110AA" w:rsidRPr="00C0047C">
        <w:rPr>
          <w:sz w:val="24"/>
          <w:szCs w:val="24"/>
        </w:rPr>
        <w:t>aria</w:t>
      </w:r>
      <w:r w:rsidRPr="00C0047C">
        <w:rPr>
          <w:sz w:val="24"/>
          <w:szCs w:val="24"/>
        </w:rPr>
        <w:t xml:space="preserve"> A</w:t>
      </w:r>
      <w:r w:rsidR="00C110AA" w:rsidRPr="00C0047C">
        <w:rPr>
          <w:sz w:val="24"/>
          <w:szCs w:val="24"/>
        </w:rPr>
        <w:t>raújo da</w:t>
      </w:r>
      <w:r w:rsidRPr="00C0047C">
        <w:rPr>
          <w:sz w:val="24"/>
          <w:szCs w:val="24"/>
        </w:rPr>
        <w:t xml:space="preserve"> S</w:t>
      </w:r>
      <w:r w:rsidR="00C110AA" w:rsidRPr="00C0047C">
        <w:rPr>
          <w:sz w:val="24"/>
          <w:szCs w:val="24"/>
        </w:rPr>
        <w:t>ilva</w:t>
      </w:r>
      <w:r w:rsidR="00FE070D" w:rsidRPr="00FE070D">
        <w:rPr>
          <w:sz w:val="24"/>
          <w:szCs w:val="24"/>
          <w:vertAlign w:val="superscript"/>
        </w:rPr>
        <w:t>1</w:t>
      </w:r>
    </w:p>
    <w:p w14:paraId="657D3410" w14:textId="5B57BFDD" w:rsidR="00C0047C" w:rsidRPr="00C0047C" w:rsidRDefault="00C0047C" w:rsidP="00C0047C">
      <w:pPr>
        <w:tabs>
          <w:tab w:val="left" w:pos="2060"/>
          <w:tab w:val="left" w:pos="7240"/>
        </w:tabs>
        <w:spacing w:line="360" w:lineRule="auto"/>
        <w:ind w:left="-360"/>
        <w:jc w:val="right"/>
        <w:rPr>
          <w:sz w:val="24"/>
          <w:szCs w:val="24"/>
        </w:rPr>
      </w:pPr>
      <w:r w:rsidRPr="00C0047C">
        <w:rPr>
          <w:sz w:val="24"/>
          <w:szCs w:val="24"/>
        </w:rPr>
        <w:t>A</w:t>
      </w:r>
      <w:r w:rsidR="00C110AA" w:rsidRPr="00C0047C">
        <w:rPr>
          <w:sz w:val="24"/>
          <w:szCs w:val="24"/>
        </w:rPr>
        <w:t>ndriel</w:t>
      </w:r>
      <w:r w:rsidRPr="00C0047C">
        <w:rPr>
          <w:sz w:val="24"/>
          <w:szCs w:val="24"/>
        </w:rPr>
        <w:t xml:space="preserve"> </w:t>
      </w:r>
      <w:r w:rsidR="00C110AA" w:rsidRPr="00C0047C">
        <w:rPr>
          <w:sz w:val="24"/>
          <w:szCs w:val="24"/>
        </w:rPr>
        <w:t>da</w:t>
      </w:r>
      <w:r w:rsidRPr="00C0047C">
        <w:rPr>
          <w:sz w:val="24"/>
          <w:szCs w:val="24"/>
        </w:rPr>
        <w:t xml:space="preserve"> S</w:t>
      </w:r>
      <w:r w:rsidR="00C110AA" w:rsidRPr="00C0047C">
        <w:rPr>
          <w:sz w:val="24"/>
          <w:szCs w:val="24"/>
        </w:rPr>
        <w:t xml:space="preserve">ilva </w:t>
      </w:r>
      <w:r w:rsidRPr="00C0047C">
        <w:rPr>
          <w:sz w:val="24"/>
          <w:szCs w:val="24"/>
        </w:rPr>
        <w:t>G</w:t>
      </w:r>
      <w:r w:rsidR="00C110AA" w:rsidRPr="00C0047C">
        <w:rPr>
          <w:sz w:val="24"/>
          <w:szCs w:val="24"/>
        </w:rPr>
        <w:t>omes</w:t>
      </w:r>
      <w:r w:rsidR="00FE070D" w:rsidRPr="00FE070D">
        <w:rPr>
          <w:sz w:val="24"/>
          <w:szCs w:val="24"/>
          <w:vertAlign w:val="superscript"/>
        </w:rPr>
        <w:t>1</w:t>
      </w:r>
    </w:p>
    <w:p w14:paraId="0F432740" w14:textId="1F4002C2" w:rsidR="00C0047C" w:rsidRDefault="00C0047C" w:rsidP="00C0047C">
      <w:pPr>
        <w:tabs>
          <w:tab w:val="left" w:pos="2060"/>
          <w:tab w:val="left" w:pos="7240"/>
        </w:tabs>
        <w:spacing w:line="360" w:lineRule="auto"/>
        <w:ind w:left="-360"/>
        <w:jc w:val="right"/>
        <w:rPr>
          <w:sz w:val="24"/>
          <w:szCs w:val="24"/>
        </w:rPr>
      </w:pPr>
      <w:r w:rsidRPr="00C0047C">
        <w:rPr>
          <w:sz w:val="24"/>
          <w:szCs w:val="24"/>
        </w:rPr>
        <w:t>J</w:t>
      </w:r>
      <w:r w:rsidR="00C110AA" w:rsidRPr="00C0047C">
        <w:rPr>
          <w:sz w:val="24"/>
          <w:szCs w:val="24"/>
        </w:rPr>
        <w:t>osé</w:t>
      </w:r>
      <w:r w:rsidRPr="00C0047C">
        <w:rPr>
          <w:sz w:val="24"/>
          <w:szCs w:val="24"/>
        </w:rPr>
        <w:t xml:space="preserve"> B</w:t>
      </w:r>
      <w:r w:rsidR="00C110AA" w:rsidRPr="00C0047C">
        <w:rPr>
          <w:sz w:val="24"/>
          <w:szCs w:val="24"/>
        </w:rPr>
        <w:t>enício</w:t>
      </w:r>
      <w:r w:rsidRPr="00C0047C">
        <w:rPr>
          <w:sz w:val="24"/>
          <w:szCs w:val="24"/>
        </w:rPr>
        <w:t xml:space="preserve"> N</w:t>
      </w:r>
      <w:r w:rsidR="00C110AA" w:rsidRPr="00C0047C">
        <w:rPr>
          <w:sz w:val="24"/>
          <w:szCs w:val="24"/>
        </w:rPr>
        <w:t>eto</w:t>
      </w:r>
      <w:r w:rsidR="00FE070D" w:rsidRPr="00FE070D">
        <w:rPr>
          <w:sz w:val="24"/>
          <w:szCs w:val="24"/>
          <w:vertAlign w:val="superscript"/>
        </w:rPr>
        <w:t>1</w:t>
      </w:r>
    </w:p>
    <w:p w14:paraId="62FD1254" w14:textId="6CF73876" w:rsidR="00853EC9" w:rsidRDefault="00853EC9" w:rsidP="00C0047C">
      <w:pPr>
        <w:tabs>
          <w:tab w:val="left" w:pos="2060"/>
          <w:tab w:val="left" w:pos="7240"/>
        </w:tabs>
        <w:spacing w:line="360" w:lineRule="auto"/>
        <w:ind w:left="-360"/>
        <w:jc w:val="right"/>
        <w:rPr>
          <w:sz w:val="24"/>
          <w:szCs w:val="24"/>
        </w:rPr>
      </w:pPr>
      <w:r>
        <w:rPr>
          <w:sz w:val="24"/>
          <w:szCs w:val="24"/>
        </w:rPr>
        <w:t>Guilherme Antônio Lopes de Oliveira</w:t>
      </w:r>
      <w:r w:rsidR="00FE070D" w:rsidRPr="00FE070D">
        <w:rPr>
          <w:sz w:val="24"/>
          <w:szCs w:val="24"/>
          <w:vertAlign w:val="superscript"/>
        </w:rPr>
        <w:t>2</w:t>
      </w:r>
    </w:p>
    <w:p w14:paraId="14E4D5D8" w14:textId="77777777" w:rsidR="00853EC9" w:rsidRPr="00C0047C" w:rsidRDefault="00853EC9" w:rsidP="00C0047C">
      <w:pPr>
        <w:tabs>
          <w:tab w:val="left" w:pos="2060"/>
          <w:tab w:val="left" w:pos="7240"/>
        </w:tabs>
        <w:spacing w:line="360" w:lineRule="auto"/>
        <w:ind w:left="-360"/>
        <w:jc w:val="right"/>
        <w:rPr>
          <w:sz w:val="24"/>
          <w:szCs w:val="24"/>
        </w:rPr>
      </w:pPr>
    </w:p>
    <w:p w14:paraId="7190CE7F" w14:textId="77777777" w:rsidR="0094014F" w:rsidRDefault="004C6C7C">
      <w:pPr>
        <w:spacing w:line="360" w:lineRule="auto"/>
        <w:jc w:val="center"/>
        <w:rPr>
          <w:sz w:val="24"/>
          <w:szCs w:val="24"/>
        </w:rPr>
      </w:pPr>
      <w:r>
        <w:rPr>
          <w:b/>
          <w:bCs/>
          <w:sz w:val="24"/>
          <w:szCs w:val="24"/>
        </w:rPr>
        <w:t>RESUMO</w:t>
      </w:r>
    </w:p>
    <w:p w14:paraId="78C922F9" w14:textId="0D9891BD" w:rsidR="0094014F" w:rsidRPr="00C0047C" w:rsidRDefault="00C0047C" w:rsidP="00853EC9">
      <w:pPr>
        <w:spacing w:line="360" w:lineRule="auto"/>
        <w:jc w:val="both"/>
        <w:rPr>
          <w:b/>
          <w:bCs/>
          <w:sz w:val="24"/>
          <w:szCs w:val="24"/>
        </w:rPr>
      </w:pPr>
      <w:r w:rsidRPr="00C0047C">
        <w:rPr>
          <w:sz w:val="24"/>
          <w:szCs w:val="24"/>
        </w:rPr>
        <w:t>A diversidade e a inclusão constituem elementos fundamentais para a construção de uma sociedade justa, igualitária e respeitosa. Este trabalho teve como objetivo analisar a importância da valorização das diferenças, identificando desafios relacionados ao preconceito, à discriminação e à exclusão, bem como estratégias para promover inclusão e igualdade de oportunidades. Trata-se de uma revisão de literatura, realizada a partir das etapas propostas por Botelho, Cunha e Macedo (2011). A busca foi realizada no Google Acadêmico, utilizando os descritores “diversidade AND inclusão AND respeito AND diferenças”, considerando publicações dos últimos cinco anos. Inicialmente, foram encontrados aproximadamente 17.000 resultados, dos quais sete estudos foram selecionados conforme sua relação com a temática. A análise identificou três categorias: diversidade, identidade e respeito às diferenças; inclusão, acessibilidade e superação de barreiras; e estratégias institucionais e sociais de promoção da inclusão. Os resultados demonstraram que a diversidade, por si só, não garante inclusão, sendo necessárias ações concretas para assegurar participação, acessibilidade, representatividade e igualdade de oportunidades. Conclui-se que educação, conscientização, políticas públicas, capacitação profissional e combate à discriminação são fundamentais para eliminar barreiras e fortalecer práticas inclusivas, contribuindo para relações sociais mais humanas, justas e respeitosas, e para garantir dignidade e respeito a todos os indivíduos.</w:t>
      </w:r>
    </w:p>
    <w:p w14:paraId="574FAE7B" w14:textId="39684B37" w:rsidR="0094014F" w:rsidRPr="00C0047C" w:rsidRDefault="004C6C7C">
      <w:pPr>
        <w:spacing w:line="360" w:lineRule="auto"/>
        <w:rPr>
          <w:sz w:val="24"/>
          <w:szCs w:val="24"/>
        </w:rPr>
      </w:pPr>
      <w:r>
        <w:rPr>
          <w:b/>
          <w:bCs/>
          <w:sz w:val="24"/>
          <w:szCs w:val="24"/>
        </w:rPr>
        <w:t xml:space="preserve">Palavras-chave: </w:t>
      </w:r>
      <w:r w:rsidR="00C0047C">
        <w:rPr>
          <w:sz w:val="24"/>
          <w:szCs w:val="24"/>
        </w:rPr>
        <w:t>Inclusão; diferenças; sociedade; respeito</w:t>
      </w:r>
      <w:r w:rsidR="00407AB8">
        <w:rPr>
          <w:sz w:val="24"/>
          <w:szCs w:val="24"/>
        </w:rPr>
        <w:t>.</w:t>
      </w:r>
    </w:p>
    <w:p w14:paraId="292CF071" w14:textId="77777777" w:rsidR="006331E4" w:rsidRDefault="006331E4">
      <w:pPr>
        <w:spacing w:line="360" w:lineRule="auto"/>
        <w:rPr>
          <w:sz w:val="24"/>
          <w:szCs w:val="24"/>
        </w:rPr>
        <w:sectPr w:rsidR="006331E4" w:rsidSect="00C110AA">
          <w:headerReference w:type="default" r:id="rId7"/>
          <w:footerReference w:type="default" r:id="rId8"/>
          <w:pgSz w:w="11906" w:h="16840"/>
          <w:pgMar w:top="2552" w:right="1134" w:bottom="1134" w:left="1701" w:header="709" w:footer="709" w:gutter="0"/>
          <w:pgNumType w:start="1"/>
          <w:cols w:space="720"/>
        </w:sectPr>
      </w:pPr>
    </w:p>
    <w:p w14:paraId="4D8428BB" w14:textId="0CB46E69" w:rsidR="0094014F" w:rsidRDefault="004C6C7C">
      <w:pPr>
        <w:spacing w:line="360" w:lineRule="auto"/>
        <w:rPr>
          <w:b/>
          <w:bCs/>
          <w:sz w:val="24"/>
          <w:szCs w:val="24"/>
        </w:rPr>
      </w:pPr>
      <w:bookmarkStart w:id="0" w:name="f5vk82do5j7i" w:colFirst="0" w:colLast="0"/>
      <w:bookmarkEnd w:id="0"/>
      <w:r>
        <w:rPr>
          <w:b/>
          <w:bCs/>
          <w:sz w:val="24"/>
          <w:szCs w:val="24"/>
        </w:rPr>
        <w:lastRenderedPageBreak/>
        <w:t>INTRODUÇÃO</w:t>
      </w:r>
    </w:p>
    <w:p w14:paraId="03F6B1EF" w14:textId="77777777" w:rsidR="00C0047C" w:rsidRDefault="00C0047C">
      <w:pPr>
        <w:spacing w:line="360" w:lineRule="auto"/>
        <w:rPr>
          <w:b/>
          <w:bCs/>
          <w:sz w:val="24"/>
          <w:szCs w:val="24"/>
        </w:rPr>
      </w:pPr>
    </w:p>
    <w:p w14:paraId="374B16E4" w14:textId="353DEE40" w:rsidR="00C0047C" w:rsidRPr="00C0047C" w:rsidRDefault="00C0047C" w:rsidP="00853EC9">
      <w:pPr>
        <w:spacing w:line="360" w:lineRule="auto"/>
        <w:ind w:firstLine="709"/>
        <w:jc w:val="both"/>
        <w:rPr>
          <w:sz w:val="24"/>
          <w:szCs w:val="24"/>
        </w:rPr>
      </w:pPr>
      <w:r w:rsidRPr="00C0047C">
        <w:rPr>
          <w:sz w:val="24"/>
          <w:szCs w:val="24"/>
        </w:rPr>
        <w:t xml:space="preserve">A diversidade é uma característica firmemente presente da sociedade, que se expressa por meio das diferentes identidades, culturas, e experiencias de vida. Falar em inclusão, significa reconhecer que essas diferenças não devem ser obstáculos à participação social, mas que elas enriqueçam a convivência humana. Dessa forma, a construção de uma sociedade inclusiva exige o combate às barreiras físicas, sociais e as atitudes que historicamente limitaram a participação de determinados grupos. Para Amato (2022), diversidade e inclusão são dimensões que passam por diferentes espaços da sociedade e demandam reflexão, representatividade e práticas capazes de promover relações mais igualitárias. </w:t>
      </w:r>
    </w:p>
    <w:p w14:paraId="56B9FE52" w14:textId="77777777" w:rsidR="00C0047C" w:rsidRPr="00C0047C" w:rsidRDefault="00C0047C" w:rsidP="00853EC9">
      <w:pPr>
        <w:spacing w:line="360" w:lineRule="auto"/>
        <w:ind w:firstLine="709"/>
        <w:jc w:val="both"/>
        <w:rPr>
          <w:sz w:val="24"/>
          <w:szCs w:val="24"/>
        </w:rPr>
      </w:pPr>
      <w:r w:rsidRPr="00C0047C">
        <w:rPr>
          <w:sz w:val="24"/>
          <w:szCs w:val="24"/>
        </w:rPr>
        <w:t>Nesse contexto, diversidade e inclusão não é só aceitar aquilo que é diferente, mas sim entender que o respeito às diferenças precisa estar acompanhado de atitudes de acolhimento, participação e respeito. A inclusão entende que cada indivíduo tem a sua singularidade e a sua participação na sociedade. No caso das pessoas com deficiência e, especialmente, das pessoas com Transtorno do Espectro Autista (TEA), essa perspectiva é essencial, pois muitas para ultrapassar as barreiras presentes no ambiente social. Silva (2022) destaca justamente a necessidade de compreender a deficiência, diversidade e as diferença de maneira crítica, evitando que reduzam a pessoa à sua condição.</w:t>
      </w:r>
    </w:p>
    <w:p w14:paraId="385E734B" w14:textId="77777777" w:rsidR="00C0047C" w:rsidRPr="00C0047C" w:rsidRDefault="00C0047C" w:rsidP="00853EC9">
      <w:pPr>
        <w:spacing w:line="360" w:lineRule="auto"/>
        <w:ind w:firstLine="709"/>
        <w:jc w:val="both"/>
        <w:rPr>
          <w:sz w:val="24"/>
          <w:szCs w:val="24"/>
        </w:rPr>
      </w:pPr>
      <w:r w:rsidRPr="00C0047C">
        <w:rPr>
          <w:sz w:val="24"/>
          <w:szCs w:val="24"/>
        </w:rPr>
        <w:t>Tradicionalmente, a compreensão social acerca das diferenças passou por profundas transformações. Pessoas com deficiência foram, durante longos períodos, excluídas, sendo afastadas dos espaços de convivência, educação e participação social. Com os movimentos sociais e as discussões sobre direitos humanos, essa perspectiva começou a ser questionada. No Brasil, esse processo contribuiu para as políticas voltadas à educação inclusiva e à eliminação das barreiras de participação social. Galvão e Silveira (2023) discutem que a trajetória da educação inclusiva está diretamente relacionada à superação de práticas históricas de exclusão.</w:t>
      </w:r>
    </w:p>
    <w:p w14:paraId="1A79E67B" w14:textId="24AE22D9" w:rsidR="00C0047C" w:rsidRPr="00C0047C" w:rsidRDefault="00C0047C" w:rsidP="00853EC9">
      <w:pPr>
        <w:spacing w:line="360" w:lineRule="auto"/>
        <w:ind w:firstLine="709"/>
        <w:jc w:val="both"/>
        <w:rPr>
          <w:sz w:val="24"/>
          <w:szCs w:val="24"/>
        </w:rPr>
      </w:pPr>
      <w:r w:rsidRPr="00C0047C">
        <w:rPr>
          <w:sz w:val="24"/>
          <w:szCs w:val="24"/>
        </w:rPr>
        <w:t xml:space="preserve">Ademais, a transformação desse cenário também pode ser vista a partir da mudança de uma perspectiva baseada na adaptação do indivíduo para outra que tem como objetivo eliminar as barreias sociais. Dessa maneira, inclusão não significa apenas permitir que a pessoa esteja presente em determinado espaço, mas garantir que ela possa participar, aprender e conviver. Essa mudança representa um avanço na compreensão da diversidade humana, destacando as </w:t>
      </w:r>
      <w:r w:rsidRPr="00C0047C">
        <w:rPr>
          <w:sz w:val="24"/>
          <w:szCs w:val="24"/>
        </w:rPr>
        <w:lastRenderedPageBreak/>
        <w:t xml:space="preserve">condições que precisam ser modificadas na sociedade. Bulgarelli (2023) ressalta que valorizar a diversidade envolve reconhecer e compreender as diferenças, transformando-as em possibilidades de aprendizagem e convivência, e não em motivos para discriminação. </w:t>
      </w:r>
    </w:p>
    <w:p w14:paraId="518BB52E" w14:textId="77777777" w:rsidR="00C0047C" w:rsidRPr="00C0047C" w:rsidRDefault="00C0047C" w:rsidP="00853EC9">
      <w:pPr>
        <w:spacing w:line="360" w:lineRule="auto"/>
        <w:ind w:firstLine="709"/>
        <w:jc w:val="both"/>
        <w:rPr>
          <w:sz w:val="24"/>
          <w:szCs w:val="24"/>
        </w:rPr>
      </w:pPr>
      <w:r w:rsidRPr="00C0047C">
        <w:rPr>
          <w:sz w:val="24"/>
          <w:szCs w:val="24"/>
        </w:rPr>
        <w:t xml:space="preserve">No cenário atual, os debates sobre inclusão ganharam maior relevância com o crescimento da visibilidade social das pessoas autistas. Um exemplo significativo ocorreu com a divulgação, em 2025, dos resultados do Censo Demográfico de 2022, que identificou aproximadamente 2,4 milhões de pessoas diagnosticadas com autismo no Brasil, correspondendo a 1,2% da população residente. Assim, contribuindo para o planejamento de políticas públicas. Esse cenário demonstra que discutir inclusão não é tratar de uma realidade isolada, mas de uma questão social que envolve milhões de pessoas. </w:t>
      </w:r>
    </w:p>
    <w:p w14:paraId="77B27DE6" w14:textId="77777777" w:rsidR="00C0047C" w:rsidRPr="00C0047C" w:rsidRDefault="00C0047C" w:rsidP="00853EC9">
      <w:pPr>
        <w:spacing w:line="360" w:lineRule="auto"/>
        <w:ind w:firstLine="709"/>
        <w:jc w:val="both"/>
        <w:rPr>
          <w:sz w:val="24"/>
          <w:szCs w:val="24"/>
        </w:rPr>
      </w:pPr>
      <w:r w:rsidRPr="00C0047C">
        <w:rPr>
          <w:sz w:val="24"/>
          <w:szCs w:val="24"/>
        </w:rPr>
        <w:t xml:space="preserve">Somando a isso, em outubro de 2025, foi instituída, por meio do Decreto nº 12.686, a Política Nacional de Educação Especial Inclusiva, estabelecendo diretrizes para garantir o direito à educação de estudantes com deficiência, transtorno do espectro autista e dos demais transtornos. A política reforça a necessidade de inclusão nas escolas, com os apoios necessários à participação e permanência. Em 2026, a Portaria MEC nº 421 também estruturou a Rede Nacional de Educação Especial Inclusiva, fortalecendo a implementação dessa política. Onde, vem se destacando as políticas públicas inclusivas, embora ainda a permanência da descriminação. </w:t>
      </w:r>
    </w:p>
    <w:p w14:paraId="1594D8BE" w14:textId="77777777" w:rsidR="00C0047C" w:rsidRPr="00C0047C" w:rsidRDefault="00C0047C" w:rsidP="00853EC9">
      <w:pPr>
        <w:spacing w:line="360" w:lineRule="auto"/>
        <w:ind w:firstLine="709"/>
        <w:jc w:val="both"/>
        <w:rPr>
          <w:sz w:val="24"/>
          <w:szCs w:val="24"/>
        </w:rPr>
      </w:pPr>
      <w:r w:rsidRPr="00C0047C">
        <w:rPr>
          <w:sz w:val="24"/>
          <w:szCs w:val="24"/>
        </w:rPr>
        <w:t>Sob essa perspectiva, a revisão literária “Diversidade e inclusão: construindo uma sociedade que respeite as diferenças” se torna uma oportunidade de promover conhecimento, diálogo e sensibilização acerca da convivência baseada no respeito. A pesquisa aproximar a discussão acadêmica dos conhecimentos, desafios e perspectivas. Não apenas transmitindo informações, mas estimular uma reflexão sobre atitudes cotidianas que podem contribuir para uma sociedade mais acolhedora. Para Bezerra et al. (2022), a gestão da diversidade exige ações capazes de reconhecer as diferenças e desenvolver ambientes nos quais as pessoas possam participar de maneira mais justa e respeitosa.</w:t>
      </w:r>
    </w:p>
    <w:p w14:paraId="0A4BB1FD" w14:textId="7F3E767B" w:rsidR="00C0047C" w:rsidRPr="00C0047C" w:rsidRDefault="00C0047C" w:rsidP="00853EC9">
      <w:pPr>
        <w:spacing w:line="360" w:lineRule="auto"/>
        <w:ind w:firstLine="709"/>
        <w:jc w:val="both"/>
        <w:rPr>
          <w:sz w:val="24"/>
          <w:szCs w:val="24"/>
        </w:rPr>
      </w:pPr>
      <w:r w:rsidRPr="00C0047C">
        <w:rPr>
          <w:sz w:val="24"/>
          <w:szCs w:val="24"/>
        </w:rPr>
        <w:t xml:space="preserve">A importância desse trabalho também está relacionada à necessidade de combater preconceitos, estigmas e práticas capacitistas que ainda fazem parte da nossa realidade. A informação possui papel fundamental nesse processo, pois permite construir uma compreensão mais humana sobre as diferentes formas de existir e de se relacionar com o mundo. Segundo </w:t>
      </w:r>
      <w:r w:rsidRPr="00C0047C">
        <w:rPr>
          <w:sz w:val="24"/>
          <w:szCs w:val="24"/>
        </w:rPr>
        <w:lastRenderedPageBreak/>
        <w:t>Dos Santos Abreu et al. (2026), a construção de uma cultura de respeito às diferenças depende de práticas inclusivas que valorizem a diversidade e promovam relações baseadas no reconhecimento e na dignidade humana.</w:t>
      </w:r>
    </w:p>
    <w:p w14:paraId="504C29E5" w14:textId="7550CC12" w:rsidR="0094014F" w:rsidRDefault="00C0047C" w:rsidP="00853EC9">
      <w:pPr>
        <w:spacing w:line="360" w:lineRule="auto"/>
        <w:ind w:firstLine="709"/>
        <w:jc w:val="both"/>
        <w:rPr>
          <w:sz w:val="24"/>
          <w:szCs w:val="24"/>
        </w:rPr>
      </w:pPr>
      <w:r w:rsidRPr="00C0047C">
        <w:rPr>
          <w:sz w:val="24"/>
          <w:szCs w:val="24"/>
        </w:rPr>
        <w:t>Portanto, espera-se a formação de uma consciência social mais inclusiva às diferenças, incentivando atitudes que que sejam tolerantes e que alcancem o respeito, a empatia e a participação. A inclusão é um processo contínuo, onde o conhecimento pode produzir efeitos positivos, fazendo a sociedade reproduzir atitudes inclusivas. Sales (2022) evidencia a importância das experiências em grupos e das ações voltadas à diversidade para a construção de culturas mais inclusivas, firmando que mudanças coletivas começam por espaços de diálogos. Assim, construir uma sociedade inclusiva significa reconhecer que a diversidade deve ser valorizada como parte essencial da própria condição humana.</w:t>
      </w:r>
    </w:p>
    <w:p w14:paraId="6E531872" w14:textId="77777777" w:rsidR="00C0047C" w:rsidRPr="00C0047C" w:rsidRDefault="00C0047C" w:rsidP="00853EC9">
      <w:pPr>
        <w:spacing w:line="360" w:lineRule="auto"/>
        <w:ind w:firstLine="709"/>
        <w:jc w:val="both"/>
        <w:rPr>
          <w:sz w:val="24"/>
          <w:szCs w:val="24"/>
        </w:rPr>
      </w:pPr>
    </w:p>
    <w:p w14:paraId="14F0126E" w14:textId="48E45DA6" w:rsidR="0094014F" w:rsidRDefault="004C6C7C" w:rsidP="00853EC9">
      <w:pPr>
        <w:spacing w:line="360" w:lineRule="auto"/>
        <w:jc w:val="both"/>
        <w:rPr>
          <w:b/>
          <w:bCs/>
          <w:sz w:val="24"/>
          <w:szCs w:val="24"/>
        </w:rPr>
      </w:pPr>
      <w:r>
        <w:rPr>
          <w:b/>
          <w:bCs/>
          <w:sz w:val="24"/>
          <w:szCs w:val="24"/>
        </w:rPr>
        <w:t>OBJETIVOS</w:t>
      </w:r>
    </w:p>
    <w:p w14:paraId="2F966842" w14:textId="77777777" w:rsidR="00C0047C" w:rsidRDefault="00C0047C" w:rsidP="00853EC9">
      <w:pPr>
        <w:spacing w:line="360" w:lineRule="auto"/>
        <w:jc w:val="both"/>
        <w:rPr>
          <w:b/>
          <w:bCs/>
          <w:sz w:val="24"/>
          <w:szCs w:val="24"/>
        </w:rPr>
      </w:pPr>
    </w:p>
    <w:p w14:paraId="5282199C" w14:textId="77777777" w:rsidR="00C0047C" w:rsidRPr="008712F9" w:rsidRDefault="00C0047C" w:rsidP="00853EC9">
      <w:pPr>
        <w:spacing w:line="360" w:lineRule="auto"/>
        <w:jc w:val="both"/>
        <w:rPr>
          <w:b/>
          <w:bCs/>
          <w:sz w:val="24"/>
          <w:szCs w:val="24"/>
        </w:rPr>
      </w:pPr>
      <w:r w:rsidRPr="008712F9">
        <w:rPr>
          <w:b/>
          <w:bCs/>
          <w:sz w:val="24"/>
          <w:szCs w:val="24"/>
        </w:rPr>
        <w:t>Objetivo geral:</w:t>
      </w:r>
    </w:p>
    <w:p w14:paraId="641D5760" w14:textId="77777777" w:rsidR="00C0047C" w:rsidRPr="00C0047C" w:rsidRDefault="00C0047C" w:rsidP="00853EC9">
      <w:pPr>
        <w:spacing w:line="360" w:lineRule="auto"/>
        <w:jc w:val="both"/>
        <w:rPr>
          <w:sz w:val="24"/>
          <w:szCs w:val="24"/>
        </w:rPr>
      </w:pPr>
      <w:r w:rsidRPr="00C0047C">
        <w:rPr>
          <w:sz w:val="24"/>
          <w:szCs w:val="24"/>
        </w:rPr>
        <w:t>•</w:t>
      </w:r>
      <w:r w:rsidRPr="00C0047C">
        <w:rPr>
          <w:sz w:val="24"/>
          <w:szCs w:val="24"/>
        </w:rPr>
        <w:tab/>
        <w:t>Analisar a importância da diversidade e da inclusão na construção de uma sociedade mais justa, igualitária e capaz de respeitar as diferenças entre os indivíduos.</w:t>
      </w:r>
    </w:p>
    <w:p w14:paraId="54ADF8AE" w14:textId="77777777" w:rsidR="00C0047C" w:rsidRPr="00C0047C" w:rsidRDefault="00C0047C" w:rsidP="00853EC9">
      <w:pPr>
        <w:spacing w:line="360" w:lineRule="auto"/>
        <w:jc w:val="both"/>
        <w:rPr>
          <w:sz w:val="24"/>
          <w:szCs w:val="24"/>
        </w:rPr>
      </w:pPr>
    </w:p>
    <w:p w14:paraId="312A2040" w14:textId="77777777" w:rsidR="00C0047C" w:rsidRPr="008712F9" w:rsidRDefault="00C0047C" w:rsidP="00853EC9">
      <w:pPr>
        <w:spacing w:line="360" w:lineRule="auto"/>
        <w:jc w:val="both"/>
        <w:rPr>
          <w:b/>
          <w:bCs/>
          <w:sz w:val="24"/>
          <w:szCs w:val="24"/>
        </w:rPr>
      </w:pPr>
      <w:r w:rsidRPr="008712F9">
        <w:rPr>
          <w:b/>
          <w:bCs/>
          <w:sz w:val="24"/>
          <w:szCs w:val="24"/>
        </w:rPr>
        <w:t>Objetivos específicos:</w:t>
      </w:r>
    </w:p>
    <w:p w14:paraId="38240673" w14:textId="77777777" w:rsidR="00C0047C" w:rsidRPr="00C0047C" w:rsidRDefault="00C0047C" w:rsidP="00853EC9">
      <w:pPr>
        <w:spacing w:line="360" w:lineRule="auto"/>
        <w:jc w:val="both"/>
        <w:rPr>
          <w:sz w:val="24"/>
          <w:szCs w:val="24"/>
        </w:rPr>
      </w:pPr>
      <w:r w:rsidRPr="00C0047C">
        <w:rPr>
          <w:sz w:val="24"/>
          <w:szCs w:val="24"/>
        </w:rPr>
        <w:t>•</w:t>
      </w:r>
      <w:r w:rsidRPr="00C0047C">
        <w:rPr>
          <w:sz w:val="24"/>
          <w:szCs w:val="24"/>
        </w:rPr>
        <w:tab/>
        <w:t>Identificar os principais desafios relacionados ao preconceito, à discriminação e à exclusão social.</w:t>
      </w:r>
    </w:p>
    <w:p w14:paraId="59184364" w14:textId="77777777" w:rsidR="00C0047C" w:rsidRPr="00C0047C" w:rsidRDefault="00C0047C" w:rsidP="00853EC9">
      <w:pPr>
        <w:spacing w:line="360" w:lineRule="auto"/>
        <w:jc w:val="both"/>
        <w:rPr>
          <w:sz w:val="24"/>
          <w:szCs w:val="24"/>
        </w:rPr>
      </w:pPr>
      <w:r w:rsidRPr="00C0047C">
        <w:rPr>
          <w:sz w:val="24"/>
          <w:szCs w:val="24"/>
        </w:rPr>
        <w:t>•</w:t>
      </w:r>
      <w:r w:rsidRPr="00C0047C">
        <w:rPr>
          <w:sz w:val="24"/>
          <w:szCs w:val="24"/>
        </w:rPr>
        <w:tab/>
        <w:t>Compreender a importância do respeito às diferenças culturais, étnicas, sociais, religiosas e de gênero.</w:t>
      </w:r>
    </w:p>
    <w:p w14:paraId="4E8840B2" w14:textId="12DE3676" w:rsidR="00C0047C" w:rsidRDefault="00C0047C" w:rsidP="00853EC9">
      <w:pPr>
        <w:spacing w:line="360" w:lineRule="auto"/>
        <w:jc w:val="both"/>
        <w:rPr>
          <w:sz w:val="24"/>
          <w:szCs w:val="24"/>
        </w:rPr>
      </w:pPr>
      <w:r w:rsidRPr="00C0047C">
        <w:rPr>
          <w:sz w:val="24"/>
          <w:szCs w:val="24"/>
        </w:rPr>
        <w:t>•</w:t>
      </w:r>
      <w:r w:rsidRPr="00C0047C">
        <w:rPr>
          <w:sz w:val="24"/>
          <w:szCs w:val="24"/>
        </w:rPr>
        <w:tab/>
        <w:t>Investigar estratégias e ações que promovam a inclusão e a igualdade de oportunidades nos diferentes espaços da sociedade.</w:t>
      </w:r>
    </w:p>
    <w:p w14:paraId="58FFD070" w14:textId="77777777" w:rsidR="0094014F" w:rsidRDefault="0094014F" w:rsidP="00853EC9">
      <w:pPr>
        <w:spacing w:line="360" w:lineRule="auto"/>
        <w:jc w:val="both"/>
        <w:rPr>
          <w:b/>
          <w:bCs/>
          <w:sz w:val="24"/>
          <w:szCs w:val="24"/>
        </w:rPr>
      </w:pPr>
    </w:p>
    <w:p w14:paraId="68EC47A7" w14:textId="4BE525A9" w:rsidR="0094014F" w:rsidRDefault="004C6C7C" w:rsidP="00853EC9">
      <w:pPr>
        <w:spacing w:line="360" w:lineRule="auto"/>
        <w:jc w:val="both"/>
        <w:rPr>
          <w:b/>
          <w:bCs/>
          <w:sz w:val="24"/>
          <w:szCs w:val="24"/>
        </w:rPr>
      </w:pPr>
      <w:r>
        <w:rPr>
          <w:b/>
          <w:bCs/>
          <w:sz w:val="24"/>
          <w:szCs w:val="24"/>
        </w:rPr>
        <w:t>MÉTODO</w:t>
      </w:r>
    </w:p>
    <w:p w14:paraId="53473BDF" w14:textId="77777777" w:rsidR="00C0047C" w:rsidRPr="00C0047C" w:rsidRDefault="00C0047C" w:rsidP="00853EC9">
      <w:pPr>
        <w:spacing w:line="360" w:lineRule="auto"/>
        <w:jc w:val="both"/>
        <w:rPr>
          <w:sz w:val="24"/>
          <w:szCs w:val="24"/>
        </w:rPr>
      </w:pPr>
    </w:p>
    <w:p w14:paraId="6ED0B74B" w14:textId="77777777" w:rsidR="00C0047C" w:rsidRPr="00C0047C" w:rsidRDefault="00C0047C" w:rsidP="00853EC9">
      <w:pPr>
        <w:spacing w:line="360" w:lineRule="auto"/>
        <w:ind w:firstLine="709"/>
        <w:jc w:val="both"/>
        <w:rPr>
          <w:sz w:val="24"/>
          <w:szCs w:val="24"/>
        </w:rPr>
      </w:pPr>
      <w:r w:rsidRPr="00C0047C">
        <w:rPr>
          <w:sz w:val="24"/>
          <w:szCs w:val="24"/>
        </w:rPr>
        <w:t xml:space="preserve">Trata-se de uma revisão de literatura, desenvolvida com o objetivo de analisar produções científicas relacionadas a importância da diversidade e da inclusão na construção de uma </w:t>
      </w:r>
      <w:r w:rsidRPr="00C0047C">
        <w:rPr>
          <w:sz w:val="24"/>
          <w:szCs w:val="24"/>
        </w:rPr>
        <w:lastRenderedPageBreak/>
        <w:t>sociedade mais justa, igualitária e capaz de respeitar as diferenças entre os indivíduos. A pesquisa foi organizada com base nas etapas propostas por Botelho, Cunha e Macedo (2011).</w:t>
      </w:r>
    </w:p>
    <w:p w14:paraId="5814BDEB" w14:textId="77777777" w:rsidR="00C0047C" w:rsidRPr="00C0047C" w:rsidRDefault="00C0047C" w:rsidP="00853EC9">
      <w:pPr>
        <w:spacing w:line="360" w:lineRule="auto"/>
        <w:jc w:val="both"/>
        <w:rPr>
          <w:b/>
          <w:bCs/>
          <w:sz w:val="24"/>
          <w:szCs w:val="24"/>
        </w:rPr>
      </w:pPr>
      <w:r w:rsidRPr="00C0047C">
        <w:rPr>
          <w:b/>
          <w:bCs/>
          <w:sz w:val="24"/>
          <w:szCs w:val="24"/>
        </w:rPr>
        <w:t>1ª fase: Identificação do tema e seleção da questão de pesquisa</w:t>
      </w:r>
    </w:p>
    <w:p w14:paraId="2EC6BC03" w14:textId="77777777" w:rsidR="00C0047C" w:rsidRPr="00C0047C" w:rsidRDefault="00C0047C" w:rsidP="00853EC9">
      <w:pPr>
        <w:spacing w:line="360" w:lineRule="auto"/>
        <w:ind w:firstLine="709"/>
        <w:jc w:val="both"/>
        <w:rPr>
          <w:sz w:val="24"/>
          <w:szCs w:val="24"/>
        </w:rPr>
      </w:pPr>
      <w:r w:rsidRPr="00C0047C">
        <w:rPr>
          <w:sz w:val="24"/>
          <w:szCs w:val="24"/>
        </w:rPr>
        <w:t>Inicialmente, foi definido como tema da pesquisa “Diversidade e inclusão: construindo uma sociedade que respeite as diferenças”. A questão norteadora foi: “O que tem sido produzido na literatura científica acerca da diversidade e da inclusão enquanto elementos fundamentais para a construção de uma sociedade que respeite e valorize as diferenças?”</w:t>
      </w:r>
    </w:p>
    <w:p w14:paraId="19277830" w14:textId="77777777" w:rsidR="00C0047C" w:rsidRPr="00C0047C" w:rsidRDefault="00C0047C" w:rsidP="00853EC9">
      <w:pPr>
        <w:spacing w:line="360" w:lineRule="auto"/>
        <w:ind w:firstLine="709"/>
        <w:jc w:val="both"/>
        <w:rPr>
          <w:sz w:val="24"/>
          <w:szCs w:val="24"/>
        </w:rPr>
      </w:pPr>
      <w:r w:rsidRPr="00C0047C">
        <w:rPr>
          <w:sz w:val="24"/>
          <w:szCs w:val="24"/>
        </w:rPr>
        <w:t>O levantamento bibliográfico foi realizado por meio do Google Acadêmico, utilizando os descritores “diversidade AND inclusão AND respeito AND diferenças”, com o operador booleano AND. Como delimitação temporal, foram considerados trabalhos publicados nos últimos cinco anos, buscando contemplar produções recentes sobre a temática. A busca inicial apresentou aproximadamente 17.000 resultados.</w:t>
      </w:r>
    </w:p>
    <w:p w14:paraId="1A3A8CA7" w14:textId="77777777" w:rsidR="00C0047C" w:rsidRPr="00C0047C" w:rsidRDefault="00C0047C" w:rsidP="00853EC9">
      <w:pPr>
        <w:spacing w:line="360" w:lineRule="auto"/>
        <w:jc w:val="both"/>
        <w:rPr>
          <w:b/>
          <w:bCs/>
          <w:sz w:val="24"/>
          <w:szCs w:val="24"/>
        </w:rPr>
      </w:pPr>
      <w:r w:rsidRPr="00C0047C">
        <w:rPr>
          <w:b/>
          <w:bCs/>
          <w:sz w:val="24"/>
          <w:szCs w:val="24"/>
        </w:rPr>
        <w:t>2ª fase: Estabelecimento dos critérios de inclusão e exclusão</w:t>
      </w:r>
    </w:p>
    <w:p w14:paraId="53329385" w14:textId="77777777" w:rsidR="00C0047C" w:rsidRPr="00C0047C" w:rsidRDefault="00C0047C" w:rsidP="00853EC9">
      <w:pPr>
        <w:spacing w:line="360" w:lineRule="auto"/>
        <w:ind w:firstLine="709"/>
        <w:jc w:val="both"/>
        <w:rPr>
          <w:sz w:val="24"/>
          <w:szCs w:val="24"/>
        </w:rPr>
      </w:pPr>
      <w:r w:rsidRPr="00C0047C">
        <w:rPr>
          <w:sz w:val="24"/>
          <w:szCs w:val="24"/>
        </w:rPr>
        <w:t>A seleção dos estudos foi realizada a partir da análise do conteúdo de cada pesquisa encontrada, verificando sua relação com o tema e os objetivos propostos. Foram selecionados os trabalhos que apresentaram maior aproximação com a temática da diversidade, inclusão e respeito às diferenças, resultando na escolha de 10 artigos considerados mais relevantes para a construção da revisão de literatura.</w:t>
      </w:r>
    </w:p>
    <w:p w14:paraId="56523FA3" w14:textId="77777777" w:rsidR="00C0047C" w:rsidRPr="00C0047C" w:rsidRDefault="00C0047C" w:rsidP="00853EC9">
      <w:pPr>
        <w:spacing w:line="360" w:lineRule="auto"/>
        <w:jc w:val="both"/>
        <w:rPr>
          <w:b/>
          <w:bCs/>
          <w:sz w:val="24"/>
          <w:szCs w:val="24"/>
        </w:rPr>
      </w:pPr>
      <w:r w:rsidRPr="00C0047C">
        <w:rPr>
          <w:b/>
          <w:bCs/>
          <w:sz w:val="24"/>
          <w:szCs w:val="24"/>
        </w:rPr>
        <w:t>3ª fase: Análise dos resultados e apresentação da síntese do conhecimento</w:t>
      </w:r>
    </w:p>
    <w:p w14:paraId="4464C75E" w14:textId="2C6046C1" w:rsidR="00C0047C" w:rsidRDefault="00C0047C" w:rsidP="00853EC9">
      <w:pPr>
        <w:spacing w:line="360" w:lineRule="auto"/>
        <w:ind w:firstLine="709"/>
        <w:jc w:val="both"/>
        <w:rPr>
          <w:sz w:val="24"/>
          <w:szCs w:val="24"/>
        </w:rPr>
      </w:pPr>
      <w:r w:rsidRPr="00C0047C">
        <w:rPr>
          <w:sz w:val="24"/>
          <w:szCs w:val="24"/>
        </w:rPr>
        <w:t>Por fim, os dez artigos selecionados foram lidos e analisados, buscando identificar seus principais objetivos, discussões e contribuições. A análise permitiu identificar aspectos relacionados à valorização da diversidade, respeito às diferenças, inclusão social, igualdade e combate ao preconceito e à discriminação.</w:t>
      </w:r>
    </w:p>
    <w:p w14:paraId="4B85D23F" w14:textId="77777777" w:rsidR="0094014F" w:rsidRDefault="0094014F" w:rsidP="00853EC9">
      <w:pPr>
        <w:spacing w:line="360" w:lineRule="auto"/>
        <w:jc w:val="both"/>
        <w:rPr>
          <w:b/>
          <w:bCs/>
          <w:sz w:val="24"/>
          <w:szCs w:val="24"/>
        </w:rPr>
      </w:pPr>
    </w:p>
    <w:p w14:paraId="0599096C" w14:textId="352DEB5E" w:rsidR="0094014F" w:rsidRDefault="004C6C7C" w:rsidP="00853EC9">
      <w:pPr>
        <w:spacing w:line="360" w:lineRule="auto"/>
        <w:jc w:val="both"/>
        <w:rPr>
          <w:b/>
          <w:bCs/>
          <w:sz w:val="24"/>
          <w:szCs w:val="24"/>
        </w:rPr>
      </w:pPr>
      <w:r>
        <w:rPr>
          <w:b/>
          <w:bCs/>
          <w:sz w:val="24"/>
          <w:szCs w:val="24"/>
        </w:rPr>
        <w:t>RESULTADOS E DISCUSSÃO</w:t>
      </w:r>
    </w:p>
    <w:p w14:paraId="6E5E6476" w14:textId="77777777" w:rsidR="00C110AA" w:rsidRDefault="00C110AA" w:rsidP="00853EC9">
      <w:pPr>
        <w:spacing w:line="360" w:lineRule="auto"/>
        <w:jc w:val="both"/>
        <w:rPr>
          <w:sz w:val="24"/>
          <w:szCs w:val="24"/>
        </w:rPr>
      </w:pPr>
    </w:p>
    <w:p w14:paraId="6A51A4DB" w14:textId="12880853" w:rsidR="00C110AA" w:rsidRDefault="00C110AA" w:rsidP="00853EC9">
      <w:pPr>
        <w:spacing w:line="360" w:lineRule="auto"/>
        <w:ind w:firstLine="709"/>
        <w:jc w:val="both"/>
        <w:rPr>
          <w:sz w:val="24"/>
          <w:szCs w:val="24"/>
        </w:rPr>
      </w:pPr>
      <w:r w:rsidRPr="00C110AA">
        <w:rPr>
          <w:sz w:val="24"/>
          <w:szCs w:val="24"/>
        </w:rPr>
        <w:t xml:space="preserve">A análise dos estudos possibilitou a identificação de três categorias temáticas: diversidade, identidade e respeito às diferenças; inclusão, acessibilidade e superação das barreiras sociais; e estratégias institucionais e sociais para promoção da diversidade e inclusão. A elaboração do Quadro 1 foi feita com o objetivo de organizar e apresentar os principais </w:t>
      </w:r>
      <w:r w:rsidRPr="00C110AA">
        <w:rPr>
          <w:sz w:val="24"/>
          <w:szCs w:val="24"/>
        </w:rPr>
        <w:lastRenderedPageBreak/>
        <w:t>estudos selecionados para a revisão, considerando título, autores, ano de publicação, objetivo e abordagem metodológica.</w:t>
      </w:r>
    </w:p>
    <w:p w14:paraId="243FADDB" w14:textId="77777777" w:rsidR="00C110AA" w:rsidRDefault="00C110AA" w:rsidP="00C110AA">
      <w:pPr>
        <w:spacing w:line="360" w:lineRule="auto"/>
        <w:ind w:firstLine="709"/>
        <w:jc w:val="both"/>
        <w:rPr>
          <w:sz w:val="24"/>
          <w:szCs w:val="24"/>
        </w:rPr>
      </w:pPr>
    </w:p>
    <w:p w14:paraId="3374D1B1" w14:textId="77777777" w:rsidR="00C110AA" w:rsidRPr="00853EC9" w:rsidRDefault="00C110AA" w:rsidP="00C110AA">
      <w:pPr>
        <w:ind w:firstLine="142"/>
        <w:rPr>
          <w:rFonts w:eastAsia="Verdana"/>
          <w:sz w:val="24"/>
          <w:szCs w:val="24"/>
        </w:rPr>
      </w:pPr>
      <w:r w:rsidRPr="008712F9">
        <w:rPr>
          <w:rFonts w:eastAsia="Verdana"/>
          <w:b/>
          <w:bCs/>
          <w:sz w:val="24"/>
          <w:szCs w:val="24"/>
        </w:rPr>
        <w:t>Quadro 1 –</w:t>
      </w:r>
      <w:r w:rsidRPr="00853EC9">
        <w:rPr>
          <w:rFonts w:eastAsia="Verdana"/>
          <w:sz w:val="24"/>
          <w:szCs w:val="24"/>
        </w:rPr>
        <w:t xml:space="preserve"> Estudos selecionados para análise</w:t>
      </w:r>
    </w:p>
    <w:tbl>
      <w:tblPr>
        <w:tblStyle w:val="TableNormal0"/>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6"/>
        <w:gridCol w:w="1422"/>
        <w:gridCol w:w="709"/>
        <w:gridCol w:w="2531"/>
        <w:gridCol w:w="2127"/>
      </w:tblGrid>
      <w:tr w:rsidR="00C110AA" w14:paraId="237E1D2D" w14:textId="77777777" w:rsidTr="00853EC9">
        <w:trPr>
          <w:trHeight w:val="359"/>
        </w:trPr>
        <w:tc>
          <w:tcPr>
            <w:tcW w:w="1986" w:type="dxa"/>
            <w:vAlign w:val="center"/>
          </w:tcPr>
          <w:p w14:paraId="239D341E" w14:textId="77777777" w:rsidR="00C110AA" w:rsidRPr="004D4283" w:rsidRDefault="00C110AA" w:rsidP="00853EC9">
            <w:pPr>
              <w:pStyle w:val="TableParagraph"/>
              <w:spacing w:before="90"/>
              <w:ind w:left="10"/>
              <w:jc w:val="center"/>
              <w:rPr>
                <w:rFonts w:ascii="Times New Roman" w:hAnsi="Times New Roman" w:cs="Times New Roman"/>
                <w:b/>
                <w:sz w:val="20"/>
                <w:szCs w:val="20"/>
              </w:rPr>
            </w:pPr>
            <w:r w:rsidRPr="004D4283">
              <w:rPr>
                <w:rFonts w:ascii="Times New Roman" w:hAnsi="Times New Roman" w:cs="Times New Roman"/>
                <w:b/>
                <w:spacing w:val="-2"/>
                <w:sz w:val="20"/>
                <w:szCs w:val="20"/>
              </w:rPr>
              <w:t>TÍTULO</w:t>
            </w:r>
          </w:p>
        </w:tc>
        <w:tc>
          <w:tcPr>
            <w:tcW w:w="1422" w:type="dxa"/>
            <w:vAlign w:val="center"/>
          </w:tcPr>
          <w:p w14:paraId="60E51AF1" w14:textId="77777777" w:rsidR="00C110AA" w:rsidRPr="004D4283" w:rsidRDefault="00C110AA" w:rsidP="00853EC9">
            <w:pPr>
              <w:pStyle w:val="TableParagraph"/>
              <w:spacing w:before="90"/>
              <w:ind w:left="268" w:right="162"/>
              <w:jc w:val="center"/>
              <w:rPr>
                <w:rFonts w:ascii="Times New Roman" w:hAnsi="Times New Roman" w:cs="Times New Roman"/>
                <w:b/>
                <w:sz w:val="20"/>
                <w:szCs w:val="20"/>
              </w:rPr>
            </w:pPr>
            <w:r w:rsidRPr="004D4283">
              <w:rPr>
                <w:rFonts w:ascii="Times New Roman" w:hAnsi="Times New Roman" w:cs="Times New Roman"/>
                <w:b/>
                <w:spacing w:val="-2"/>
                <w:sz w:val="20"/>
                <w:szCs w:val="20"/>
              </w:rPr>
              <w:t>AUTORES</w:t>
            </w:r>
          </w:p>
        </w:tc>
        <w:tc>
          <w:tcPr>
            <w:tcW w:w="709" w:type="dxa"/>
            <w:vAlign w:val="center"/>
          </w:tcPr>
          <w:p w14:paraId="50478AA8" w14:textId="77777777" w:rsidR="00C110AA" w:rsidRPr="004D4283" w:rsidRDefault="00C110AA" w:rsidP="00853EC9">
            <w:pPr>
              <w:pStyle w:val="TableParagraph"/>
              <w:spacing w:before="90"/>
              <w:ind w:left="4" w:right="4"/>
              <w:jc w:val="center"/>
              <w:rPr>
                <w:rFonts w:ascii="Times New Roman" w:hAnsi="Times New Roman" w:cs="Times New Roman"/>
                <w:b/>
                <w:sz w:val="20"/>
                <w:szCs w:val="20"/>
              </w:rPr>
            </w:pPr>
            <w:r w:rsidRPr="004D4283">
              <w:rPr>
                <w:rFonts w:ascii="Times New Roman" w:hAnsi="Times New Roman" w:cs="Times New Roman"/>
                <w:b/>
                <w:spacing w:val="-5"/>
                <w:sz w:val="20"/>
                <w:szCs w:val="20"/>
              </w:rPr>
              <w:t>ANO</w:t>
            </w:r>
          </w:p>
        </w:tc>
        <w:tc>
          <w:tcPr>
            <w:tcW w:w="2531" w:type="dxa"/>
            <w:vAlign w:val="center"/>
          </w:tcPr>
          <w:p w14:paraId="639F3994" w14:textId="77777777" w:rsidR="00C110AA" w:rsidRPr="004D4283" w:rsidRDefault="00C110AA" w:rsidP="00853EC9">
            <w:pPr>
              <w:pStyle w:val="TableParagraph"/>
              <w:spacing w:before="90"/>
              <w:ind w:left="390"/>
              <w:jc w:val="center"/>
              <w:rPr>
                <w:rFonts w:ascii="Times New Roman" w:hAnsi="Times New Roman" w:cs="Times New Roman"/>
                <w:b/>
                <w:sz w:val="20"/>
                <w:szCs w:val="20"/>
              </w:rPr>
            </w:pPr>
            <w:r w:rsidRPr="004D4283">
              <w:rPr>
                <w:rFonts w:ascii="Times New Roman" w:hAnsi="Times New Roman" w:cs="Times New Roman"/>
                <w:b/>
                <w:spacing w:val="-2"/>
                <w:sz w:val="20"/>
                <w:szCs w:val="20"/>
              </w:rPr>
              <w:t>OBJETIVOS</w:t>
            </w:r>
          </w:p>
        </w:tc>
        <w:tc>
          <w:tcPr>
            <w:tcW w:w="2127" w:type="dxa"/>
            <w:vAlign w:val="center"/>
          </w:tcPr>
          <w:p w14:paraId="6E70C7D7" w14:textId="77777777" w:rsidR="00C110AA" w:rsidRPr="004D4283" w:rsidRDefault="00C110AA" w:rsidP="00853EC9">
            <w:pPr>
              <w:pStyle w:val="TableParagraph"/>
              <w:spacing w:line="181" w:lineRule="exact"/>
              <w:ind w:left="241"/>
              <w:jc w:val="center"/>
              <w:rPr>
                <w:rFonts w:ascii="Times New Roman" w:hAnsi="Times New Roman" w:cs="Times New Roman"/>
                <w:b/>
                <w:sz w:val="20"/>
                <w:szCs w:val="20"/>
              </w:rPr>
            </w:pPr>
            <w:r w:rsidRPr="004D4283">
              <w:rPr>
                <w:rFonts w:ascii="Times New Roman" w:hAnsi="Times New Roman" w:cs="Times New Roman"/>
                <w:b/>
                <w:spacing w:val="-2"/>
                <w:sz w:val="20"/>
                <w:szCs w:val="20"/>
              </w:rPr>
              <w:t>DESENHO</w:t>
            </w:r>
          </w:p>
          <w:p w14:paraId="77AF8494" w14:textId="77777777" w:rsidR="00C110AA" w:rsidRPr="004D4283" w:rsidRDefault="00C110AA" w:rsidP="00853EC9">
            <w:pPr>
              <w:pStyle w:val="TableParagraph"/>
              <w:spacing w:before="1" w:line="168" w:lineRule="exact"/>
              <w:ind w:left="164"/>
              <w:jc w:val="center"/>
              <w:rPr>
                <w:rFonts w:ascii="Times New Roman" w:hAnsi="Times New Roman" w:cs="Times New Roman"/>
                <w:b/>
                <w:sz w:val="20"/>
                <w:szCs w:val="20"/>
              </w:rPr>
            </w:pPr>
            <w:r w:rsidRPr="004D4283">
              <w:rPr>
                <w:rFonts w:ascii="Times New Roman" w:hAnsi="Times New Roman" w:cs="Times New Roman"/>
                <w:b/>
                <w:sz w:val="20"/>
                <w:szCs w:val="20"/>
              </w:rPr>
              <w:t>DO</w:t>
            </w:r>
            <w:r w:rsidRPr="004D4283">
              <w:rPr>
                <w:rFonts w:ascii="Times New Roman" w:hAnsi="Times New Roman" w:cs="Times New Roman"/>
                <w:b/>
                <w:spacing w:val="-1"/>
                <w:sz w:val="20"/>
                <w:szCs w:val="20"/>
              </w:rPr>
              <w:t xml:space="preserve"> </w:t>
            </w:r>
            <w:r w:rsidRPr="004D4283">
              <w:rPr>
                <w:rFonts w:ascii="Times New Roman" w:hAnsi="Times New Roman" w:cs="Times New Roman"/>
                <w:b/>
                <w:spacing w:val="-2"/>
                <w:sz w:val="20"/>
                <w:szCs w:val="20"/>
              </w:rPr>
              <w:t>ESTUDO</w:t>
            </w:r>
          </w:p>
        </w:tc>
      </w:tr>
      <w:tr w:rsidR="00C110AA" w14:paraId="446A55E5" w14:textId="77777777" w:rsidTr="00853EC9">
        <w:trPr>
          <w:trHeight w:val="1333"/>
        </w:trPr>
        <w:tc>
          <w:tcPr>
            <w:tcW w:w="1986" w:type="dxa"/>
            <w:vAlign w:val="center"/>
          </w:tcPr>
          <w:p w14:paraId="7161B775" w14:textId="77777777" w:rsidR="00C110AA" w:rsidRPr="004D4283" w:rsidRDefault="00C110AA" w:rsidP="00853EC9">
            <w:pPr>
              <w:pStyle w:val="TableParagraph"/>
              <w:ind w:left="107"/>
              <w:jc w:val="center"/>
              <w:rPr>
                <w:rFonts w:ascii="Times New Roman" w:hAnsi="Times New Roman" w:cs="Times New Roman"/>
                <w:sz w:val="20"/>
                <w:szCs w:val="20"/>
              </w:rPr>
            </w:pPr>
            <w:r w:rsidRPr="004D4283">
              <w:rPr>
                <w:rFonts w:ascii="Times New Roman" w:hAnsi="Times New Roman" w:cs="Times New Roman"/>
                <w:sz w:val="20"/>
                <w:szCs w:val="20"/>
              </w:rPr>
              <w:t>Diretrizes para Revisão Integrativa</w:t>
            </w:r>
          </w:p>
        </w:tc>
        <w:tc>
          <w:tcPr>
            <w:tcW w:w="1422" w:type="dxa"/>
            <w:vAlign w:val="center"/>
          </w:tcPr>
          <w:p w14:paraId="300F4AD4" w14:textId="77777777"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pacing w:val="-8"/>
                <w:sz w:val="20"/>
                <w:szCs w:val="20"/>
              </w:rPr>
              <w:t>BOTELHO, CUNHA e MACEDO</w:t>
            </w:r>
          </w:p>
        </w:tc>
        <w:tc>
          <w:tcPr>
            <w:tcW w:w="709" w:type="dxa"/>
            <w:vAlign w:val="center"/>
          </w:tcPr>
          <w:p w14:paraId="56127C60" w14:textId="77777777" w:rsidR="00C110AA" w:rsidRPr="004D4283" w:rsidRDefault="00C110AA" w:rsidP="00853EC9">
            <w:pPr>
              <w:pStyle w:val="TableParagraph"/>
              <w:ind w:left="4"/>
              <w:jc w:val="center"/>
              <w:rPr>
                <w:rFonts w:ascii="Times New Roman" w:hAnsi="Times New Roman" w:cs="Times New Roman"/>
                <w:sz w:val="20"/>
                <w:szCs w:val="20"/>
              </w:rPr>
            </w:pPr>
            <w:r w:rsidRPr="004D4283">
              <w:rPr>
                <w:rFonts w:ascii="Times New Roman" w:hAnsi="Times New Roman" w:cs="Times New Roman"/>
                <w:spacing w:val="-4"/>
                <w:sz w:val="20"/>
                <w:szCs w:val="20"/>
              </w:rPr>
              <w:t>2011</w:t>
            </w:r>
          </w:p>
        </w:tc>
        <w:tc>
          <w:tcPr>
            <w:tcW w:w="2531" w:type="dxa"/>
            <w:vAlign w:val="center"/>
          </w:tcPr>
          <w:p w14:paraId="3EB672A0" w14:textId="77777777"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Propor as etapas metodológicas para o desenvolvimento de revisões de literatura.</w:t>
            </w:r>
          </w:p>
        </w:tc>
        <w:tc>
          <w:tcPr>
            <w:tcW w:w="2127" w:type="dxa"/>
            <w:vAlign w:val="center"/>
          </w:tcPr>
          <w:p w14:paraId="6AF7EDCA" w14:textId="77777777" w:rsidR="00C110AA" w:rsidRPr="004D4283" w:rsidRDefault="00C110AA" w:rsidP="00853EC9">
            <w:pPr>
              <w:pStyle w:val="TableParagraph"/>
              <w:ind w:left="104"/>
              <w:jc w:val="center"/>
              <w:rPr>
                <w:rFonts w:ascii="Times New Roman" w:hAnsi="Times New Roman" w:cs="Times New Roman"/>
                <w:sz w:val="20"/>
                <w:szCs w:val="20"/>
              </w:rPr>
            </w:pPr>
            <w:r w:rsidRPr="004D4283">
              <w:rPr>
                <w:rFonts w:ascii="Times New Roman" w:hAnsi="Times New Roman" w:cs="Times New Roman"/>
                <w:spacing w:val="-2"/>
                <w:sz w:val="20"/>
                <w:szCs w:val="20"/>
              </w:rPr>
              <w:t>Estudo metodológico / Revisão de literatura</w:t>
            </w:r>
          </w:p>
        </w:tc>
      </w:tr>
      <w:tr w:rsidR="00C110AA" w14:paraId="248F631F" w14:textId="77777777" w:rsidTr="00853EC9">
        <w:trPr>
          <w:trHeight w:val="1435"/>
        </w:trPr>
        <w:tc>
          <w:tcPr>
            <w:tcW w:w="1986" w:type="dxa"/>
            <w:vAlign w:val="center"/>
          </w:tcPr>
          <w:p w14:paraId="337A56E7" w14:textId="77777777" w:rsidR="00C110AA" w:rsidRPr="004D4283" w:rsidRDefault="00C110AA" w:rsidP="00853EC9">
            <w:pPr>
              <w:pStyle w:val="TableParagraph"/>
              <w:spacing w:line="169" w:lineRule="exact"/>
              <w:ind w:left="107"/>
              <w:jc w:val="center"/>
              <w:rPr>
                <w:rFonts w:ascii="Times New Roman" w:hAnsi="Times New Roman" w:cs="Times New Roman"/>
                <w:sz w:val="20"/>
                <w:szCs w:val="20"/>
              </w:rPr>
            </w:pPr>
            <w:r w:rsidRPr="004D4283">
              <w:rPr>
                <w:rFonts w:ascii="Times New Roman" w:hAnsi="Times New Roman" w:cs="Times New Roman"/>
                <w:sz w:val="20"/>
                <w:szCs w:val="20"/>
              </w:rPr>
              <w:t>Diversidade e Inclusão nas Instituições</w:t>
            </w:r>
          </w:p>
        </w:tc>
        <w:tc>
          <w:tcPr>
            <w:tcW w:w="1422" w:type="dxa"/>
            <w:vAlign w:val="center"/>
          </w:tcPr>
          <w:p w14:paraId="698A3417" w14:textId="77777777"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AMATO</w:t>
            </w:r>
          </w:p>
        </w:tc>
        <w:tc>
          <w:tcPr>
            <w:tcW w:w="709" w:type="dxa"/>
            <w:vAlign w:val="center"/>
          </w:tcPr>
          <w:p w14:paraId="7022C72C" w14:textId="77777777" w:rsidR="00C110AA" w:rsidRPr="004D4283" w:rsidRDefault="00C110AA" w:rsidP="00853EC9">
            <w:pPr>
              <w:pStyle w:val="TableParagraph"/>
              <w:ind w:left="4"/>
              <w:jc w:val="center"/>
              <w:rPr>
                <w:rFonts w:ascii="Times New Roman" w:hAnsi="Times New Roman" w:cs="Times New Roman"/>
                <w:sz w:val="20"/>
                <w:szCs w:val="20"/>
              </w:rPr>
            </w:pPr>
            <w:r w:rsidRPr="004D4283">
              <w:rPr>
                <w:rFonts w:ascii="Times New Roman" w:hAnsi="Times New Roman" w:cs="Times New Roman"/>
                <w:spacing w:val="-4"/>
                <w:sz w:val="20"/>
                <w:szCs w:val="20"/>
              </w:rPr>
              <w:t>2022</w:t>
            </w:r>
          </w:p>
        </w:tc>
        <w:tc>
          <w:tcPr>
            <w:tcW w:w="2531" w:type="dxa"/>
            <w:vAlign w:val="center"/>
          </w:tcPr>
          <w:p w14:paraId="013FE284" w14:textId="77777777" w:rsidR="00C110AA" w:rsidRPr="004D4283" w:rsidRDefault="00C110AA" w:rsidP="00853EC9">
            <w:pPr>
              <w:pStyle w:val="TableParagraph"/>
              <w:ind w:left="104" w:right="98"/>
              <w:jc w:val="center"/>
              <w:rPr>
                <w:rFonts w:ascii="Times New Roman" w:hAnsi="Times New Roman" w:cs="Times New Roman"/>
                <w:sz w:val="20"/>
                <w:szCs w:val="20"/>
              </w:rPr>
            </w:pPr>
            <w:r w:rsidRPr="004D4283">
              <w:rPr>
                <w:rFonts w:ascii="Times New Roman" w:hAnsi="Times New Roman" w:cs="Times New Roman"/>
                <w:sz w:val="20"/>
                <w:szCs w:val="20"/>
              </w:rPr>
              <w:t>Analisar como a diversidade e inclusão passam por diferentes espaços sociais, demandando reflexão, representatividade e práticas igualitárias.</w:t>
            </w:r>
          </w:p>
        </w:tc>
        <w:tc>
          <w:tcPr>
            <w:tcW w:w="2127" w:type="dxa"/>
            <w:vAlign w:val="center"/>
          </w:tcPr>
          <w:p w14:paraId="05583900" w14:textId="01B58BDB" w:rsidR="00C110AA" w:rsidRPr="00853EC9" w:rsidRDefault="00C110AA" w:rsidP="00853EC9">
            <w:pPr>
              <w:pStyle w:val="TableParagraph"/>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Revisão</w:t>
            </w:r>
            <w:r w:rsidR="00853EC9">
              <w:rPr>
                <w:rFonts w:ascii="Times New Roman" w:hAnsi="Times New Roman" w:cs="Times New Roman"/>
                <w:spacing w:val="-2"/>
                <w:sz w:val="20"/>
                <w:szCs w:val="20"/>
              </w:rPr>
              <w:t xml:space="preserve"> </w:t>
            </w:r>
            <w:r w:rsidRPr="004D4283">
              <w:rPr>
                <w:rFonts w:ascii="Times New Roman" w:hAnsi="Times New Roman" w:cs="Times New Roman"/>
                <w:spacing w:val="-2"/>
                <w:sz w:val="20"/>
                <w:szCs w:val="20"/>
              </w:rPr>
              <w:t>bibliográfica</w:t>
            </w:r>
          </w:p>
        </w:tc>
      </w:tr>
      <w:tr w:rsidR="00C110AA" w14:paraId="3B13DBD8" w14:textId="77777777" w:rsidTr="00853EC9">
        <w:trPr>
          <w:trHeight w:val="1246"/>
        </w:trPr>
        <w:tc>
          <w:tcPr>
            <w:tcW w:w="1986" w:type="dxa"/>
            <w:vAlign w:val="center"/>
          </w:tcPr>
          <w:p w14:paraId="72EB137A" w14:textId="77777777" w:rsidR="00C110AA" w:rsidRPr="004D4283" w:rsidRDefault="00C110AA" w:rsidP="00853EC9">
            <w:pPr>
              <w:pStyle w:val="TableParagraph"/>
              <w:ind w:left="107"/>
              <w:jc w:val="center"/>
              <w:rPr>
                <w:rFonts w:ascii="Times New Roman" w:hAnsi="Times New Roman" w:cs="Times New Roman"/>
                <w:sz w:val="20"/>
                <w:szCs w:val="20"/>
              </w:rPr>
            </w:pPr>
            <w:r w:rsidRPr="004D4283">
              <w:rPr>
                <w:rFonts w:ascii="Times New Roman" w:hAnsi="Times New Roman" w:cs="Times New Roman"/>
                <w:sz w:val="20"/>
                <w:szCs w:val="20"/>
              </w:rPr>
              <w:t>Compreensão Crítica da Deficiência</w:t>
            </w:r>
          </w:p>
        </w:tc>
        <w:tc>
          <w:tcPr>
            <w:tcW w:w="1422" w:type="dxa"/>
            <w:vAlign w:val="center"/>
          </w:tcPr>
          <w:p w14:paraId="4B39E5F2" w14:textId="77777777"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SILVA</w:t>
            </w:r>
          </w:p>
        </w:tc>
        <w:tc>
          <w:tcPr>
            <w:tcW w:w="709" w:type="dxa"/>
            <w:vAlign w:val="center"/>
          </w:tcPr>
          <w:p w14:paraId="700311B7" w14:textId="77777777" w:rsidR="00C110AA" w:rsidRPr="004D4283" w:rsidRDefault="00C110AA" w:rsidP="00853EC9">
            <w:pPr>
              <w:pStyle w:val="TableParagraph"/>
              <w:ind w:left="4"/>
              <w:jc w:val="center"/>
              <w:rPr>
                <w:rFonts w:ascii="Times New Roman" w:hAnsi="Times New Roman" w:cs="Times New Roman"/>
                <w:sz w:val="20"/>
                <w:szCs w:val="20"/>
              </w:rPr>
            </w:pPr>
            <w:r w:rsidRPr="004D4283">
              <w:rPr>
                <w:rFonts w:ascii="Times New Roman" w:hAnsi="Times New Roman" w:cs="Times New Roman"/>
                <w:spacing w:val="-4"/>
                <w:sz w:val="20"/>
                <w:szCs w:val="20"/>
              </w:rPr>
              <w:t>2022</w:t>
            </w:r>
          </w:p>
        </w:tc>
        <w:tc>
          <w:tcPr>
            <w:tcW w:w="2531" w:type="dxa"/>
            <w:vAlign w:val="center"/>
          </w:tcPr>
          <w:p w14:paraId="59A090B0" w14:textId="77777777" w:rsidR="00C110AA" w:rsidRPr="004D4283" w:rsidRDefault="00C110AA" w:rsidP="00853EC9">
            <w:pPr>
              <w:pStyle w:val="TableParagraph"/>
              <w:spacing w:line="182" w:lineRule="exact"/>
              <w:ind w:left="104" w:right="98"/>
              <w:jc w:val="center"/>
              <w:rPr>
                <w:rFonts w:ascii="Times New Roman" w:hAnsi="Times New Roman" w:cs="Times New Roman"/>
                <w:sz w:val="20"/>
                <w:szCs w:val="20"/>
              </w:rPr>
            </w:pPr>
            <w:r w:rsidRPr="004D4283">
              <w:rPr>
                <w:rFonts w:ascii="Times New Roman" w:hAnsi="Times New Roman" w:cs="Times New Roman"/>
                <w:sz w:val="20"/>
                <w:szCs w:val="20"/>
              </w:rPr>
              <w:t>Compreender a deficiência, diversidade e as diferenças de maneira crítica, evitando que reduzam a pessoa à sua condição.</w:t>
            </w:r>
          </w:p>
        </w:tc>
        <w:tc>
          <w:tcPr>
            <w:tcW w:w="2127" w:type="dxa"/>
            <w:vAlign w:val="center"/>
          </w:tcPr>
          <w:p w14:paraId="263E3213" w14:textId="77777777" w:rsidR="00C110AA" w:rsidRPr="004D4283" w:rsidRDefault="00C110AA" w:rsidP="00853EC9">
            <w:pPr>
              <w:pStyle w:val="TableParagraph"/>
              <w:ind w:left="104"/>
              <w:jc w:val="center"/>
              <w:rPr>
                <w:rFonts w:ascii="Times New Roman" w:hAnsi="Times New Roman" w:cs="Times New Roman"/>
                <w:sz w:val="20"/>
                <w:szCs w:val="20"/>
              </w:rPr>
            </w:pPr>
            <w:r w:rsidRPr="004D4283">
              <w:rPr>
                <w:rFonts w:ascii="Times New Roman" w:hAnsi="Times New Roman" w:cs="Times New Roman"/>
                <w:spacing w:val="-2"/>
                <w:sz w:val="20"/>
                <w:szCs w:val="20"/>
              </w:rPr>
              <w:t>Dialético</w:t>
            </w:r>
          </w:p>
        </w:tc>
      </w:tr>
      <w:tr w:rsidR="00C110AA" w14:paraId="7EB902D7" w14:textId="77777777" w:rsidTr="00853EC9">
        <w:trPr>
          <w:trHeight w:val="717"/>
        </w:trPr>
        <w:tc>
          <w:tcPr>
            <w:tcW w:w="1986" w:type="dxa"/>
            <w:vAlign w:val="center"/>
          </w:tcPr>
          <w:p w14:paraId="1EDA2D5E" w14:textId="77777777" w:rsidR="00C110AA" w:rsidRPr="004D4283" w:rsidRDefault="00C110AA" w:rsidP="00853EC9">
            <w:pPr>
              <w:pStyle w:val="TableParagraph"/>
              <w:spacing w:line="170" w:lineRule="exact"/>
              <w:ind w:left="107"/>
              <w:jc w:val="center"/>
              <w:rPr>
                <w:rFonts w:ascii="Times New Roman" w:hAnsi="Times New Roman" w:cs="Times New Roman"/>
                <w:sz w:val="20"/>
                <w:szCs w:val="20"/>
              </w:rPr>
            </w:pPr>
            <w:r w:rsidRPr="004D4283">
              <w:rPr>
                <w:rFonts w:ascii="Times New Roman" w:hAnsi="Times New Roman" w:cs="Times New Roman"/>
                <w:sz w:val="20"/>
                <w:szCs w:val="20"/>
              </w:rPr>
              <w:t>Trajetória da Educação Inclusiva</w:t>
            </w:r>
          </w:p>
        </w:tc>
        <w:tc>
          <w:tcPr>
            <w:tcW w:w="1422" w:type="dxa"/>
            <w:vAlign w:val="center"/>
          </w:tcPr>
          <w:p w14:paraId="330B38E1" w14:textId="77777777" w:rsidR="00C110AA" w:rsidRPr="004D4283" w:rsidRDefault="00C110AA" w:rsidP="00853EC9">
            <w:pPr>
              <w:pStyle w:val="TableParagraph"/>
              <w:spacing w:before="179"/>
              <w:ind w:left="268" w:right="162"/>
              <w:jc w:val="center"/>
              <w:rPr>
                <w:rFonts w:ascii="Times New Roman" w:hAnsi="Times New Roman" w:cs="Times New Roman"/>
                <w:sz w:val="20"/>
                <w:szCs w:val="20"/>
              </w:rPr>
            </w:pPr>
            <w:r w:rsidRPr="004D4283">
              <w:rPr>
                <w:rFonts w:ascii="Times New Roman" w:hAnsi="Times New Roman" w:cs="Times New Roman"/>
                <w:sz w:val="20"/>
                <w:szCs w:val="20"/>
              </w:rPr>
              <w:t>GALVÃO E SILVEIRA</w:t>
            </w:r>
          </w:p>
        </w:tc>
        <w:tc>
          <w:tcPr>
            <w:tcW w:w="709" w:type="dxa"/>
            <w:vAlign w:val="center"/>
          </w:tcPr>
          <w:p w14:paraId="65DAF4F2" w14:textId="77777777" w:rsidR="00C110AA" w:rsidRPr="004D4283" w:rsidRDefault="00C110AA" w:rsidP="00853EC9">
            <w:pPr>
              <w:pStyle w:val="TableParagraph"/>
              <w:ind w:left="4"/>
              <w:jc w:val="center"/>
              <w:rPr>
                <w:rFonts w:ascii="Times New Roman" w:hAnsi="Times New Roman" w:cs="Times New Roman"/>
                <w:sz w:val="20"/>
                <w:szCs w:val="20"/>
              </w:rPr>
            </w:pPr>
            <w:r w:rsidRPr="004D4283">
              <w:rPr>
                <w:rFonts w:ascii="Times New Roman" w:hAnsi="Times New Roman" w:cs="Times New Roman"/>
                <w:spacing w:val="-4"/>
                <w:sz w:val="20"/>
                <w:szCs w:val="20"/>
              </w:rPr>
              <w:t>2023</w:t>
            </w:r>
          </w:p>
        </w:tc>
        <w:tc>
          <w:tcPr>
            <w:tcW w:w="2531" w:type="dxa"/>
            <w:vAlign w:val="center"/>
          </w:tcPr>
          <w:p w14:paraId="1BF3CFEB" w14:textId="77777777" w:rsidR="00C110AA" w:rsidRPr="004D4283" w:rsidRDefault="00C110AA" w:rsidP="00853EC9">
            <w:pPr>
              <w:pStyle w:val="TableParagraph"/>
              <w:spacing w:before="179"/>
              <w:ind w:left="104" w:right="137"/>
              <w:jc w:val="center"/>
              <w:rPr>
                <w:rFonts w:ascii="Times New Roman" w:hAnsi="Times New Roman" w:cs="Times New Roman"/>
                <w:sz w:val="20"/>
                <w:szCs w:val="20"/>
              </w:rPr>
            </w:pPr>
            <w:r w:rsidRPr="004D4283">
              <w:rPr>
                <w:rFonts w:ascii="Times New Roman" w:hAnsi="Times New Roman" w:cs="Times New Roman"/>
                <w:sz w:val="20"/>
                <w:szCs w:val="20"/>
              </w:rPr>
              <w:t>Discutir a trajetória da educação inclusiva e sua relação direta com a superação de práticas históricas de exclusão.</w:t>
            </w:r>
          </w:p>
        </w:tc>
        <w:tc>
          <w:tcPr>
            <w:tcW w:w="2127" w:type="dxa"/>
            <w:vAlign w:val="center"/>
          </w:tcPr>
          <w:p w14:paraId="7C3E57BE" w14:textId="77777777" w:rsidR="00C110AA" w:rsidRPr="004D4283" w:rsidRDefault="00C110AA" w:rsidP="00853EC9">
            <w:pPr>
              <w:pStyle w:val="TableParagraph"/>
              <w:ind w:left="104"/>
              <w:jc w:val="center"/>
              <w:rPr>
                <w:rFonts w:ascii="Times New Roman" w:hAnsi="Times New Roman" w:cs="Times New Roman"/>
                <w:sz w:val="20"/>
                <w:szCs w:val="20"/>
              </w:rPr>
            </w:pPr>
            <w:r w:rsidRPr="004D4283">
              <w:rPr>
                <w:rFonts w:ascii="Times New Roman" w:hAnsi="Times New Roman" w:cs="Times New Roman"/>
                <w:spacing w:val="-2"/>
                <w:sz w:val="20"/>
                <w:szCs w:val="20"/>
              </w:rPr>
              <w:t>Pesquisa bibliográfica / Histórica</w:t>
            </w:r>
          </w:p>
        </w:tc>
      </w:tr>
      <w:tr w:rsidR="00C110AA" w14:paraId="2660363C" w14:textId="77777777" w:rsidTr="00853EC9">
        <w:trPr>
          <w:trHeight w:val="1866"/>
        </w:trPr>
        <w:tc>
          <w:tcPr>
            <w:tcW w:w="1986" w:type="dxa"/>
            <w:vAlign w:val="center"/>
          </w:tcPr>
          <w:p w14:paraId="10A0B48A" w14:textId="77777777" w:rsidR="00C110AA" w:rsidRPr="004D4283" w:rsidRDefault="00C110AA" w:rsidP="00853EC9">
            <w:pPr>
              <w:pStyle w:val="TableParagraph"/>
              <w:ind w:left="107"/>
              <w:jc w:val="center"/>
              <w:rPr>
                <w:rFonts w:ascii="Times New Roman" w:hAnsi="Times New Roman" w:cs="Times New Roman"/>
                <w:sz w:val="20"/>
                <w:szCs w:val="20"/>
              </w:rPr>
            </w:pPr>
            <w:r w:rsidRPr="004D4283">
              <w:rPr>
                <w:rFonts w:ascii="Times New Roman" w:hAnsi="Times New Roman" w:cs="Times New Roman"/>
                <w:sz w:val="20"/>
                <w:szCs w:val="20"/>
              </w:rPr>
              <w:t>Valorização da Diversidade e Aprendizagem</w:t>
            </w:r>
          </w:p>
        </w:tc>
        <w:tc>
          <w:tcPr>
            <w:tcW w:w="1422" w:type="dxa"/>
            <w:vAlign w:val="center"/>
          </w:tcPr>
          <w:p w14:paraId="099FA746" w14:textId="77777777"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BULGARELLI</w:t>
            </w:r>
          </w:p>
        </w:tc>
        <w:tc>
          <w:tcPr>
            <w:tcW w:w="709" w:type="dxa"/>
            <w:vAlign w:val="center"/>
          </w:tcPr>
          <w:p w14:paraId="4FCD66AA" w14:textId="77777777" w:rsidR="00C110AA" w:rsidRPr="004D4283" w:rsidRDefault="00C110AA" w:rsidP="00853EC9">
            <w:pPr>
              <w:pStyle w:val="TableParagraph"/>
              <w:spacing w:before="1"/>
              <w:ind w:left="4"/>
              <w:jc w:val="center"/>
              <w:rPr>
                <w:rFonts w:ascii="Times New Roman" w:hAnsi="Times New Roman" w:cs="Times New Roman"/>
                <w:sz w:val="20"/>
                <w:szCs w:val="20"/>
              </w:rPr>
            </w:pPr>
            <w:r w:rsidRPr="004D4283">
              <w:rPr>
                <w:rFonts w:ascii="Times New Roman" w:hAnsi="Times New Roman" w:cs="Times New Roman"/>
                <w:spacing w:val="-4"/>
                <w:sz w:val="20"/>
                <w:szCs w:val="20"/>
              </w:rPr>
              <w:t>2023</w:t>
            </w:r>
          </w:p>
        </w:tc>
        <w:tc>
          <w:tcPr>
            <w:tcW w:w="2531" w:type="dxa"/>
            <w:vAlign w:val="center"/>
          </w:tcPr>
          <w:p w14:paraId="117BBF29" w14:textId="77777777" w:rsidR="00C110AA" w:rsidRPr="004D4283" w:rsidRDefault="00C110AA" w:rsidP="00853EC9">
            <w:pPr>
              <w:pStyle w:val="TableParagraph"/>
              <w:ind w:left="104"/>
              <w:jc w:val="center"/>
              <w:rPr>
                <w:rFonts w:ascii="Times New Roman" w:hAnsi="Times New Roman" w:cs="Times New Roman"/>
                <w:sz w:val="20"/>
                <w:szCs w:val="20"/>
              </w:rPr>
            </w:pPr>
            <w:r w:rsidRPr="004D4283">
              <w:rPr>
                <w:rFonts w:ascii="Times New Roman" w:hAnsi="Times New Roman" w:cs="Times New Roman"/>
                <w:sz w:val="20"/>
                <w:szCs w:val="20"/>
              </w:rPr>
              <w:t>Ressaltar que valorizar a diversidade envolve transformar as diferenças em possibilidades de aprendizagem e convivência.</w:t>
            </w:r>
          </w:p>
        </w:tc>
        <w:tc>
          <w:tcPr>
            <w:tcW w:w="2127" w:type="dxa"/>
            <w:vAlign w:val="center"/>
          </w:tcPr>
          <w:p w14:paraId="226561A8" w14:textId="77777777" w:rsidR="00C110AA" w:rsidRPr="004D4283" w:rsidRDefault="00C110AA" w:rsidP="00853EC9">
            <w:pPr>
              <w:pStyle w:val="TableParagraph"/>
              <w:spacing w:line="170" w:lineRule="exact"/>
              <w:ind w:left="104"/>
              <w:jc w:val="center"/>
              <w:rPr>
                <w:rFonts w:ascii="Times New Roman" w:hAnsi="Times New Roman" w:cs="Times New Roman"/>
                <w:sz w:val="20"/>
                <w:szCs w:val="20"/>
              </w:rPr>
            </w:pPr>
            <w:r w:rsidRPr="004D4283">
              <w:rPr>
                <w:rFonts w:ascii="Times New Roman" w:hAnsi="Times New Roman" w:cs="Times New Roman"/>
                <w:spacing w:val="-2"/>
                <w:sz w:val="20"/>
                <w:szCs w:val="20"/>
              </w:rPr>
              <w:t>Revisão de literatura</w:t>
            </w:r>
          </w:p>
        </w:tc>
      </w:tr>
      <w:tr w:rsidR="00C110AA" w14:paraId="0C46FE71" w14:textId="77777777" w:rsidTr="00853EC9">
        <w:trPr>
          <w:trHeight w:val="1866"/>
        </w:trPr>
        <w:tc>
          <w:tcPr>
            <w:tcW w:w="1986" w:type="dxa"/>
            <w:vAlign w:val="center"/>
          </w:tcPr>
          <w:p w14:paraId="4D415399" w14:textId="4A662F52"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Gestão da Diversidade e</w:t>
            </w:r>
          </w:p>
          <w:p w14:paraId="5E30FD7B" w14:textId="4D323B59"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Ambientes Inclusivos</w:t>
            </w:r>
          </w:p>
        </w:tc>
        <w:tc>
          <w:tcPr>
            <w:tcW w:w="1422" w:type="dxa"/>
            <w:vAlign w:val="center"/>
          </w:tcPr>
          <w:p w14:paraId="0DFD821E" w14:textId="0F095D66"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BEZERRA et al.</w:t>
            </w:r>
          </w:p>
        </w:tc>
        <w:tc>
          <w:tcPr>
            <w:tcW w:w="709" w:type="dxa"/>
            <w:vAlign w:val="center"/>
          </w:tcPr>
          <w:p w14:paraId="4530ADE0" w14:textId="77777777"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2022</w:t>
            </w:r>
          </w:p>
        </w:tc>
        <w:tc>
          <w:tcPr>
            <w:tcW w:w="2531" w:type="dxa"/>
            <w:vAlign w:val="center"/>
          </w:tcPr>
          <w:p w14:paraId="778B3B85" w14:textId="7550D184" w:rsidR="00C110AA" w:rsidRPr="004D4283" w:rsidRDefault="00C110AA" w:rsidP="00853EC9">
            <w:pPr>
              <w:pStyle w:val="TableParagraph"/>
              <w:spacing w:before="177"/>
              <w:ind w:left="118" w:hanging="118"/>
              <w:jc w:val="center"/>
              <w:rPr>
                <w:rFonts w:ascii="Times New Roman" w:hAnsi="Times New Roman" w:cs="Times New Roman"/>
                <w:sz w:val="20"/>
                <w:szCs w:val="20"/>
              </w:rPr>
            </w:pPr>
            <w:r w:rsidRPr="004D4283">
              <w:rPr>
                <w:rFonts w:ascii="Times New Roman" w:hAnsi="Times New Roman" w:cs="Times New Roman"/>
                <w:sz w:val="20"/>
                <w:szCs w:val="20"/>
              </w:rPr>
              <w:t>Desenvolver ações        capazes de reconhecer as diferenças e criar ambientes onde as pessoas participem de     forma justa e respeitosa.</w:t>
            </w:r>
          </w:p>
        </w:tc>
        <w:tc>
          <w:tcPr>
            <w:tcW w:w="2127" w:type="dxa"/>
            <w:vAlign w:val="center"/>
          </w:tcPr>
          <w:p w14:paraId="5C06CF2E" w14:textId="77777777" w:rsidR="00C110AA" w:rsidRPr="004D4283" w:rsidRDefault="00C110AA" w:rsidP="00853EC9">
            <w:pPr>
              <w:pStyle w:val="TableParagraph"/>
              <w:spacing w:line="170" w:lineRule="exact"/>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Pesquisa bibliográfica / Gestão</w:t>
            </w:r>
          </w:p>
        </w:tc>
      </w:tr>
      <w:tr w:rsidR="00C110AA" w14:paraId="7C9CFA9E" w14:textId="77777777" w:rsidTr="00853EC9">
        <w:trPr>
          <w:trHeight w:val="1866"/>
        </w:trPr>
        <w:tc>
          <w:tcPr>
            <w:tcW w:w="1986" w:type="dxa"/>
            <w:vAlign w:val="center"/>
          </w:tcPr>
          <w:p w14:paraId="559FF147" w14:textId="088F3B51" w:rsidR="00C110AA" w:rsidRPr="004D4283" w:rsidRDefault="00C110AA" w:rsidP="00853EC9">
            <w:pPr>
              <w:pStyle w:val="TableParagraph"/>
              <w:ind w:left="130" w:hanging="130"/>
              <w:jc w:val="center"/>
              <w:rPr>
                <w:rFonts w:ascii="Times New Roman" w:hAnsi="Times New Roman" w:cs="Times New Roman"/>
                <w:sz w:val="20"/>
                <w:szCs w:val="20"/>
              </w:rPr>
            </w:pPr>
            <w:r w:rsidRPr="004D4283">
              <w:rPr>
                <w:rFonts w:ascii="Times New Roman" w:hAnsi="Times New Roman" w:cs="Times New Roman"/>
                <w:sz w:val="20"/>
                <w:szCs w:val="20"/>
              </w:rPr>
              <w:lastRenderedPageBreak/>
              <w:t>Cultura do Respeito e Dignidade Humana</w:t>
            </w:r>
          </w:p>
        </w:tc>
        <w:tc>
          <w:tcPr>
            <w:tcW w:w="1422" w:type="dxa"/>
            <w:vAlign w:val="center"/>
          </w:tcPr>
          <w:p w14:paraId="6DE9EB32" w14:textId="5B25256C"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DOS SANTOS ABREU et al.</w:t>
            </w:r>
          </w:p>
        </w:tc>
        <w:tc>
          <w:tcPr>
            <w:tcW w:w="709" w:type="dxa"/>
            <w:vAlign w:val="center"/>
          </w:tcPr>
          <w:p w14:paraId="6DB121DD" w14:textId="7B3A7DBE" w:rsidR="00C110AA" w:rsidRPr="004D4283" w:rsidRDefault="00C110AA" w:rsidP="00701774">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2026</w:t>
            </w:r>
          </w:p>
        </w:tc>
        <w:tc>
          <w:tcPr>
            <w:tcW w:w="2531" w:type="dxa"/>
            <w:vAlign w:val="center"/>
          </w:tcPr>
          <w:p w14:paraId="3F6D0BD4" w14:textId="77777777" w:rsidR="00C110AA" w:rsidRPr="004D4283" w:rsidRDefault="00C110AA" w:rsidP="00853EC9">
            <w:pPr>
              <w:pStyle w:val="TableParagraph"/>
              <w:spacing w:before="177"/>
              <w:ind w:left="118"/>
              <w:jc w:val="center"/>
              <w:rPr>
                <w:rFonts w:ascii="Times New Roman" w:hAnsi="Times New Roman" w:cs="Times New Roman"/>
                <w:sz w:val="20"/>
                <w:szCs w:val="20"/>
              </w:rPr>
            </w:pPr>
            <w:r w:rsidRPr="004D4283">
              <w:rPr>
                <w:rFonts w:ascii="Times New Roman" w:hAnsi="Times New Roman" w:cs="Times New Roman"/>
                <w:sz w:val="20"/>
                <w:szCs w:val="20"/>
              </w:rPr>
              <w:t>Avaliar práticas inclusivas que valorizem a diversidade e promovam relações baseadas no reconhecimento e na dignidade humana.</w:t>
            </w:r>
          </w:p>
        </w:tc>
        <w:tc>
          <w:tcPr>
            <w:tcW w:w="2127" w:type="dxa"/>
            <w:vAlign w:val="center"/>
          </w:tcPr>
          <w:p w14:paraId="13494306" w14:textId="77777777" w:rsidR="00C110AA" w:rsidRPr="004D4283" w:rsidRDefault="00C110AA" w:rsidP="00853EC9">
            <w:pPr>
              <w:pStyle w:val="TableParagraph"/>
              <w:spacing w:line="170" w:lineRule="exact"/>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Revisão de literatura</w:t>
            </w:r>
          </w:p>
        </w:tc>
      </w:tr>
      <w:tr w:rsidR="00C110AA" w14:paraId="250DEE58" w14:textId="77777777" w:rsidTr="00853EC9">
        <w:trPr>
          <w:trHeight w:val="1866"/>
        </w:trPr>
        <w:tc>
          <w:tcPr>
            <w:tcW w:w="1986" w:type="dxa"/>
            <w:vAlign w:val="center"/>
          </w:tcPr>
          <w:p w14:paraId="55FF334B" w14:textId="5B645CF6" w:rsidR="00C110AA" w:rsidRPr="004D4283" w:rsidRDefault="00C110AA" w:rsidP="00853EC9">
            <w:pPr>
              <w:pStyle w:val="TableParagraph"/>
              <w:ind w:left="130" w:hanging="130"/>
              <w:jc w:val="center"/>
              <w:rPr>
                <w:rFonts w:ascii="Times New Roman" w:hAnsi="Times New Roman" w:cs="Times New Roman"/>
                <w:sz w:val="20"/>
                <w:szCs w:val="20"/>
              </w:rPr>
            </w:pPr>
            <w:r w:rsidRPr="004D4283">
              <w:rPr>
                <w:rFonts w:ascii="Times New Roman" w:hAnsi="Times New Roman" w:cs="Times New Roman"/>
                <w:sz w:val="20"/>
                <w:szCs w:val="20"/>
              </w:rPr>
              <w:t>Ações Coletivas e Diálogo para Inclusão</w:t>
            </w:r>
          </w:p>
        </w:tc>
        <w:tc>
          <w:tcPr>
            <w:tcW w:w="1422" w:type="dxa"/>
            <w:vAlign w:val="center"/>
          </w:tcPr>
          <w:p w14:paraId="633B9B5B" w14:textId="5CCF855D"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SALES</w:t>
            </w:r>
          </w:p>
        </w:tc>
        <w:tc>
          <w:tcPr>
            <w:tcW w:w="709" w:type="dxa"/>
            <w:vAlign w:val="center"/>
          </w:tcPr>
          <w:p w14:paraId="3D6BE020" w14:textId="77777777"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2022</w:t>
            </w:r>
          </w:p>
        </w:tc>
        <w:tc>
          <w:tcPr>
            <w:tcW w:w="2531" w:type="dxa"/>
            <w:vAlign w:val="center"/>
          </w:tcPr>
          <w:p w14:paraId="0D0178F1" w14:textId="203C171B" w:rsidR="00C110AA" w:rsidRPr="004D4283" w:rsidRDefault="00C110AA" w:rsidP="00853EC9">
            <w:pPr>
              <w:pStyle w:val="TableParagraph"/>
              <w:spacing w:before="177"/>
              <w:ind w:left="118" w:hanging="118"/>
              <w:jc w:val="center"/>
              <w:rPr>
                <w:rFonts w:ascii="Times New Roman" w:hAnsi="Times New Roman" w:cs="Times New Roman"/>
                <w:sz w:val="20"/>
                <w:szCs w:val="20"/>
              </w:rPr>
            </w:pPr>
            <w:r w:rsidRPr="004D4283">
              <w:rPr>
                <w:rFonts w:ascii="Times New Roman" w:hAnsi="Times New Roman" w:cs="Times New Roman"/>
                <w:sz w:val="20"/>
                <w:szCs w:val="20"/>
              </w:rPr>
              <w:t>Evidenciar a importância das experiências em grupos e do diálogo para a construção de culturas mais inclusivas.</w:t>
            </w:r>
          </w:p>
        </w:tc>
        <w:tc>
          <w:tcPr>
            <w:tcW w:w="2127" w:type="dxa"/>
            <w:vAlign w:val="center"/>
          </w:tcPr>
          <w:p w14:paraId="0D197799" w14:textId="77777777" w:rsidR="00C110AA" w:rsidRPr="004D4283" w:rsidRDefault="00C110AA" w:rsidP="00853EC9">
            <w:pPr>
              <w:pStyle w:val="TableParagraph"/>
              <w:spacing w:line="170" w:lineRule="exact"/>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Pesquisa bibliográfica</w:t>
            </w:r>
          </w:p>
        </w:tc>
      </w:tr>
      <w:tr w:rsidR="00C110AA" w14:paraId="1E4760FE" w14:textId="77777777" w:rsidTr="00853EC9">
        <w:trPr>
          <w:trHeight w:val="1866"/>
        </w:trPr>
        <w:tc>
          <w:tcPr>
            <w:tcW w:w="1986" w:type="dxa"/>
            <w:vAlign w:val="center"/>
          </w:tcPr>
          <w:p w14:paraId="3B757810" w14:textId="432023A3" w:rsidR="00C110AA" w:rsidRPr="004D4283" w:rsidRDefault="00C110AA" w:rsidP="00853EC9">
            <w:pPr>
              <w:pStyle w:val="TableParagraph"/>
              <w:ind w:left="130" w:hanging="130"/>
              <w:jc w:val="center"/>
              <w:rPr>
                <w:rFonts w:ascii="Times New Roman" w:hAnsi="Times New Roman" w:cs="Times New Roman"/>
                <w:sz w:val="20"/>
                <w:szCs w:val="20"/>
              </w:rPr>
            </w:pPr>
            <w:r w:rsidRPr="004D4283">
              <w:rPr>
                <w:rFonts w:ascii="Times New Roman" w:hAnsi="Times New Roman" w:cs="Times New Roman"/>
                <w:sz w:val="20"/>
                <w:szCs w:val="20"/>
              </w:rPr>
              <w:t>Diversidade Cultural, Identidade e Memória</w:t>
            </w:r>
          </w:p>
        </w:tc>
        <w:tc>
          <w:tcPr>
            <w:tcW w:w="1422" w:type="dxa"/>
            <w:vAlign w:val="center"/>
          </w:tcPr>
          <w:p w14:paraId="760D9FA2" w14:textId="43040732"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MENÇA</w:t>
            </w:r>
          </w:p>
        </w:tc>
        <w:tc>
          <w:tcPr>
            <w:tcW w:w="709" w:type="dxa"/>
            <w:vAlign w:val="center"/>
          </w:tcPr>
          <w:p w14:paraId="5731DF35" w14:textId="77777777"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2025</w:t>
            </w:r>
          </w:p>
        </w:tc>
        <w:tc>
          <w:tcPr>
            <w:tcW w:w="2531" w:type="dxa"/>
            <w:vAlign w:val="center"/>
          </w:tcPr>
          <w:p w14:paraId="2F4CD4B0" w14:textId="0C94E0FC" w:rsidR="00C110AA" w:rsidRPr="004D4283" w:rsidRDefault="00C110AA" w:rsidP="00853EC9">
            <w:pPr>
              <w:pStyle w:val="TableParagraph"/>
              <w:spacing w:before="177"/>
              <w:ind w:left="118" w:hanging="118"/>
              <w:jc w:val="center"/>
              <w:rPr>
                <w:rFonts w:ascii="Times New Roman" w:hAnsi="Times New Roman" w:cs="Times New Roman"/>
                <w:sz w:val="20"/>
                <w:szCs w:val="20"/>
              </w:rPr>
            </w:pPr>
            <w:r w:rsidRPr="004D4283">
              <w:rPr>
                <w:rFonts w:ascii="Times New Roman" w:hAnsi="Times New Roman" w:cs="Times New Roman"/>
                <w:sz w:val="20"/>
                <w:szCs w:val="20"/>
              </w:rPr>
              <w:t>Destacar a importância da valorização da diversidade cultural, da identidade e da memória na sociedade.</w:t>
            </w:r>
          </w:p>
        </w:tc>
        <w:tc>
          <w:tcPr>
            <w:tcW w:w="2127" w:type="dxa"/>
            <w:vAlign w:val="center"/>
          </w:tcPr>
          <w:p w14:paraId="7B3E40C3" w14:textId="77777777" w:rsidR="00C110AA" w:rsidRPr="004D4283" w:rsidRDefault="00C110AA" w:rsidP="00853EC9">
            <w:pPr>
              <w:pStyle w:val="TableParagraph"/>
              <w:spacing w:line="170" w:lineRule="exact"/>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Revisão bibliográfica</w:t>
            </w:r>
          </w:p>
        </w:tc>
      </w:tr>
      <w:tr w:rsidR="00C110AA" w14:paraId="626F69AC" w14:textId="77777777" w:rsidTr="00853EC9">
        <w:trPr>
          <w:trHeight w:val="1866"/>
        </w:trPr>
        <w:tc>
          <w:tcPr>
            <w:tcW w:w="1986" w:type="dxa"/>
            <w:vAlign w:val="center"/>
          </w:tcPr>
          <w:p w14:paraId="002C20A4" w14:textId="77777777" w:rsidR="00C110AA" w:rsidRPr="004D4283" w:rsidRDefault="00C110AA" w:rsidP="00853EC9">
            <w:pPr>
              <w:pStyle w:val="TableParagraph"/>
              <w:ind w:left="130"/>
              <w:jc w:val="center"/>
              <w:rPr>
                <w:rFonts w:ascii="Times New Roman" w:hAnsi="Times New Roman" w:cs="Times New Roman"/>
                <w:sz w:val="20"/>
                <w:szCs w:val="20"/>
              </w:rPr>
            </w:pPr>
            <w:r w:rsidRPr="004D4283">
              <w:rPr>
                <w:rFonts w:ascii="Times New Roman" w:hAnsi="Times New Roman" w:cs="Times New Roman"/>
                <w:sz w:val="20"/>
                <w:szCs w:val="20"/>
              </w:rPr>
              <w:t>Lacunas na Inclusão de Pessoas Transexuais</w:t>
            </w:r>
          </w:p>
        </w:tc>
        <w:tc>
          <w:tcPr>
            <w:tcW w:w="1422" w:type="dxa"/>
            <w:vAlign w:val="center"/>
          </w:tcPr>
          <w:p w14:paraId="4489C90B" w14:textId="3334FD25" w:rsidR="00C110AA" w:rsidRPr="004D4283" w:rsidRDefault="00C110AA" w:rsidP="00853EC9">
            <w:pPr>
              <w:pStyle w:val="TableParagraph"/>
              <w:ind w:left="268" w:right="162"/>
              <w:jc w:val="center"/>
              <w:rPr>
                <w:rFonts w:ascii="Times New Roman" w:hAnsi="Times New Roman" w:cs="Times New Roman"/>
                <w:sz w:val="20"/>
                <w:szCs w:val="20"/>
              </w:rPr>
            </w:pPr>
            <w:r w:rsidRPr="004D4283">
              <w:rPr>
                <w:rFonts w:ascii="Times New Roman" w:hAnsi="Times New Roman" w:cs="Times New Roman"/>
                <w:sz w:val="20"/>
                <w:szCs w:val="20"/>
              </w:rPr>
              <w:t>SANTOS e            MACHADO</w:t>
            </w:r>
          </w:p>
        </w:tc>
        <w:tc>
          <w:tcPr>
            <w:tcW w:w="709" w:type="dxa"/>
            <w:vAlign w:val="center"/>
          </w:tcPr>
          <w:p w14:paraId="2FBB4150" w14:textId="77777777" w:rsidR="00C110AA" w:rsidRPr="004D4283" w:rsidRDefault="00C110AA" w:rsidP="00853EC9">
            <w:pPr>
              <w:pStyle w:val="TableParagraph"/>
              <w:jc w:val="center"/>
              <w:rPr>
                <w:rFonts w:ascii="Times New Roman" w:hAnsi="Times New Roman" w:cs="Times New Roman"/>
                <w:sz w:val="20"/>
                <w:szCs w:val="20"/>
              </w:rPr>
            </w:pPr>
            <w:r w:rsidRPr="004D4283">
              <w:rPr>
                <w:rFonts w:ascii="Times New Roman" w:hAnsi="Times New Roman" w:cs="Times New Roman"/>
                <w:sz w:val="20"/>
                <w:szCs w:val="20"/>
              </w:rPr>
              <w:t>2024</w:t>
            </w:r>
          </w:p>
        </w:tc>
        <w:tc>
          <w:tcPr>
            <w:tcW w:w="2531" w:type="dxa"/>
            <w:vAlign w:val="center"/>
          </w:tcPr>
          <w:p w14:paraId="3DC55E8C" w14:textId="12E0528E" w:rsidR="00C110AA" w:rsidRPr="004D4283" w:rsidRDefault="00C110AA" w:rsidP="00853EC9">
            <w:pPr>
              <w:pStyle w:val="TableParagraph"/>
              <w:spacing w:before="177"/>
              <w:ind w:left="118" w:hanging="118"/>
              <w:jc w:val="center"/>
              <w:rPr>
                <w:rFonts w:ascii="Times New Roman" w:hAnsi="Times New Roman" w:cs="Times New Roman"/>
                <w:sz w:val="20"/>
                <w:szCs w:val="20"/>
              </w:rPr>
            </w:pPr>
            <w:r w:rsidRPr="004D4283">
              <w:rPr>
                <w:rFonts w:ascii="Times New Roman" w:hAnsi="Times New Roman" w:cs="Times New Roman"/>
                <w:sz w:val="20"/>
                <w:szCs w:val="20"/>
              </w:rPr>
              <w:t>Identificar lacunas na inclusão de pessoas transexuais e travestis, reforçando a necessidade de práticas institucionais permanentes.</w:t>
            </w:r>
          </w:p>
        </w:tc>
        <w:tc>
          <w:tcPr>
            <w:tcW w:w="2127" w:type="dxa"/>
            <w:vAlign w:val="center"/>
          </w:tcPr>
          <w:p w14:paraId="377A1B20" w14:textId="77777777" w:rsidR="00C110AA" w:rsidRPr="004D4283" w:rsidRDefault="00C110AA" w:rsidP="00853EC9">
            <w:pPr>
              <w:pStyle w:val="TableParagraph"/>
              <w:spacing w:line="170" w:lineRule="exact"/>
              <w:ind w:left="104"/>
              <w:jc w:val="center"/>
              <w:rPr>
                <w:rFonts w:ascii="Times New Roman" w:hAnsi="Times New Roman" w:cs="Times New Roman"/>
                <w:spacing w:val="-2"/>
                <w:sz w:val="20"/>
                <w:szCs w:val="20"/>
              </w:rPr>
            </w:pPr>
            <w:r w:rsidRPr="004D4283">
              <w:rPr>
                <w:rFonts w:ascii="Times New Roman" w:hAnsi="Times New Roman" w:cs="Times New Roman"/>
                <w:spacing w:val="-2"/>
                <w:sz w:val="20"/>
                <w:szCs w:val="20"/>
              </w:rPr>
              <w:t>Pesquisa bibliográfica / Social</w:t>
            </w:r>
          </w:p>
        </w:tc>
      </w:tr>
    </w:tbl>
    <w:p w14:paraId="6735DD86" w14:textId="77777777" w:rsidR="00C110AA" w:rsidRPr="004D4283" w:rsidRDefault="00C110AA" w:rsidP="00C110AA">
      <w:pPr>
        <w:tabs>
          <w:tab w:val="left" w:pos="142"/>
        </w:tabs>
        <w:ind w:firstLine="142"/>
        <w:rPr>
          <w:rFonts w:eastAsia="Verdana"/>
          <w:sz w:val="20"/>
          <w:szCs w:val="20"/>
        </w:rPr>
      </w:pPr>
      <w:r w:rsidRPr="008712F9">
        <w:rPr>
          <w:rFonts w:eastAsia="Verdana"/>
          <w:b/>
          <w:bCs/>
          <w:sz w:val="20"/>
          <w:szCs w:val="20"/>
        </w:rPr>
        <w:t>Fonte</w:t>
      </w:r>
      <w:r w:rsidRPr="004D4283">
        <w:rPr>
          <w:rFonts w:eastAsia="Verdana"/>
          <w:sz w:val="20"/>
          <w:szCs w:val="20"/>
        </w:rPr>
        <w:t>: Elaborado pelos autores (2026).</w:t>
      </w:r>
    </w:p>
    <w:p w14:paraId="5F962E77" w14:textId="77777777" w:rsidR="00C110AA" w:rsidRDefault="00C110AA" w:rsidP="00C110AA">
      <w:pPr>
        <w:spacing w:line="360" w:lineRule="auto"/>
        <w:ind w:firstLine="709"/>
        <w:jc w:val="both"/>
        <w:rPr>
          <w:sz w:val="24"/>
          <w:szCs w:val="24"/>
        </w:rPr>
      </w:pPr>
    </w:p>
    <w:p w14:paraId="5FE8D55C" w14:textId="77777777" w:rsidR="00C110AA" w:rsidRPr="00C110AA" w:rsidRDefault="00C110AA" w:rsidP="00C110AA">
      <w:pPr>
        <w:spacing w:line="360" w:lineRule="auto"/>
        <w:ind w:firstLine="709"/>
        <w:jc w:val="both"/>
        <w:rPr>
          <w:sz w:val="24"/>
          <w:szCs w:val="24"/>
        </w:rPr>
      </w:pPr>
      <w:r w:rsidRPr="00C110AA">
        <w:rPr>
          <w:sz w:val="24"/>
          <w:szCs w:val="24"/>
        </w:rPr>
        <w:t>Os estudos analisados demonstram que a diversidade está relacionada à pluralidade de identidades, culturas, características e experiências presentes na sociedade. Mença (2025) destaca a importância da valorização da diversidade cultural, da identidade e da memória, enquanto Amato (2022) evidencia que a diversidade envolve diferentes dimensões, como raça, gênero, deficiência, religião e sexualidade. Dessa forma, o respeito às diferenças deve ultrapassar a simples tolerância, contribuindo para a valorização da pluralidade humana.</w:t>
      </w:r>
    </w:p>
    <w:p w14:paraId="024E02B1" w14:textId="77777777" w:rsidR="00C110AA" w:rsidRPr="00C110AA" w:rsidRDefault="00C110AA" w:rsidP="00C110AA">
      <w:pPr>
        <w:spacing w:line="360" w:lineRule="auto"/>
        <w:ind w:firstLine="709"/>
        <w:jc w:val="both"/>
        <w:rPr>
          <w:sz w:val="24"/>
          <w:szCs w:val="24"/>
        </w:rPr>
      </w:pPr>
      <w:r w:rsidRPr="00C110AA">
        <w:rPr>
          <w:sz w:val="24"/>
          <w:szCs w:val="24"/>
        </w:rPr>
        <w:t xml:space="preserve">Quanto às estratégias de inclusão, os estudos demonstram que são necessárias ações concretas, como políticas institucionais, capacitação profissional, representatividade e combate à discriminação. Bezerra et al. (2022) apontam que, apesar dos avanços nos programas de diversidade, ainda existem dificuldades relacionadas à representatividade de grupos </w:t>
      </w:r>
      <w:r w:rsidRPr="00C110AA">
        <w:rPr>
          <w:sz w:val="24"/>
          <w:szCs w:val="24"/>
        </w:rPr>
        <w:lastRenderedPageBreak/>
        <w:t>historicamente excluídos. Santos e Machado (2024) também identificam lacunas na inclusão de pessoas transexuais e travestis, reforçando a necessidade de práticas institucionais permanentes.</w:t>
      </w:r>
    </w:p>
    <w:p w14:paraId="4BDBC519" w14:textId="4FDD2FF8" w:rsidR="00C110AA" w:rsidRDefault="00C110AA" w:rsidP="00C110AA">
      <w:pPr>
        <w:spacing w:line="360" w:lineRule="auto"/>
        <w:ind w:firstLine="709"/>
        <w:jc w:val="both"/>
        <w:rPr>
          <w:sz w:val="24"/>
          <w:szCs w:val="24"/>
        </w:rPr>
      </w:pPr>
      <w:r w:rsidRPr="00C110AA">
        <w:rPr>
          <w:sz w:val="24"/>
          <w:szCs w:val="24"/>
        </w:rPr>
        <w:t>De modo geral, os resultados demonstram que a diversidade, por si só, não garante inclusão. É necessário reconhecer e valorizar as diferenças, eliminar barreiras, combater preconceitos e promover ações que assegurem participação, dignidade e igualdade de oportunidades. Assim, a construção de uma sociedade inclusiva depende de mudanças individuais e coletivas, envolvendo educação, conscientização, políticas públicas, acessibilidade e práticas institucionais que transformem o respeito às diferenças em uma realidade cotidiana</w:t>
      </w:r>
      <w:r>
        <w:rPr>
          <w:sz w:val="24"/>
          <w:szCs w:val="24"/>
        </w:rPr>
        <w:t xml:space="preserve">. </w:t>
      </w:r>
    </w:p>
    <w:p w14:paraId="7CE52111" w14:textId="77777777" w:rsidR="00C110AA" w:rsidRPr="00C110AA" w:rsidRDefault="00C110AA" w:rsidP="00C110AA">
      <w:pPr>
        <w:spacing w:line="360" w:lineRule="auto"/>
        <w:ind w:firstLine="709"/>
        <w:jc w:val="both"/>
        <w:rPr>
          <w:sz w:val="24"/>
          <w:szCs w:val="24"/>
        </w:rPr>
      </w:pPr>
    </w:p>
    <w:p w14:paraId="5B0B1DF8" w14:textId="1626677D" w:rsidR="0094014F" w:rsidRDefault="004C6C7C">
      <w:pPr>
        <w:spacing w:line="360" w:lineRule="auto"/>
        <w:rPr>
          <w:b/>
          <w:bCs/>
          <w:sz w:val="24"/>
          <w:szCs w:val="24"/>
        </w:rPr>
      </w:pPr>
      <w:r>
        <w:rPr>
          <w:b/>
          <w:bCs/>
          <w:sz w:val="24"/>
          <w:szCs w:val="24"/>
        </w:rPr>
        <w:t>CONSIDERAÇÕES FINAIS</w:t>
      </w:r>
    </w:p>
    <w:p w14:paraId="76F93556" w14:textId="77777777" w:rsidR="00C110AA" w:rsidRDefault="00C110AA">
      <w:pPr>
        <w:spacing w:line="360" w:lineRule="auto"/>
        <w:rPr>
          <w:b/>
          <w:bCs/>
          <w:sz w:val="24"/>
          <w:szCs w:val="24"/>
        </w:rPr>
      </w:pPr>
    </w:p>
    <w:p w14:paraId="2510DDDC" w14:textId="77777777" w:rsidR="00C110AA" w:rsidRPr="00C110AA" w:rsidRDefault="00C110AA" w:rsidP="00C110AA">
      <w:pPr>
        <w:spacing w:line="360" w:lineRule="auto"/>
        <w:ind w:firstLine="709"/>
        <w:jc w:val="both"/>
        <w:rPr>
          <w:sz w:val="24"/>
          <w:szCs w:val="24"/>
        </w:rPr>
      </w:pPr>
      <w:r w:rsidRPr="00C110AA">
        <w:rPr>
          <w:sz w:val="24"/>
          <w:szCs w:val="24"/>
        </w:rPr>
        <w:t>A presente revisão de literatura permitiu compreender a importância da diversidade e da inclusão para a construção de uma sociedade mais igualitária. Os estudos analisados demonstraram que a diversidade está presente nas diferentes identidades, culturas, características e experiências dos indivíduos. Dessa forma, as diferenças devem ser reconhecidas e valorizadas como parte da sociedade. O respeito não deve significar apenas tolerância, mas também acolhimento e valorização. Assim, torna-se necessário combater atitudes que promovam exclusão e discriminação.</w:t>
      </w:r>
    </w:p>
    <w:p w14:paraId="131BF753" w14:textId="77777777" w:rsidR="00C110AA" w:rsidRPr="00C110AA" w:rsidRDefault="00C110AA" w:rsidP="00C110AA">
      <w:pPr>
        <w:spacing w:line="360" w:lineRule="auto"/>
        <w:ind w:firstLine="709"/>
        <w:jc w:val="both"/>
        <w:rPr>
          <w:sz w:val="24"/>
          <w:szCs w:val="24"/>
        </w:rPr>
      </w:pPr>
      <w:r w:rsidRPr="00C110AA">
        <w:rPr>
          <w:sz w:val="24"/>
          <w:szCs w:val="24"/>
        </w:rPr>
        <w:t>Os resultados evidenciaram que a inclusão vai além da presença dos indivíduos nos espaços sociais. É necessário garantir participação, acessibilidade, representatividade e igualdade de oportunidades. Apesar dos avanços relacionados às políticas e práticas inclusivas, ainda existem barreiras sociais que dificultam a participação de grupos historicamente excluídos. O preconceito e a discriminação continuam sendo desafios presentes na sociedade.</w:t>
      </w:r>
    </w:p>
    <w:p w14:paraId="32EBD9AF" w14:textId="77777777" w:rsidR="00C110AA" w:rsidRPr="00C110AA" w:rsidRDefault="00C110AA" w:rsidP="00C110AA">
      <w:pPr>
        <w:spacing w:line="360" w:lineRule="auto"/>
        <w:ind w:firstLine="709"/>
        <w:jc w:val="both"/>
        <w:rPr>
          <w:sz w:val="24"/>
          <w:szCs w:val="24"/>
        </w:rPr>
      </w:pPr>
      <w:r w:rsidRPr="00C110AA">
        <w:rPr>
          <w:sz w:val="24"/>
          <w:szCs w:val="24"/>
        </w:rPr>
        <w:t xml:space="preserve">Entre as estratégias identificadas, destacam-se a educação, a conscientização, a capacitação profissional, as políticas públicas e o combate às práticas discriminatórias. Essas ações são fundamentais para promover ambientes mais acolhedores e acessíveis. Além disso, a participação conjunta de indivíduos, instituições e sociedade é necessária para que as mudanças sejam efetivas. A valorização da diversidade deve fazer parte das práticas cotidianas. Dessa </w:t>
      </w:r>
      <w:r w:rsidRPr="00C110AA">
        <w:rPr>
          <w:sz w:val="24"/>
          <w:szCs w:val="24"/>
        </w:rPr>
        <w:lastRenderedPageBreak/>
        <w:t>maneira, o respeito às diferenças pode deixar de ser apenas um princípio e tornar-se uma prática social.</w:t>
      </w:r>
    </w:p>
    <w:p w14:paraId="3CA3F3EB" w14:textId="1D0AE0B3" w:rsidR="00C110AA" w:rsidRPr="00C110AA" w:rsidRDefault="00C110AA" w:rsidP="00C110AA">
      <w:pPr>
        <w:spacing w:line="360" w:lineRule="auto"/>
        <w:ind w:firstLine="709"/>
        <w:jc w:val="both"/>
        <w:rPr>
          <w:sz w:val="24"/>
          <w:szCs w:val="24"/>
        </w:rPr>
      </w:pPr>
      <w:r w:rsidRPr="00C110AA">
        <w:rPr>
          <w:sz w:val="24"/>
          <w:szCs w:val="24"/>
        </w:rPr>
        <w:t>Conclui-se que a diversidade, por si só, não garante a inclusão, sendo necessário criar condições para que todos possam participar da sociedade com dignidade e igualdade. O reconhecimento das diferenças deve estar acompanhado de ações concretas capazes de eliminar barreiras e combater preconceitos. Portanto, valorizar a diversidade significa reconhecer a importância de cada indivíduo. Assim, torna-se possível construir relações sociais mais humanas, justas e inclusivas.</w:t>
      </w:r>
    </w:p>
    <w:p w14:paraId="5489939A" w14:textId="77777777" w:rsidR="0094014F" w:rsidRDefault="0094014F">
      <w:pPr>
        <w:spacing w:line="360" w:lineRule="auto"/>
        <w:rPr>
          <w:b/>
          <w:bCs/>
          <w:sz w:val="24"/>
          <w:szCs w:val="24"/>
        </w:rPr>
      </w:pPr>
    </w:p>
    <w:p w14:paraId="3CF052FD" w14:textId="77777777" w:rsidR="0094014F" w:rsidRDefault="004C6C7C">
      <w:pPr>
        <w:spacing w:line="360" w:lineRule="auto"/>
        <w:jc w:val="center"/>
        <w:rPr>
          <w:b/>
          <w:bCs/>
          <w:sz w:val="24"/>
          <w:szCs w:val="24"/>
        </w:rPr>
      </w:pPr>
      <w:r>
        <w:rPr>
          <w:b/>
          <w:bCs/>
          <w:sz w:val="24"/>
          <w:szCs w:val="24"/>
        </w:rPr>
        <w:t>REFERÊNCIAS</w:t>
      </w:r>
    </w:p>
    <w:p w14:paraId="6E3E6658" w14:textId="77777777" w:rsidR="00C110AA" w:rsidRDefault="00C110AA">
      <w:pPr>
        <w:spacing w:line="360" w:lineRule="auto"/>
        <w:jc w:val="center"/>
        <w:rPr>
          <w:b/>
          <w:bCs/>
          <w:sz w:val="24"/>
          <w:szCs w:val="24"/>
        </w:rPr>
      </w:pPr>
    </w:p>
    <w:p w14:paraId="3F70FADA"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AMATO, Luciano (coord.). </w:t>
      </w:r>
      <w:r w:rsidRPr="00C110AA">
        <w:rPr>
          <w:rFonts w:eastAsia="Calibri"/>
          <w:b/>
          <w:color w:val="000000" w:themeColor="text1"/>
          <w:sz w:val="24"/>
          <w:szCs w:val="24"/>
        </w:rPr>
        <w:t>Diversidade e inclusão e suas dimensões</w:t>
      </w:r>
      <w:r w:rsidRPr="00C110AA">
        <w:rPr>
          <w:rFonts w:eastAsia="Calibri"/>
          <w:color w:val="000000" w:themeColor="text1"/>
          <w:sz w:val="24"/>
          <w:szCs w:val="24"/>
        </w:rPr>
        <w:t>. São Paulo: Literare Books International, 2022.</w:t>
      </w:r>
    </w:p>
    <w:p w14:paraId="6C546006" w14:textId="77777777" w:rsidR="00C110AA" w:rsidRPr="00C110AA" w:rsidRDefault="00C110AA" w:rsidP="00C110AA">
      <w:pPr>
        <w:autoSpaceDE w:val="0"/>
        <w:autoSpaceDN w:val="0"/>
        <w:adjustRightInd w:val="0"/>
        <w:rPr>
          <w:rFonts w:eastAsia="Calibri"/>
          <w:color w:val="000000" w:themeColor="text1"/>
          <w:sz w:val="24"/>
          <w:szCs w:val="24"/>
        </w:rPr>
      </w:pPr>
    </w:p>
    <w:p w14:paraId="7BF4B66B"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BEZERRA, Francisco William Coêlho; LIMA, David Ferreira; OLIVEIRA, Fábio Paulino de. Gestão da diversidade nas organizações: uma breve revisão bibliográfica. </w:t>
      </w:r>
      <w:r w:rsidRPr="00C110AA">
        <w:rPr>
          <w:rFonts w:eastAsia="Calibri"/>
          <w:b/>
          <w:color w:val="000000" w:themeColor="text1"/>
          <w:sz w:val="24"/>
          <w:szCs w:val="24"/>
        </w:rPr>
        <w:t>Research, Society and Development</w:t>
      </w:r>
      <w:r w:rsidRPr="00C110AA">
        <w:rPr>
          <w:rFonts w:eastAsia="Calibri"/>
          <w:color w:val="000000" w:themeColor="text1"/>
          <w:sz w:val="24"/>
          <w:szCs w:val="24"/>
        </w:rPr>
        <w:t>, v. 11, n. 11, e42811133610, 2022. DOI: 10.33448/rsd-v11i11.33610.</w:t>
      </w:r>
    </w:p>
    <w:p w14:paraId="76072AF7" w14:textId="77777777" w:rsidR="00C110AA" w:rsidRPr="00C110AA" w:rsidRDefault="00C110AA" w:rsidP="00C110AA">
      <w:pPr>
        <w:autoSpaceDE w:val="0"/>
        <w:autoSpaceDN w:val="0"/>
        <w:adjustRightInd w:val="0"/>
        <w:rPr>
          <w:rFonts w:eastAsia="Calibri"/>
          <w:color w:val="000000" w:themeColor="text1"/>
          <w:sz w:val="24"/>
          <w:szCs w:val="24"/>
        </w:rPr>
      </w:pPr>
    </w:p>
    <w:p w14:paraId="0C084EED"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BOTELHO, Louise Lira Roedel; CUNHA, Cristiano Castro de Almeida; MACEDO, Marcelo. O método da revisão integrativa nos estudos organizacionais. </w:t>
      </w:r>
      <w:r w:rsidRPr="00C110AA">
        <w:rPr>
          <w:rFonts w:eastAsia="Calibri"/>
          <w:b/>
          <w:color w:val="000000" w:themeColor="text1"/>
          <w:sz w:val="24"/>
          <w:szCs w:val="24"/>
        </w:rPr>
        <w:t>Gestão e Sociedade</w:t>
      </w:r>
      <w:r w:rsidRPr="00C110AA">
        <w:rPr>
          <w:rFonts w:eastAsia="Calibri"/>
          <w:color w:val="000000" w:themeColor="text1"/>
          <w:sz w:val="24"/>
          <w:szCs w:val="24"/>
        </w:rPr>
        <w:t>, Belo Horizonte, v. 5, n. 11, p. 121-136, maio/ago. 2011.</w:t>
      </w:r>
    </w:p>
    <w:p w14:paraId="35C8A40E" w14:textId="77777777" w:rsidR="00C110AA" w:rsidRPr="00C110AA" w:rsidRDefault="00C110AA" w:rsidP="00C110AA">
      <w:pPr>
        <w:autoSpaceDE w:val="0"/>
        <w:autoSpaceDN w:val="0"/>
        <w:adjustRightInd w:val="0"/>
        <w:rPr>
          <w:rFonts w:eastAsia="Calibri"/>
          <w:color w:val="000000" w:themeColor="text1"/>
          <w:sz w:val="24"/>
          <w:szCs w:val="24"/>
        </w:rPr>
      </w:pPr>
    </w:p>
    <w:p w14:paraId="6D4A6B46"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BRASIL. Decreto nº 12.686, de 20 de outubro de 2025. Institui a Política Nacional de Educação Especial Inclusiva e a Rede Nacional de Educação Especial Inclusiva. </w:t>
      </w:r>
      <w:r w:rsidRPr="00C110AA">
        <w:rPr>
          <w:rFonts w:eastAsia="Calibri"/>
          <w:b/>
          <w:color w:val="000000" w:themeColor="text1"/>
          <w:sz w:val="24"/>
          <w:szCs w:val="24"/>
        </w:rPr>
        <w:t>Diário Oficial da União</w:t>
      </w:r>
      <w:r w:rsidRPr="00C110AA">
        <w:rPr>
          <w:rFonts w:eastAsia="Calibri"/>
          <w:color w:val="000000" w:themeColor="text1"/>
          <w:sz w:val="24"/>
          <w:szCs w:val="24"/>
        </w:rPr>
        <w:t>, Brasília, DF, 20 out. 2025.</w:t>
      </w:r>
    </w:p>
    <w:p w14:paraId="5B02537D" w14:textId="77777777" w:rsidR="00C110AA" w:rsidRPr="00C110AA" w:rsidRDefault="00C110AA" w:rsidP="00C110AA">
      <w:pPr>
        <w:autoSpaceDE w:val="0"/>
        <w:autoSpaceDN w:val="0"/>
        <w:adjustRightInd w:val="0"/>
        <w:rPr>
          <w:rFonts w:eastAsia="Calibri"/>
          <w:color w:val="000000" w:themeColor="text1"/>
          <w:sz w:val="24"/>
          <w:szCs w:val="24"/>
        </w:rPr>
      </w:pPr>
    </w:p>
    <w:p w14:paraId="0349D461"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BRASIL. Ministério da Educação. Portaria MEC nº 421, de 15 de maio de 2026. Dispõe sobre a Política Nacional de Educação Especial Inclusiva – PNEEI e sobre a Rede Nacional de Educação Especial Inclusiva – Reneei, de que trata o Decreto nº 12.686, de 20 de outubro de </w:t>
      </w:r>
    </w:p>
    <w:p w14:paraId="42654B47"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2025. </w:t>
      </w:r>
      <w:r w:rsidRPr="00C110AA">
        <w:rPr>
          <w:rFonts w:eastAsia="Calibri"/>
          <w:b/>
          <w:color w:val="000000" w:themeColor="text1"/>
          <w:sz w:val="24"/>
          <w:szCs w:val="24"/>
        </w:rPr>
        <w:t>Diário Oficial da União</w:t>
      </w:r>
      <w:r w:rsidRPr="00C110AA">
        <w:rPr>
          <w:rFonts w:eastAsia="Calibri"/>
          <w:color w:val="000000" w:themeColor="text1"/>
          <w:sz w:val="24"/>
          <w:szCs w:val="24"/>
        </w:rPr>
        <w:t>, Brasília, DF, 18 maio 2026.</w:t>
      </w:r>
    </w:p>
    <w:p w14:paraId="4305CBEB" w14:textId="77777777" w:rsidR="00C110AA" w:rsidRPr="00C110AA" w:rsidRDefault="00C110AA" w:rsidP="00C110AA">
      <w:pPr>
        <w:autoSpaceDE w:val="0"/>
        <w:autoSpaceDN w:val="0"/>
        <w:adjustRightInd w:val="0"/>
        <w:rPr>
          <w:rFonts w:eastAsia="Calibri"/>
          <w:color w:val="000000" w:themeColor="text1"/>
          <w:sz w:val="24"/>
          <w:szCs w:val="24"/>
        </w:rPr>
      </w:pPr>
    </w:p>
    <w:p w14:paraId="506CE125"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BULGARELLI, Reinaldo. </w:t>
      </w:r>
      <w:r w:rsidRPr="00C110AA">
        <w:rPr>
          <w:rFonts w:eastAsia="Calibri"/>
          <w:b/>
          <w:color w:val="000000" w:themeColor="text1"/>
          <w:sz w:val="24"/>
          <w:szCs w:val="24"/>
        </w:rPr>
        <w:t>Diversos somos todos: valorização, promoção e gestão da diversidade nas organizações</w:t>
      </w:r>
      <w:r w:rsidRPr="00C110AA">
        <w:rPr>
          <w:rFonts w:eastAsia="Calibri"/>
          <w:color w:val="000000" w:themeColor="text1"/>
          <w:sz w:val="24"/>
          <w:szCs w:val="24"/>
        </w:rPr>
        <w:t>. 2. ed. São Paulo: Aberje Editorial, 2023.</w:t>
      </w:r>
    </w:p>
    <w:p w14:paraId="7C061C0F" w14:textId="77777777" w:rsidR="00C110AA" w:rsidRPr="00C110AA" w:rsidRDefault="00C110AA" w:rsidP="00C110AA">
      <w:pPr>
        <w:autoSpaceDE w:val="0"/>
        <w:autoSpaceDN w:val="0"/>
        <w:adjustRightInd w:val="0"/>
        <w:rPr>
          <w:rFonts w:eastAsia="Calibri"/>
          <w:color w:val="000000" w:themeColor="text1"/>
          <w:sz w:val="24"/>
          <w:szCs w:val="24"/>
        </w:rPr>
      </w:pPr>
    </w:p>
    <w:p w14:paraId="116F6091"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DOS SANTOS ABREU, Janilson et al. Inclusão escolar e diversidade: construindo uma cultura de respeito às diferenças. </w:t>
      </w:r>
      <w:r w:rsidRPr="00C110AA">
        <w:rPr>
          <w:rFonts w:eastAsia="Calibri"/>
          <w:b/>
          <w:color w:val="000000" w:themeColor="text1"/>
          <w:sz w:val="24"/>
          <w:szCs w:val="24"/>
        </w:rPr>
        <w:t>Revista Tópicos</w:t>
      </w:r>
      <w:r w:rsidRPr="00C110AA">
        <w:rPr>
          <w:rFonts w:eastAsia="Calibri"/>
          <w:color w:val="000000" w:themeColor="text1"/>
          <w:sz w:val="24"/>
          <w:szCs w:val="24"/>
        </w:rPr>
        <w:t>, v. 4, n. 35, p. 1-18, 2026. DOI: 10.70773/revistatopicos/784064074.</w:t>
      </w:r>
    </w:p>
    <w:p w14:paraId="78D84A8D" w14:textId="77777777" w:rsidR="00C110AA" w:rsidRPr="00C110AA" w:rsidRDefault="00C110AA" w:rsidP="00C110AA">
      <w:pPr>
        <w:autoSpaceDE w:val="0"/>
        <w:autoSpaceDN w:val="0"/>
        <w:adjustRightInd w:val="0"/>
        <w:rPr>
          <w:rFonts w:eastAsia="Calibri"/>
          <w:color w:val="000000" w:themeColor="text1"/>
          <w:sz w:val="24"/>
          <w:szCs w:val="24"/>
        </w:rPr>
      </w:pPr>
    </w:p>
    <w:p w14:paraId="1CB1060D"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lastRenderedPageBreak/>
        <w:t xml:space="preserve">GALVÃO, Altair de Oliveira; SILVEIRA, Carlos Roberto da. A pessoa com deficiência e a educação inclusiva: uma reflexão a partir das linhas abissais. </w:t>
      </w:r>
      <w:r w:rsidRPr="00C110AA">
        <w:rPr>
          <w:rFonts w:eastAsia="Calibri"/>
          <w:b/>
          <w:color w:val="000000" w:themeColor="text1"/>
          <w:sz w:val="24"/>
          <w:szCs w:val="24"/>
        </w:rPr>
        <w:t>Revista Temas em Educação</w:t>
      </w:r>
      <w:r w:rsidRPr="00C110AA">
        <w:rPr>
          <w:rFonts w:eastAsia="Calibri"/>
          <w:color w:val="000000" w:themeColor="text1"/>
          <w:sz w:val="24"/>
          <w:szCs w:val="24"/>
        </w:rPr>
        <w:t>, v. 33, n. 1, e-rte331202425, 2024. DOI: 10.22478/ufpb.2359-7003.2024v33n1.67044.</w:t>
      </w:r>
    </w:p>
    <w:p w14:paraId="4E41D9E4" w14:textId="77777777" w:rsidR="00C110AA" w:rsidRPr="00C110AA" w:rsidRDefault="00C110AA" w:rsidP="00C110AA">
      <w:pPr>
        <w:autoSpaceDE w:val="0"/>
        <w:autoSpaceDN w:val="0"/>
        <w:adjustRightInd w:val="0"/>
        <w:rPr>
          <w:rFonts w:eastAsia="Calibri"/>
          <w:color w:val="000000" w:themeColor="text1"/>
          <w:sz w:val="24"/>
          <w:szCs w:val="24"/>
        </w:rPr>
      </w:pPr>
    </w:p>
    <w:p w14:paraId="4F50F05F"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IBGE – INSTITUTO BRASILEIRO DE GEOGRAFIA E ESTATÍSTICA. Censo 2022 identifica 2,4 milhões de pessoas diagnosticadas com autismo no Brasil. </w:t>
      </w:r>
      <w:r w:rsidRPr="00C110AA">
        <w:rPr>
          <w:rFonts w:eastAsia="Calibri"/>
          <w:b/>
          <w:color w:val="000000" w:themeColor="text1"/>
          <w:sz w:val="24"/>
          <w:szCs w:val="24"/>
        </w:rPr>
        <w:t>Agência de Notícias IBGE</w:t>
      </w:r>
      <w:r w:rsidRPr="00C110AA">
        <w:rPr>
          <w:rFonts w:eastAsia="Calibri"/>
          <w:color w:val="000000" w:themeColor="text1"/>
          <w:sz w:val="24"/>
          <w:szCs w:val="24"/>
        </w:rPr>
        <w:t>, Rio de Janeiro, 23 maio 2025.</w:t>
      </w:r>
    </w:p>
    <w:p w14:paraId="6F223F9B" w14:textId="77777777" w:rsidR="00C110AA" w:rsidRPr="00C110AA" w:rsidRDefault="00C110AA" w:rsidP="00C110AA">
      <w:pPr>
        <w:autoSpaceDE w:val="0"/>
        <w:autoSpaceDN w:val="0"/>
        <w:adjustRightInd w:val="0"/>
        <w:rPr>
          <w:rFonts w:eastAsia="Calibri"/>
          <w:color w:val="000000" w:themeColor="text1"/>
          <w:sz w:val="24"/>
          <w:szCs w:val="24"/>
        </w:rPr>
      </w:pPr>
    </w:p>
    <w:p w14:paraId="0FEF0802"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MENÇA, Cheila Cristina. Diversidade cultural: respeito, identidade e memória. </w:t>
      </w:r>
      <w:r w:rsidRPr="00C110AA">
        <w:rPr>
          <w:rFonts w:eastAsia="Calibri"/>
          <w:b/>
          <w:color w:val="000000" w:themeColor="text1"/>
          <w:sz w:val="24"/>
          <w:szCs w:val="24"/>
        </w:rPr>
        <w:t>Revista Tópicos</w:t>
      </w:r>
      <w:r w:rsidRPr="00C110AA">
        <w:rPr>
          <w:rFonts w:eastAsia="Calibri"/>
          <w:color w:val="000000" w:themeColor="text1"/>
          <w:sz w:val="24"/>
          <w:szCs w:val="24"/>
        </w:rPr>
        <w:t>, 2025. DOI: 10.5281/zenodo.17429201.</w:t>
      </w:r>
    </w:p>
    <w:p w14:paraId="60130160" w14:textId="77777777" w:rsidR="00C110AA" w:rsidRPr="00C110AA" w:rsidRDefault="00C110AA" w:rsidP="00C110AA">
      <w:pPr>
        <w:autoSpaceDE w:val="0"/>
        <w:autoSpaceDN w:val="0"/>
        <w:adjustRightInd w:val="0"/>
        <w:rPr>
          <w:rFonts w:eastAsia="Calibri"/>
          <w:color w:val="000000" w:themeColor="text1"/>
          <w:sz w:val="24"/>
          <w:szCs w:val="24"/>
        </w:rPr>
      </w:pPr>
    </w:p>
    <w:p w14:paraId="5428B91C"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SANTOS, Lauro Gabriel Bezerra; MACHADO, Flávia Christiane de Azevedo. Práticas de gestão da diversidade: identidade de gênero em organizações de saúde. </w:t>
      </w:r>
      <w:r w:rsidRPr="00C110AA">
        <w:rPr>
          <w:rFonts w:eastAsia="Calibri"/>
          <w:b/>
          <w:color w:val="000000" w:themeColor="text1"/>
          <w:sz w:val="24"/>
          <w:szCs w:val="24"/>
        </w:rPr>
        <w:t>Boletim de Conjuntura (BOCA)</w:t>
      </w:r>
      <w:r w:rsidRPr="00C110AA">
        <w:rPr>
          <w:rFonts w:eastAsia="Calibri"/>
          <w:color w:val="000000" w:themeColor="text1"/>
          <w:sz w:val="24"/>
          <w:szCs w:val="24"/>
        </w:rPr>
        <w:t>, Boa Vista, v. 19, n. 57, p. 97-124, 2024. DOI: 10.5281/zenodo.13901235.</w:t>
      </w:r>
    </w:p>
    <w:p w14:paraId="39523CF7" w14:textId="77777777" w:rsidR="00C110AA" w:rsidRPr="00C110AA" w:rsidRDefault="00C110AA" w:rsidP="00C110AA">
      <w:pPr>
        <w:autoSpaceDE w:val="0"/>
        <w:autoSpaceDN w:val="0"/>
        <w:adjustRightInd w:val="0"/>
        <w:rPr>
          <w:rFonts w:eastAsia="Calibri"/>
          <w:color w:val="000000" w:themeColor="text1"/>
          <w:sz w:val="24"/>
          <w:szCs w:val="24"/>
        </w:rPr>
      </w:pPr>
    </w:p>
    <w:p w14:paraId="22F9A8BF"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SALES, Ricardo. Diversidade nas organizações: conceitos e histórico. In: AMATO, Luciano (coord.). </w:t>
      </w:r>
      <w:r w:rsidRPr="00C110AA">
        <w:rPr>
          <w:rFonts w:eastAsia="Calibri"/>
          <w:b/>
          <w:color w:val="000000" w:themeColor="text1"/>
          <w:sz w:val="24"/>
          <w:szCs w:val="24"/>
        </w:rPr>
        <w:t>Diversidade e inclusão e suas dimensões</w:t>
      </w:r>
      <w:r w:rsidRPr="00C110AA">
        <w:rPr>
          <w:rFonts w:eastAsia="Calibri"/>
          <w:color w:val="000000" w:themeColor="text1"/>
          <w:sz w:val="24"/>
          <w:szCs w:val="24"/>
        </w:rPr>
        <w:t>. São Paulo: Literare Books International, 2022.</w:t>
      </w:r>
    </w:p>
    <w:p w14:paraId="5ECB7922" w14:textId="77777777" w:rsidR="00C110AA" w:rsidRPr="00C110AA" w:rsidRDefault="00C110AA" w:rsidP="00C110AA">
      <w:pPr>
        <w:autoSpaceDE w:val="0"/>
        <w:autoSpaceDN w:val="0"/>
        <w:adjustRightInd w:val="0"/>
        <w:rPr>
          <w:rFonts w:eastAsia="Calibri"/>
          <w:color w:val="000000" w:themeColor="text1"/>
          <w:sz w:val="24"/>
          <w:szCs w:val="24"/>
        </w:rPr>
      </w:pPr>
    </w:p>
    <w:p w14:paraId="3EF2EDB6" w14:textId="77777777" w:rsidR="00C110AA" w:rsidRPr="00C110AA" w:rsidRDefault="00C110AA" w:rsidP="00C110AA">
      <w:pPr>
        <w:autoSpaceDE w:val="0"/>
        <w:autoSpaceDN w:val="0"/>
        <w:adjustRightInd w:val="0"/>
        <w:rPr>
          <w:rFonts w:eastAsia="Calibri"/>
          <w:color w:val="000000" w:themeColor="text1"/>
          <w:sz w:val="24"/>
          <w:szCs w:val="24"/>
        </w:rPr>
      </w:pPr>
      <w:r w:rsidRPr="00C110AA">
        <w:rPr>
          <w:rFonts w:eastAsia="Calibri"/>
          <w:color w:val="000000" w:themeColor="text1"/>
          <w:sz w:val="24"/>
          <w:szCs w:val="24"/>
        </w:rPr>
        <w:t xml:space="preserve">SILVA, Jackeline Susann Souza da. Deficiência, diversidade e diferença: idiossincrasias e divergências conceituais. </w:t>
      </w:r>
      <w:r w:rsidRPr="00C110AA">
        <w:rPr>
          <w:rFonts w:eastAsia="Calibri"/>
          <w:b/>
          <w:color w:val="000000" w:themeColor="text1"/>
          <w:sz w:val="24"/>
          <w:szCs w:val="24"/>
        </w:rPr>
        <w:t>Educação em Revista</w:t>
      </w:r>
      <w:r w:rsidRPr="00C110AA">
        <w:rPr>
          <w:rFonts w:eastAsia="Calibri"/>
          <w:color w:val="000000" w:themeColor="text1"/>
          <w:sz w:val="24"/>
          <w:szCs w:val="24"/>
        </w:rPr>
        <w:t>, Belo Horizonte, v. 38, e36551, 2022. DOI: 10.1590/0102-4698368536551.</w:t>
      </w:r>
    </w:p>
    <w:p w14:paraId="10733633" w14:textId="77777777" w:rsidR="00C110AA" w:rsidRDefault="00C110AA">
      <w:pPr>
        <w:spacing w:line="360" w:lineRule="auto"/>
        <w:jc w:val="center"/>
        <w:rPr>
          <w:b/>
          <w:bCs/>
          <w:sz w:val="24"/>
          <w:szCs w:val="24"/>
        </w:rPr>
      </w:pPr>
    </w:p>
    <w:p w14:paraId="6AAC77CB" w14:textId="77777777" w:rsidR="0094014F" w:rsidRDefault="0094014F">
      <w:pPr>
        <w:spacing w:line="360" w:lineRule="auto"/>
        <w:ind w:hanging="1418"/>
        <w:rPr>
          <w:sz w:val="24"/>
          <w:szCs w:val="24"/>
        </w:rPr>
      </w:pPr>
    </w:p>
    <w:p w14:paraId="757C9650" w14:textId="77777777" w:rsidR="0094014F" w:rsidRDefault="0094014F">
      <w:pPr>
        <w:pBdr>
          <w:top w:val="nil"/>
          <w:left w:val="nil"/>
          <w:bottom w:val="nil"/>
          <w:right w:val="nil"/>
          <w:between w:val="nil"/>
        </w:pBdr>
        <w:tabs>
          <w:tab w:val="center" w:pos="4252"/>
          <w:tab w:val="right" w:pos="8504"/>
        </w:tabs>
        <w:rPr>
          <w:color w:val="000000"/>
        </w:rPr>
      </w:pPr>
    </w:p>
    <w:p w14:paraId="479F66A9" w14:textId="77777777" w:rsidR="0094014F" w:rsidRDefault="0094014F">
      <w:pPr>
        <w:pBdr>
          <w:top w:val="nil"/>
          <w:left w:val="nil"/>
          <w:bottom w:val="nil"/>
          <w:right w:val="nil"/>
          <w:between w:val="nil"/>
        </w:pBdr>
        <w:tabs>
          <w:tab w:val="center" w:pos="4252"/>
          <w:tab w:val="right" w:pos="8504"/>
        </w:tabs>
        <w:rPr>
          <w:color w:val="000000"/>
        </w:rPr>
      </w:pPr>
    </w:p>
    <w:p w14:paraId="493234F0" w14:textId="77777777" w:rsidR="0094014F" w:rsidRDefault="0094014F">
      <w:pPr>
        <w:pBdr>
          <w:top w:val="nil"/>
          <w:left w:val="nil"/>
          <w:bottom w:val="nil"/>
          <w:right w:val="nil"/>
          <w:between w:val="nil"/>
        </w:pBdr>
        <w:tabs>
          <w:tab w:val="center" w:pos="4252"/>
          <w:tab w:val="right" w:pos="8504"/>
        </w:tabs>
        <w:rPr>
          <w:color w:val="000000"/>
        </w:rPr>
      </w:pPr>
    </w:p>
    <w:p w14:paraId="2625C956" w14:textId="77777777" w:rsidR="0094014F" w:rsidRDefault="0094014F">
      <w:pPr>
        <w:pBdr>
          <w:top w:val="nil"/>
          <w:left w:val="nil"/>
          <w:bottom w:val="nil"/>
          <w:right w:val="nil"/>
          <w:between w:val="nil"/>
        </w:pBdr>
        <w:tabs>
          <w:tab w:val="center" w:pos="4252"/>
          <w:tab w:val="right" w:pos="8504"/>
        </w:tabs>
        <w:rPr>
          <w:color w:val="000000"/>
        </w:rPr>
      </w:pPr>
    </w:p>
    <w:p w14:paraId="12A99C2C" w14:textId="77777777" w:rsidR="0094014F" w:rsidRDefault="0094014F">
      <w:pPr>
        <w:pBdr>
          <w:top w:val="nil"/>
          <w:left w:val="nil"/>
          <w:bottom w:val="nil"/>
          <w:right w:val="nil"/>
          <w:between w:val="nil"/>
        </w:pBdr>
        <w:tabs>
          <w:tab w:val="center" w:pos="4252"/>
          <w:tab w:val="right" w:pos="8504"/>
        </w:tabs>
        <w:rPr>
          <w:color w:val="000000"/>
        </w:rPr>
      </w:pPr>
    </w:p>
    <w:sectPr w:rsidR="0094014F" w:rsidSect="00C110AA">
      <w:headerReference w:type="default" r:id="rId9"/>
      <w:footerReference w:type="default" r:id="rId10"/>
      <w:pgSz w:w="11906" w:h="16840"/>
      <w:pgMar w:top="2552"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F476E" w14:textId="77777777" w:rsidR="004D5C69" w:rsidRDefault="004D5C69">
      <w:r>
        <w:separator/>
      </w:r>
    </w:p>
  </w:endnote>
  <w:endnote w:type="continuationSeparator" w:id="0">
    <w:p w14:paraId="1B322D70" w14:textId="77777777" w:rsidR="004D5C69" w:rsidRDefault="004D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CC7D3E3-6D66-409B-957F-D2930AD30D49}"/>
  </w:font>
  <w:font w:name="Cambria">
    <w:panose1 w:val="02040503050406030204"/>
    <w:charset w:val="00"/>
    <w:family w:val="roman"/>
    <w:pitch w:val="variable"/>
    <w:sig w:usb0="E00006FF" w:usb1="420024FF" w:usb2="02000000" w:usb3="00000000" w:csb0="0000019F" w:csb1="00000000"/>
    <w:embedRegular r:id="rId2" w:fontKey="{FCE83E9E-EA87-4AE8-8AA6-BD8B9945F6F6}"/>
    <w:embedBold r:id="rId3" w:fontKey="{543FD7ED-A635-470E-A49D-B4612FF8C515}"/>
  </w:font>
  <w:font w:name="Verdana">
    <w:panose1 w:val="020B0604030504040204"/>
    <w:charset w:val="00"/>
    <w:family w:val="swiss"/>
    <w:pitch w:val="variable"/>
    <w:sig w:usb0="A00006FF" w:usb1="4000205B" w:usb2="00000010" w:usb3="00000000" w:csb0="0000019F" w:csb1="00000000"/>
    <w:embedRegular r:id="rId4" w:fontKey="{8F34CDC5-6DCB-4CEB-9E56-285701C95353}"/>
    <w:embedBold r:id="rId5" w:fontKey="{6B67153B-981D-45D1-A08E-37E08128A60F}"/>
  </w:font>
  <w:font w:name="Calibri">
    <w:panose1 w:val="020F0502020204030204"/>
    <w:charset w:val="00"/>
    <w:family w:val="swiss"/>
    <w:pitch w:val="variable"/>
    <w:sig w:usb0="E4002EFF" w:usb1="C200247B" w:usb2="00000009" w:usb3="00000000" w:csb0="000001FF" w:csb1="00000000"/>
    <w:embedRegular r:id="rId6" w:fontKey="{092A185E-BCDA-4DB4-BEA6-7CB28F346BD3}"/>
    <w:embedBold r:id="rId7" w:fontKey="{671D6574-2560-4163-BA13-BA415F5950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C1BB" w14:textId="05090312" w:rsidR="006E1261" w:rsidRDefault="00D35BDF" w:rsidP="00D35BDF">
    <w:pPr>
      <w:pBdr>
        <w:top w:val="nil"/>
        <w:left w:val="nil"/>
        <w:bottom w:val="nil"/>
        <w:right w:val="nil"/>
        <w:between w:val="nil"/>
      </w:pBdr>
      <w:rPr>
        <w:color w:val="000000"/>
        <w:sz w:val="20"/>
        <w:szCs w:val="20"/>
      </w:rPr>
    </w:pPr>
    <w:r>
      <w:rPr>
        <w:color w:val="000000"/>
        <w:sz w:val="20"/>
        <w:szCs w:val="20"/>
      </w:rPr>
      <w:t>¹Graduand</w:t>
    </w:r>
    <w:r w:rsidR="006331E4">
      <w:rPr>
        <w:color w:val="000000"/>
        <w:sz w:val="20"/>
        <w:szCs w:val="20"/>
      </w:rPr>
      <w:t>o(</w:t>
    </w:r>
    <w:r w:rsidR="000C3BF8">
      <w:rPr>
        <w:color w:val="000000"/>
        <w:sz w:val="20"/>
        <w:szCs w:val="20"/>
      </w:rPr>
      <w:t>a</w:t>
    </w:r>
    <w:r w:rsidR="006331E4">
      <w:rPr>
        <w:color w:val="000000"/>
        <w:sz w:val="20"/>
        <w:szCs w:val="20"/>
      </w:rPr>
      <w:t>)</w:t>
    </w:r>
    <w:r>
      <w:rPr>
        <w:color w:val="000000"/>
        <w:sz w:val="20"/>
        <w:szCs w:val="20"/>
      </w:rPr>
      <w:t xml:space="preserve"> em Dire</w:t>
    </w:r>
    <w:r w:rsidR="000C3BF8">
      <w:rPr>
        <w:color w:val="000000"/>
        <w:sz w:val="20"/>
        <w:szCs w:val="20"/>
      </w:rPr>
      <w:t>ito</w:t>
    </w:r>
    <w:r>
      <w:rPr>
        <w:color w:val="000000"/>
        <w:sz w:val="20"/>
        <w:szCs w:val="20"/>
      </w:rPr>
      <w:t xml:space="preserve"> – Centro Universitário Chrisfapi.</w:t>
    </w:r>
  </w:p>
  <w:p w14:paraId="56A87966" w14:textId="3DA6F0ED" w:rsidR="0094014F" w:rsidRDefault="006E1261" w:rsidP="006E1261">
    <w:pPr>
      <w:pBdr>
        <w:top w:val="nil"/>
        <w:left w:val="nil"/>
        <w:bottom w:val="nil"/>
        <w:right w:val="nil"/>
        <w:between w:val="nil"/>
      </w:pBdr>
      <w:rPr>
        <w:color w:val="000000"/>
      </w:rPr>
    </w:pPr>
    <w:r w:rsidRPr="006E1261">
      <w:rPr>
        <w:color w:val="000000"/>
        <w:sz w:val="20"/>
        <w:szCs w:val="20"/>
        <w:vertAlign w:val="superscript"/>
      </w:rPr>
      <w:t>2</w:t>
    </w:r>
    <w:r w:rsidRPr="006E1261">
      <w:rPr>
        <w:color w:val="000000"/>
        <w:sz w:val="20"/>
        <w:szCs w:val="20"/>
      </w:rPr>
      <w:t>Doutor em Biotecnologia (UFPI)</w:t>
    </w:r>
    <w:r w:rsidR="004C6C7C">
      <w:rPr>
        <w:noProof/>
      </w:rPr>
      <w:drawing>
        <wp:anchor distT="0" distB="0" distL="0" distR="0" simplePos="0" relativeHeight="251659264" behindDoc="1" locked="0" layoutInCell="1" hidden="0" allowOverlap="1" wp14:anchorId="644575A4" wp14:editId="57BEEE31">
          <wp:simplePos x="0" y="0"/>
          <wp:positionH relativeFrom="column">
            <wp:posOffset>-161924</wp:posOffset>
          </wp:positionH>
          <wp:positionV relativeFrom="paragraph">
            <wp:posOffset>0</wp:posOffset>
          </wp:positionV>
          <wp:extent cx="5643037" cy="1037590"/>
          <wp:effectExtent l="0" t="0" r="0" b="0"/>
          <wp:wrapNone/>
          <wp:docPr id="103653156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r w:rsidR="008712F9">
      <w:rPr>
        <w:color w:val="000000"/>
        <w:sz w:val="20"/>
        <w:szCs w:val="20"/>
      </w:rPr>
      <w:t xml:space="preserve"> – Docente do Curso de Direito da UNICHRISFAPI</w:t>
    </w:r>
  </w:p>
  <w:p w14:paraId="18461BCB" w14:textId="77777777" w:rsidR="0094014F" w:rsidRDefault="0094014F">
    <w:pPr>
      <w:pBdr>
        <w:top w:val="nil"/>
        <w:left w:val="nil"/>
        <w:bottom w:val="nil"/>
        <w:right w:val="nil"/>
        <w:between w:val="nil"/>
      </w:pBdr>
      <w:tabs>
        <w:tab w:val="center" w:pos="4252"/>
        <w:tab w:val="right" w:pos="8504"/>
      </w:tabs>
      <w:ind w:hanging="1418"/>
      <w:rPr>
        <w:color w:val="000000"/>
      </w:rPr>
    </w:pPr>
  </w:p>
  <w:p w14:paraId="54A4F723" w14:textId="77777777" w:rsidR="0094014F" w:rsidRDefault="0094014F">
    <w:pPr>
      <w:pBdr>
        <w:top w:val="nil"/>
        <w:left w:val="nil"/>
        <w:bottom w:val="nil"/>
        <w:right w:val="nil"/>
        <w:between w:val="nil"/>
      </w:pBdr>
      <w:tabs>
        <w:tab w:val="center" w:pos="4252"/>
        <w:tab w:val="right" w:pos="8504"/>
      </w:tabs>
      <w:ind w:hanging="1418"/>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C147" w14:textId="77777777" w:rsidR="006331E4" w:rsidRDefault="006331E4" w:rsidP="00D35BDF">
    <w:pPr>
      <w:pBdr>
        <w:top w:val="nil"/>
        <w:left w:val="nil"/>
        <w:bottom w:val="nil"/>
        <w:right w:val="nil"/>
        <w:between w:val="nil"/>
      </w:pBdr>
      <w:rPr>
        <w:color w:val="000000"/>
        <w:sz w:val="20"/>
        <w:szCs w:val="20"/>
      </w:rPr>
    </w:pPr>
  </w:p>
  <w:p w14:paraId="5F146F2C" w14:textId="77777777" w:rsidR="006331E4" w:rsidRDefault="006331E4">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63360" behindDoc="1" locked="0" layoutInCell="1" hidden="0" allowOverlap="1" wp14:anchorId="5D031B29" wp14:editId="5B35C8F0">
          <wp:simplePos x="0" y="0"/>
          <wp:positionH relativeFrom="column">
            <wp:posOffset>-161924</wp:posOffset>
          </wp:positionH>
          <wp:positionV relativeFrom="paragraph">
            <wp:posOffset>0</wp:posOffset>
          </wp:positionV>
          <wp:extent cx="5643037" cy="1037590"/>
          <wp:effectExtent l="0" t="0" r="0" b="0"/>
          <wp:wrapNone/>
          <wp:docPr id="15934692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DF9D589" w14:textId="77777777" w:rsidR="006331E4" w:rsidRDefault="006331E4">
    <w:pPr>
      <w:pBdr>
        <w:top w:val="nil"/>
        <w:left w:val="nil"/>
        <w:bottom w:val="nil"/>
        <w:right w:val="nil"/>
        <w:between w:val="nil"/>
      </w:pBdr>
      <w:tabs>
        <w:tab w:val="center" w:pos="4252"/>
        <w:tab w:val="right" w:pos="8504"/>
      </w:tabs>
      <w:ind w:hanging="1418"/>
      <w:rPr>
        <w:color w:val="000000"/>
      </w:rPr>
    </w:pPr>
  </w:p>
  <w:p w14:paraId="6481A77C" w14:textId="77777777" w:rsidR="006331E4" w:rsidRDefault="006331E4">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F1291" w14:textId="77777777" w:rsidR="004D5C69" w:rsidRDefault="004D5C69">
      <w:r>
        <w:separator/>
      </w:r>
    </w:p>
  </w:footnote>
  <w:footnote w:type="continuationSeparator" w:id="0">
    <w:p w14:paraId="4DE1E551" w14:textId="77777777" w:rsidR="004D5C69" w:rsidRDefault="004D5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4378B" w14:textId="77777777" w:rsidR="0094014F" w:rsidRDefault="004C6C7C">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64F6B2D7" wp14:editId="6737D724">
          <wp:simplePos x="0" y="0"/>
          <wp:positionH relativeFrom="column">
            <wp:posOffset>-1076324</wp:posOffset>
          </wp:positionH>
          <wp:positionV relativeFrom="paragraph">
            <wp:posOffset>-449579</wp:posOffset>
          </wp:positionV>
          <wp:extent cx="7573328" cy="1400175"/>
          <wp:effectExtent l="0" t="0" r="0" b="0"/>
          <wp:wrapNone/>
          <wp:docPr id="20865661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1362" w14:textId="77777777" w:rsidR="006331E4" w:rsidRDefault="006331E4">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61312" behindDoc="1" locked="0" layoutInCell="1" hidden="0" allowOverlap="1" wp14:anchorId="684A81AC" wp14:editId="0D5D92FB">
          <wp:simplePos x="0" y="0"/>
          <wp:positionH relativeFrom="column">
            <wp:posOffset>-1076324</wp:posOffset>
          </wp:positionH>
          <wp:positionV relativeFrom="paragraph">
            <wp:posOffset>-449579</wp:posOffset>
          </wp:positionV>
          <wp:extent cx="7573328" cy="1400175"/>
          <wp:effectExtent l="0" t="0" r="0" b="0"/>
          <wp:wrapNone/>
          <wp:docPr id="3812205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14F"/>
    <w:rsid w:val="0009177D"/>
    <w:rsid w:val="000C3BF8"/>
    <w:rsid w:val="000C6C1A"/>
    <w:rsid w:val="001A1DB5"/>
    <w:rsid w:val="00302EBD"/>
    <w:rsid w:val="00366D68"/>
    <w:rsid w:val="00407AB8"/>
    <w:rsid w:val="004253A1"/>
    <w:rsid w:val="004C6C7C"/>
    <w:rsid w:val="004D5C69"/>
    <w:rsid w:val="006331E4"/>
    <w:rsid w:val="006E1261"/>
    <w:rsid w:val="00701774"/>
    <w:rsid w:val="007D65F7"/>
    <w:rsid w:val="00853EC9"/>
    <w:rsid w:val="00867E5E"/>
    <w:rsid w:val="008712F9"/>
    <w:rsid w:val="0094014F"/>
    <w:rsid w:val="009642BF"/>
    <w:rsid w:val="009E2A0C"/>
    <w:rsid w:val="00A8323D"/>
    <w:rsid w:val="00C0047C"/>
    <w:rsid w:val="00C110AA"/>
    <w:rsid w:val="00C839C4"/>
    <w:rsid w:val="00D35BDF"/>
    <w:rsid w:val="00D92F06"/>
    <w:rsid w:val="00FE07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C7958"/>
  <w15:docId w15:val="{6C274EDB-FB73-4AEE-B7A2-8FD062ED0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TableNormal0">
    <w:name w:val="Table Normal"/>
    <w:uiPriority w:val="2"/>
    <w:semiHidden/>
    <w:unhideWhenUsed/>
    <w:qFormat/>
    <w:rsid w:val="00C110A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110AA"/>
    <w:pPr>
      <w:widowControl w:val="0"/>
      <w:autoSpaceDE w:val="0"/>
      <w:autoSpaceDN w:val="0"/>
    </w:pPr>
    <w:rPr>
      <w:lang w:val="pt-PT" w:eastAsia="en-US"/>
    </w:rPr>
  </w:style>
  <w:style w:type="paragraph" w:styleId="Cabealho">
    <w:name w:val="header"/>
    <w:basedOn w:val="Normal"/>
    <w:link w:val="CabealhoChar"/>
    <w:uiPriority w:val="99"/>
    <w:unhideWhenUsed/>
    <w:rsid w:val="00D35BDF"/>
    <w:pPr>
      <w:tabs>
        <w:tab w:val="center" w:pos="4252"/>
        <w:tab w:val="right" w:pos="8504"/>
      </w:tabs>
    </w:pPr>
  </w:style>
  <w:style w:type="character" w:customStyle="1" w:styleId="CabealhoChar">
    <w:name w:val="Cabeçalho Char"/>
    <w:basedOn w:val="Fontepargpadro"/>
    <w:link w:val="Cabealho"/>
    <w:uiPriority w:val="99"/>
    <w:rsid w:val="00D35BDF"/>
  </w:style>
  <w:style w:type="paragraph" w:styleId="Rodap">
    <w:name w:val="footer"/>
    <w:basedOn w:val="Normal"/>
    <w:link w:val="RodapChar"/>
    <w:uiPriority w:val="99"/>
    <w:unhideWhenUsed/>
    <w:rsid w:val="00D35BDF"/>
    <w:pPr>
      <w:tabs>
        <w:tab w:val="center" w:pos="4252"/>
        <w:tab w:val="right" w:pos="8504"/>
      </w:tabs>
    </w:pPr>
  </w:style>
  <w:style w:type="character" w:customStyle="1" w:styleId="RodapChar">
    <w:name w:val="Rodapé Char"/>
    <w:basedOn w:val="Fontepargpadro"/>
    <w:link w:val="Rodap"/>
    <w:uiPriority w:val="99"/>
    <w:rsid w:val="00D35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8295F-5F5B-4DCA-9DC5-7E226F109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2681</Words>
  <Characters>16735</Characters>
  <Application>Microsoft Office Word</Application>
  <DocSecurity>0</DocSecurity>
  <Lines>389</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Andriel da silva gomes</dc:creator>
  <cp:lastModifiedBy>Guilherme Lopes</cp:lastModifiedBy>
  <cp:revision>3</cp:revision>
  <dcterms:created xsi:type="dcterms:W3CDTF">2026-09-02T00:33:00Z</dcterms:created>
  <dcterms:modified xsi:type="dcterms:W3CDTF">2026-09-02T00:40:00Z</dcterms:modified>
</cp:coreProperties>
</file>