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5B71" w14:textId="77777777" w:rsidR="00A76056" w:rsidRDefault="00A76056">
      <w:pPr>
        <w:widowControl/>
        <w:jc w:val="center"/>
        <w:rPr>
          <w:b/>
          <w:sz w:val="24"/>
          <w:szCs w:val="24"/>
        </w:rPr>
      </w:pPr>
    </w:p>
    <w:p w14:paraId="4100EF7E" w14:textId="48B6785F" w:rsidR="00A76056" w:rsidRDefault="00E575FE">
      <w:pPr>
        <w:widowControl/>
        <w:jc w:val="center"/>
        <w:rPr>
          <w:b/>
          <w:sz w:val="24"/>
          <w:szCs w:val="24"/>
        </w:rPr>
      </w:pPr>
      <w:r w:rsidRPr="00E575FE">
        <w:rPr>
          <w:b/>
          <w:sz w:val="24"/>
          <w:szCs w:val="24"/>
        </w:rPr>
        <w:t>ANÁLISE DO EFEITO DE DIFERENTES GRANULOMETRIAS DE CARVÃO VEGETAL EM NEOSSOLO QUARTZARÊNICO</w:t>
      </w:r>
    </w:p>
    <w:p w14:paraId="5BF08EE9" w14:textId="77777777" w:rsidR="00A76056" w:rsidRDefault="00A76056">
      <w:pPr>
        <w:widowControl/>
        <w:jc w:val="center"/>
        <w:rPr>
          <w:b/>
          <w:sz w:val="24"/>
          <w:szCs w:val="24"/>
        </w:rPr>
      </w:pPr>
      <w:bookmarkStart w:id="0" w:name="_10xfu72zgvfh" w:colFirst="0" w:colLast="0"/>
      <w:bookmarkEnd w:id="0"/>
    </w:p>
    <w:p w14:paraId="36A76E31" w14:textId="50E90733" w:rsidR="00A76056" w:rsidRDefault="00E575FE">
      <w:pPr>
        <w:spacing w:line="276" w:lineRule="auto"/>
        <w:ind w:left="221" w:right="214"/>
        <w:jc w:val="center"/>
        <w:rPr>
          <w:b/>
          <w:sz w:val="20"/>
          <w:szCs w:val="20"/>
        </w:rPr>
      </w:pPr>
      <w:r>
        <w:rPr>
          <w:b/>
          <w:sz w:val="20"/>
          <w:szCs w:val="20"/>
        </w:rPr>
        <w:t>Rafaella dos Santos Rodrigues</w:t>
      </w:r>
      <w:r>
        <w:rPr>
          <w:b/>
          <w:sz w:val="20"/>
          <w:szCs w:val="20"/>
          <w:vertAlign w:val="superscript"/>
        </w:rPr>
        <w:t>1*</w:t>
      </w:r>
      <w:r>
        <w:rPr>
          <w:b/>
          <w:sz w:val="20"/>
          <w:szCs w:val="20"/>
        </w:rPr>
        <w:t>, Thamires Moreira dos Santos</w:t>
      </w:r>
      <w:r>
        <w:rPr>
          <w:b/>
          <w:sz w:val="20"/>
          <w:szCs w:val="20"/>
          <w:vertAlign w:val="superscript"/>
        </w:rPr>
        <w:t>2</w:t>
      </w:r>
      <w:r>
        <w:rPr>
          <w:b/>
          <w:sz w:val="20"/>
          <w:szCs w:val="20"/>
        </w:rPr>
        <w:t xml:space="preserve">, </w:t>
      </w:r>
      <w:r w:rsidR="00605414">
        <w:rPr>
          <w:b/>
          <w:sz w:val="20"/>
          <w:szCs w:val="20"/>
        </w:rPr>
        <w:t>Wilson Araújo da Silva</w:t>
      </w:r>
      <w:r w:rsidR="00605414">
        <w:rPr>
          <w:b/>
          <w:sz w:val="20"/>
          <w:szCs w:val="20"/>
          <w:vertAlign w:val="superscript"/>
        </w:rPr>
        <w:t>3</w:t>
      </w:r>
      <w:r w:rsidR="00605414">
        <w:rPr>
          <w:b/>
          <w:sz w:val="20"/>
          <w:szCs w:val="20"/>
        </w:rPr>
        <w:t xml:space="preserve">, </w:t>
      </w:r>
      <w:r>
        <w:rPr>
          <w:b/>
          <w:sz w:val="20"/>
          <w:szCs w:val="20"/>
        </w:rPr>
        <w:t>Cristiane Matos da Silva</w:t>
      </w:r>
      <w:r w:rsidR="00605414">
        <w:rPr>
          <w:b/>
          <w:sz w:val="20"/>
          <w:szCs w:val="20"/>
          <w:vertAlign w:val="superscript"/>
        </w:rPr>
        <w:t>4</w:t>
      </w:r>
    </w:p>
    <w:p w14:paraId="503B16B5" w14:textId="1D1F3106" w:rsidR="00A76056" w:rsidRDefault="00E831D5">
      <w:pPr>
        <w:spacing w:line="276" w:lineRule="auto"/>
        <w:ind w:left="221" w:right="214"/>
        <w:jc w:val="center"/>
        <w:rPr>
          <w:sz w:val="20"/>
          <w:szCs w:val="20"/>
        </w:rPr>
      </w:pPr>
      <w:r>
        <w:rPr>
          <w:sz w:val="20"/>
          <w:szCs w:val="20"/>
        </w:rPr>
        <w:t>Universidade Estadual da Região Tocantina do Maranhão (</w:t>
      </w:r>
      <w:r w:rsidR="00E575FE">
        <w:rPr>
          <w:sz w:val="20"/>
          <w:szCs w:val="20"/>
        </w:rPr>
        <w:t>UEMASUL</w:t>
      </w:r>
      <w:r>
        <w:rPr>
          <w:sz w:val="20"/>
          <w:szCs w:val="20"/>
        </w:rPr>
        <w:t>)</w:t>
      </w:r>
      <w:r w:rsidR="00E575FE">
        <w:rPr>
          <w:sz w:val="20"/>
          <w:szCs w:val="20"/>
          <w:vertAlign w:val="superscript"/>
        </w:rPr>
        <w:t>1</w:t>
      </w:r>
      <w:r w:rsidR="00E575FE">
        <w:rPr>
          <w:sz w:val="20"/>
          <w:szCs w:val="20"/>
        </w:rPr>
        <w:t xml:space="preserve">, </w:t>
      </w:r>
      <w:r>
        <w:rPr>
          <w:sz w:val="20"/>
          <w:szCs w:val="20"/>
        </w:rPr>
        <w:t>Universidade Estadual da Região Tocantina do Maranhão (UEMASUL)</w:t>
      </w:r>
      <w:r w:rsidR="00E575FE">
        <w:rPr>
          <w:sz w:val="20"/>
          <w:szCs w:val="20"/>
          <w:vertAlign w:val="superscript"/>
        </w:rPr>
        <w:t>2</w:t>
      </w:r>
      <w:r w:rsidR="00E575FE">
        <w:rPr>
          <w:sz w:val="20"/>
          <w:szCs w:val="20"/>
        </w:rPr>
        <w:t xml:space="preserve">, </w:t>
      </w:r>
      <w:r>
        <w:rPr>
          <w:sz w:val="20"/>
          <w:szCs w:val="20"/>
        </w:rPr>
        <w:t>Universidade Estadual da Região Tocantina do Maranhão (UEMASUL)</w:t>
      </w:r>
      <w:r w:rsidR="00605414">
        <w:rPr>
          <w:sz w:val="20"/>
          <w:szCs w:val="20"/>
          <w:vertAlign w:val="superscript"/>
        </w:rPr>
        <w:t>3</w:t>
      </w:r>
      <w:r w:rsidR="00605414">
        <w:rPr>
          <w:sz w:val="20"/>
          <w:szCs w:val="20"/>
        </w:rPr>
        <w:t xml:space="preserve">, </w:t>
      </w:r>
      <w:r>
        <w:rPr>
          <w:sz w:val="20"/>
          <w:szCs w:val="20"/>
        </w:rPr>
        <w:t>Universidade Estadual da Região Tocantina do Maranhão (UEMASUL)</w:t>
      </w:r>
      <w:r w:rsidR="00605414">
        <w:rPr>
          <w:sz w:val="20"/>
          <w:szCs w:val="20"/>
          <w:vertAlign w:val="superscript"/>
        </w:rPr>
        <w:t>4</w:t>
      </w:r>
      <w:r w:rsidR="00E575FE">
        <w:rPr>
          <w:sz w:val="20"/>
          <w:szCs w:val="20"/>
        </w:rPr>
        <w:t>.</w:t>
      </w:r>
    </w:p>
    <w:p w14:paraId="05E2ED7B" w14:textId="0485FF17" w:rsidR="00A76056" w:rsidRDefault="00000000">
      <w:pPr>
        <w:spacing w:line="276" w:lineRule="auto"/>
        <w:ind w:left="221" w:right="214"/>
        <w:jc w:val="center"/>
        <w:rPr>
          <w:sz w:val="20"/>
          <w:szCs w:val="20"/>
        </w:rPr>
      </w:pPr>
      <w:bookmarkStart w:id="1" w:name="_8aht3hhp2m1k" w:colFirst="0" w:colLast="0"/>
      <w:bookmarkEnd w:id="1"/>
      <w:r>
        <w:rPr>
          <w:sz w:val="20"/>
          <w:szCs w:val="20"/>
        </w:rPr>
        <w:t xml:space="preserve">* </w:t>
      </w:r>
      <w:r w:rsidR="0046588D">
        <w:rPr>
          <w:sz w:val="20"/>
          <w:szCs w:val="20"/>
        </w:rPr>
        <w:t>rafaella.rodrigues@uemasul.edu.br</w:t>
      </w:r>
      <w:r>
        <w:rPr>
          <w:sz w:val="20"/>
          <w:szCs w:val="20"/>
        </w:rPr>
        <w:t>.</w:t>
      </w:r>
    </w:p>
    <w:p w14:paraId="6DBD4559" w14:textId="77777777" w:rsidR="00A76056" w:rsidRDefault="00000000">
      <w:pPr>
        <w:jc w:val="center"/>
        <w:rPr>
          <w:sz w:val="20"/>
          <w:szCs w:val="20"/>
        </w:rPr>
      </w:pPr>
      <w:r>
        <w:rPr>
          <w:sz w:val="20"/>
          <w:szCs w:val="20"/>
        </w:rPr>
        <w:t>__________________________________________________________________________________________</w:t>
      </w:r>
    </w:p>
    <w:p w14:paraId="111A53FB" w14:textId="77777777" w:rsidR="00A76056" w:rsidRDefault="00A76056">
      <w:pPr>
        <w:jc w:val="both"/>
        <w:rPr>
          <w:sz w:val="20"/>
          <w:szCs w:val="20"/>
        </w:rPr>
      </w:pPr>
    </w:p>
    <w:p w14:paraId="3A148659" w14:textId="03CF19F6" w:rsidR="00A76056" w:rsidRDefault="00000000">
      <w:pPr>
        <w:jc w:val="both"/>
        <w:rPr>
          <w:sz w:val="20"/>
          <w:szCs w:val="20"/>
        </w:rPr>
      </w:pPr>
      <w:r>
        <w:rPr>
          <w:b/>
          <w:sz w:val="20"/>
          <w:szCs w:val="20"/>
        </w:rPr>
        <w:t>RESUMO</w:t>
      </w:r>
    </w:p>
    <w:p w14:paraId="27BC5A20" w14:textId="6915543F" w:rsidR="0046588D" w:rsidRDefault="0046588D" w:rsidP="0046588D">
      <w:pPr>
        <w:widowControl/>
        <w:jc w:val="both"/>
        <w:rPr>
          <w:sz w:val="20"/>
          <w:szCs w:val="20"/>
        </w:rPr>
      </w:pPr>
      <w:r w:rsidRPr="0046588D">
        <w:rPr>
          <w:sz w:val="20"/>
          <w:szCs w:val="20"/>
        </w:rPr>
        <w:t>Diante das diferentes formas de manejo existentes, a adição de matéria orgânica no solo na forma de carvão</w:t>
      </w:r>
      <w:r>
        <w:rPr>
          <w:sz w:val="20"/>
          <w:szCs w:val="20"/>
        </w:rPr>
        <w:t xml:space="preserve"> </w:t>
      </w:r>
      <w:r w:rsidRPr="0046588D">
        <w:rPr>
          <w:sz w:val="20"/>
          <w:szCs w:val="20"/>
        </w:rPr>
        <w:t xml:space="preserve">vegetal, apresenta-se como uma técnica bastante promissora. Logo, por meio da utilização de colunas de solo para analisar os efeitos de diferentes granulometrias de carvão vegetal, objetivou-se identificar qual das granulometrias apresentaria melhor resposta no NEOSSOLO QUARTZARÊNICO, onde as variáveis definidas para estudo foram o pH e retenção de água. Para o desenvolvimento do experimento foram utilizadas 24 colunas de solo contendo três tratamentos com a mistura de solo e carvão vegetal, e um quarto tratamento contendo somente o solo natural. As granulometrias utilizadas foram: 2 mm, 500 mícrons e 600 mícrons, e a dose de carvão utilizada, foi de 10% do peso das colunas, equivalente a 92g de carvão. O delineamento experimental utilizado foi o inteiramente </w:t>
      </w:r>
      <w:proofErr w:type="spellStart"/>
      <w:r w:rsidRPr="0046588D">
        <w:rPr>
          <w:sz w:val="20"/>
          <w:szCs w:val="20"/>
        </w:rPr>
        <w:t>casualizado</w:t>
      </w:r>
      <w:proofErr w:type="spellEnd"/>
      <w:r w:rsidRPr="0046588D">
        <w:rPr>
          <w:sz w:val="20"/>
          <w:szCs w:val="20"/>
        </w:rPr>
        <w:t xml:space="preserve"> no esquema de quatro tratamentos e seis repetições. As duas menores granulometrias utilizadas apresentaram melhor resultado no solo, quando comparadas aos demais tratamentos. Mas, os resultados obtidos não foram capazes de esclarece</w:t>
      </w:r>
      <w:r>
        <w:rPr>
          <w:sz w:val="20"/>
          <w:szCs w:val="20"/>
        </w:rPr>
        <w:t>r</w:t>
      </w:r>
      <w:r w:rsidRPr="0046588D">
        <w:rPr>
          <w:sz w:val="20"/>
          <w:szCs w:val="20"/>
        </w:rPr>
        <w:t xml:space="preserve">, qual seria a melhor granulometria para ser utilizada, independentemente do tipo de manejo que se deseja realizar. </w:t>
      </w:r>
    </w:p>
    <w:p w14:paraId="0E3E5823" w14:textId="1A0A835E" w:rsidR="00A76056" w:rsidRDefault="00000000">
      <w:pPr>
        <w:widowControl/>
        <w:ind w:left="567" w:right="4" w:hanging="567"/>
        <w:rPr>
          <w:sz w:val="20"/>
          <w:szCs w:val="20"/>
        </w:rPr>
      </w:pPr>
      <w:r>
        <w:rPr>
          <w:i/>
          <w:sz w:val="20"/>
          <w:szCs w:val="20"/>
        </w:rPr>
        <w:t>Palavras-chave</w:t>
      </w:r>
      <w:r>
        <w:rPr>
          <w:sz w:val="20"/>
          <w:szCs w:val="20"/>
        </w:rPr>
        <w:t xml:space="preserve">: </w:t>
      </w:r>
      <w:r w:rsidR="0046588D">
        <w:rPr>
          <w:sz w:val="20"/>
          <w:szCs w:val="20"/>
        </w:rPr>
        <w:t xml:space="preserve">Matéria Orgânica, </w:t>
      </w:r>
      <w:r w:rsidR="00001A3F">
        <w:rPr>
          <w:sz w:val="20"/>
          <w:szCs w:val="20"/>
        </w:rPr>
        <w:t>pH do Solo, Retenção de Água</w:t>
      </w:r>
      <w:r w:rsidR="007A63EF">
        <w:rPr>
          <w:sz w:val="20"/>
          <w:szCs w:val="20"/>
        </w:rPr>
        <w:t xml:space="preserve">, </w:t>
      </w:r>
      <w:proofErr w:type="spellStart"/>
      <w:r w:rsidR="007A63EF">
        <w:rPr>
          <w:sz w:val="20"/>
          <w:szCs w:val="20"/>
        </w:rPr>
        <w:t>Biochar</w:t>
      </w:r>
      <w:proofErr w:type="spellEnd"/>
      <w:r w:rsidR="007A63EF">
        <w:rPr>
          <w:sz w:val="20"/>
          <w:szCs w:val="20"/>
        </w:rPr>
        <w:t>.</w:t>
      </w:r>
    </w:p>
    <w:p w14:paraId="7BF3E2FE" w14:textId="77777777" w:rsidR="00A76056" w:rsidRDefault="00A76056">
      <w:pPr>
        <w:widowControl/>
        <w:jc w:val="both"/>
        <w:rPr>
          <w:b/>
          <w:sz w:val="20"/>
          <w:szCs w:val="20"/>
        </w:rPr>
      </w:pPr>
    </w:p>
    <w:p w14:paraId="5658121F" w14:textId="3FBD7AD7" w:rsidR="00A76056" w:rsidRDefault="00000000">
      <w:pPr>
        <w:widowControl/>
        <w:jc w:val="both"/>
        <w:rPr>
          <w:b/>
          <w:sz w:val="20"/>
          <w:szCs w:val="20"/>
        </w:rPr>
      </w:pPr>
      <w:r>
        <w:rPr>
          <w:b/>
          <w:sz w:val="20"/>
          <w:szCs w:val="20"/>
        </w:rPr>
        <w:t>INTRODUÇÃO</w:t>
      </w:r>
    </w:p>
    <w:p w14:paraId="649E563A" w14:textId="77777777" w:rsidR="00215C4D" w:rsidRDefault="00215C4D">
      <w:pPr>
        <w:widowControl/>
        <w:jc w:val="both"/>
        <w:rPr>
          <w:sz w:val="20"/>
          <w:szCs w:val="20"/>
        </w:rPr>
      </w:pPr>
    </w:p>
    <w:p w14:paraId="69D38969" w14:textId="1453AE80" w:rsidR="000A2878" w:rsidRPr="00FF0456" w:rsidRDefault="000A2878" w:rsidP="000A2878">
      <w:pPr>
        <w:widowControl/>
        <w:ind w:firstLine="709"/>
        <w:jc w:val="both"/>
        <w:rPr>
          <w:sz w:val="20"/>
          <w:szCs w:val="20"/>
        </w:rPr>
      </w:pPr>
      <w:r w:rsidRPr="00FF0456">
        <w:rPr>
          <w:sz w:val="20"/>
          <w:szCs w:val="20"/>
        </w:rPr>
        <w:t>O aumento da demanda agropecuária global impulsionou a necessidade de expansão das áreas de cultivo, mas fatores como a baixa qualidade de alguns solos, especialmente em áreas florestais, limitam esse avanço. Entre as alternativas sustentáveis para melhorar tais solos, destaca-se o uso do carvão vegetal como condicionador, devido às suas propriedades físico-químicas que elevam a capacidade de troca catiônica (</w:t>
      </w:r>
      <w:r w:rsidR="00115A52" w:rsidRPr="00FF0456">
        <w:rPr>
          <w:sz w:val="20"/>
          <w:szCs w:val="20"/>
        </w:rPr>
        <w:t>OLIVEIRA, 2023</w:t>
      </w:r>
      <w:r w:rsidRPr="00FF0456">
        <w:rPr>
          <w:sz w:val="20"/>
          <w:szCs w:val="20"/>
        </w:rPr>
        <w:t>).</w:t>
      </w:r>
    </w:p>
    <w:p w14:paraId="734B7A87" w14:textId="48388528" w:rsidR="000A2878" w:rsidRPr="00FF0456" w:rsidRDefault="000A2878" w:rsidP="000A2878">
      <w:pPr>
        <w:widowControl/>
        <w:ind w:firstLine="709"/>
        <w:jc w:val="both"/>
        <w:rPr>
          <w:sz w:val="20"/>
          <w:szCs w:val="20"/>
        </w:rPr>
      </w:pPr>
      <w:r w:rsidRPr="00FF0456">
        <w:rPr>
          <w:sz w:val="20"/>
          <w:szCs w:val="20"/>
        </w:rPr>
        <w:t>O carvão vegetal, derivado da biomassa lenhosa, representa uma importante fonte energética no Brasil (</w:t>
      </w:r>
      <w:r w:rsidR="00CF1D87" w:rsidRPr="00FF0456">
        <w:rPr>
          <w:sz w:val="20"/>
          <w:szCs w:val="20"/>
        </w:rPr>
        <w:t xml:space="preserve">SANTOS </w:t>
      </w:r>
      <w:r w:rsidR="00CF1D87" w:rsidRPr="00FF0456">
        <w:rPr>
          <w:i/>
          <w:iCs/>
          <w:sz w:val="20"/>
          <w:szCs w:val="20"/>
        </w:rPr>
        <w:t>et al.</w:t>
      </w:r>
      <w:r w:rsidR="00CF1D87" w:rsidRPr="00FF0456">
        <w:rPr>
          <w:sz w:val="20"/>
          <w:szCs w:val="20"/>
        </w:rPr>
        <w:t>, 2017</w:t>
      </w:r>
      <w:r w:rsidRPr="00FF0456">
        <w:rPr>
          <w:sz w:val="20"/>
          <w:szCs w:val="20"/>
        </w:rPr>
        <w:t xml:space="preserve">). </w:t>
      </w:r>
      <w:r w:rsidR="00174379" w:rsidRPr="00FF0456">
        <w:rPr>
          <w:sz w:val="20"/>
          <w:szCs w:val="20"/>
        </w:rPr>
        <w:t xml:space="preserve">Diante do elevado custo e inconsistência de fertilizantes convencionais (DOMINGHETT </w:t>
      </w:r>
      <w:r w:rsidR="00174379" w:rsidRPr="00FF0456">
        <w:rPr>
          <w:i/>
          <w:iCs/>
          <w:sz w:val="20"/>
          <w:szCs w:val="20"/>
        </w:rPr>
        <w:t>et al</w:t>
      </w:r>
      <w:r w:rsidR="00174379" w:rsidRPr="00FF0456">
        <w:rPr>
          <w:sz w:val="20"/>
          <w:szCs w:val="20"/>
        </w:rPr>
        <w:t xml:space="preserve">., 2016), torna-se crucial desenvolver alternativas econômicas e de baixo impacto ambiental a partir de matérias-primas descartadas. Nesse contexto, os resíduos de carvão vegetal, que representam mais de 20% da produção e são frequentemente perdidos (MENDONÇA, 2017), destacam-se como uma opção promissora, similar aos resíduos de mineração. </w:t>
      </w:r>
      <w:r w:rsidRPr="00FF0456">
        <w:rPr>
          <w:sz w:val="20"/>
          <w:szCs w:val="20"/>
        </w:rPr>
        <w:t xml:space="preserve">Essa reutilização se alinha às práticas sustentáveis, promovendo conservação do solo e da água, maior retenção de nutrientes e redução na emissão de gases do efeito estufa (PAMPLONA </w:t>
      </w:r>
      <w:r w:rsidRPr="00FF0456">
        <w:rPr>
          <w:i/>
          <w:iCs/>
          <w:sz w:val="20"/>
          <w:szCs w:val="20"/>
        </w:rPr>
        <w:t>et al.</w:t>
      </w:r>
      <w:r w:rsidRPr="00FF0456">
        <w:rPr>
          <w:sz w:val="20"/>
          <w:szCs w:val="20"/>
        </w:rPr>
        <w:t>, 2015).</w:t>
      </w:r>
    </w:p>
    <w:p w14:paraId="31A870C6" w14:textId="4EE8FE41" w:rsidR="000A2878" w:rsidRPr="00FF0456" w:rsidRDefault="000A2878" w:rsidP="000A2878">
      <w:pPr>
        <w:widowControl/>
        <w:ind w:firstLine="709"/>
        <w:jc w:val="both"/>
        <w:rPr>
          <w:sz w:val="20"/>
          <w:szCs w:val="20"/>
        </w:rPr>
      </w:pPr>
      <w:r w:rsidRPr="00FF0456">
        <w:rPr>
          <w:sz w:val="20"/>
          <w:szCs w:val="20"/>
        </w:rPr>
        <w:t>Pesquisas indicam que a adição de carvão em diferentes granulometrias pode melhorar a estrutura do solo, aumentar o pH, a retenção hídrica e favorecer o desenvolvimento radicular (</w:t>
      </w:r>
      <w:r w:rsidR="000E53FA" w:rsidRPr="00FF0456">
        <w:rPr>
          <w:sz w:val="20"/>
          <w:szCs w:val="20"/>
        </w:rPr>
        <w:t xml:space="preserve">MELO, 2016; MENDONÇA, 2017; </w:t>
      </w:r>
      <w:r w:rsidRPr="00FF0456">
        <w:rPr>
          <w:sz w:val="20"/>
          <w:szCs w:val="20"/>
        </w:rPr>
        <w:t>RIBEIRO, 2016). Além disso, sua persistência no solo, comprovada por estudos arqueológicos (PEREIRA, 2016), reforça seu potencial de uso a longo prazo, inclusive por pequenos produtores.</w:t>
      </w:r>
    </w:p>
    <w:p w14:paraId="25FB2CC7" w14:textId="08C2804D" w:rsidR="000A2878" w:rsidRPr="00FF0456" w:rsidRDefault="000A2878" w:rsidP="000A2878">
      <w:pPr>
        <w:widowControl/>
        <w:ind w:firstLine="709"/>
        <w:jc w:val="both"/>
        <w:rPr>
          <w:sz w:val="20"/>
          <w:szCs w:val="20"/>
        </w:rPr>
      </w:pPr>
      <w:r w:rsidRPr="00FF0456">
        <w:rPr>
          <w:sz w:val="20"/>
          <w:szCs w:val="20"/>
        </w:rPr>
        <w:t>O carvão atua como uma esponja no solo, liberando lentamente nutrientes e água, o que o torna uma alternativa econômica e viável, especialmente para agricultura familiar (</w:t>
      </w:r>
      <w:r w:rsidR="009A79A5" w:rsidRPr="00FF0456">
        <w:rPr>
          <w:sz w:val="20"/>
          <w:szCs w:val="20"/>
        </w:rPr>
        <w:t>GUIMARÃES, 2021; MENDONÇA; SOUSA, 2025</w:t>
      </w:r>
      <w:r w:rsidRPr="00FF0456">
        <w:rPr>
          <w:sz w:val="20"/>
          <w:szCs w:val="20"/>
        </w:rPr>
        <w:t xml:space="preserve">). Também contribui para a mitigação de resíduos e a fixação de carbono no solo (NOVOTNY </w:t>
      </w:r>
      <w:r w:rsidRPr="00FF0456">
        <w:rPr>
          <w:i/>
          <w:iCs/>
          <w:sz w:val="20"/>
          <w:szCs w:val="20"/>
        </w:rPr>
        <w:t>et al.</w:t>
      </w:r>
      <w:r w:rsidRPr="00FF0456">
        <w:rPr>
          <w:sz w:val="20"/>
          <w:szCs w:val="20"/>
        </w:rPr>
        <w:t xml:space="preserve">, 2015). No entanto, são escassos os estudos que relacionam diretamente o uso de biocarvão com a produtividade agrícola e florestal (TRAZZI </w:t>
      </w:r>
      <w:r w:rsidRPr="00FF0456">
        <w:rPr>
          <w:i/>
          <w:iCs/>
          <w:sz w:val="20"/>
          <w:szCs w:val="20"/>
        </w:rPr>
        <w:t>et al.</w:t>
      </w:r>
      <w:r w:rsidRPr="00FF0456">
        <w:rPr>
          <w:sz w:val="20"/>
          <w:szCs w:val="20"/>
        </w:rPr>
        <w:t>, 2018).</w:t>
      </w:r>
    </w:p>
    <w:p w14:paraId="2FF1A7C2" w14:textId="11916DD8" w:rsidR="000A2878" w:rsidRPr="000A2878" w:rsidRDefault="000A2878" w:rsidP="000A2878">
      <w:pPr>
        <w:widowControl/>
        <w:ind w:firstLine="709"/>
        <w:jc w:val="both"/>
        <w:rPr>
          <w:sz w:val="20"/>
          <w:szCs w:val="20"/>
        </w:rPr>
      </w:pPr>
      <w:r w:rsidRPr="00FF0456">
        <w:rPr>
          <w:sz w:val="20"/>
          <w:szCs w:val="20"/>
        </w:rPr>
        <w:t xml:space="preserve">Diante disso, este trabalho busca avaliar os efeitos da aplicação de diferentes granulometrias de carvão vegetal sobre as propriedades físicas de um NEOSSOLO QUARTZARÊNICO, com foco na alteração do pH da </w:t>
      </w:r>
      <w:r w:rsidRPr="00FF0456">
        <w:rPr>
          <w:sz w:val="20"/>
          <w:szCs w:val="20"/>
        </w:rPr>
        <w:lastRenderedPageBreak/>
        <w:t xml:space="preserve">água de drenagem e na retenção hídrica. Tais solos, altamente </w:t>
      </w:r>
      <w:proofErr w:type="spellStart"/>
      <w:r w:rsidRPr="00FF0456">
        <w:rPr>
          <w:sz w:val="20"/>
          <w:szCs w:val="20"/>
        </w:rPr>
        <w:t>intemperizados</w:t>
      </w:r>
      <w:proofErr w:type="spellEnd"/>
      <w:r w:rsidRPr="00FF0456">
        <w:rPr>
          <w:sz w:val="20"/>
          <w:szCs w:val="20"/>
        </w:rPr>
        <w:t xml:space="preserve"> e pobres em nutrientes, exigem técnicas de manejo que otimizem sua produtividade (</w:t>
      </w:r>
      <w:r w:rsidR="001956E8" w:rsidRPr="00FF0456">
        <w:rPr>
          <w:sz w:val="20"/>
          <w:szCs w:val="20"/>
        </w:rPr>
        <w:t>LIMA e</w:t>
      </w:r>
      <w:r w:rsidR="001956E8" w:rsidRPr="00FF0456">
        <w:rPr>
          <w:i/>
          <w:iCs/>
          <w:sz w:val="20"/>
          <w:szCs w:val="20"/>
        </w:rPr>
        <w:t>t al.</w:t>
      </w:r>
      <w:r w:rsidR="001956E8" w:rsidRPr="00FF0456">
        <w:rPr>
          <w:sz w:val="20"/>
          <w:szCs w:val="20"/>
        </w:rPr>
        <w:t>, 2017</w:t>
      </w:r>
      <w:r w:rsidRPr="00FF0456">
        <w:rPr>
          <w:sz w:val="20"/>
          <w:szCs w:val="20"/>
        </w:rPr>
        <w:t>).</w:t>
      </w:r>
    </w:p>
    <w:p w14:paraId="300D47C8" w14:textId="77777777" w:rsidR="00A76056" w:rsidRDefault="00A76056">
      <w:pPr>
        <w:widowControl/>
        <w:ind w:firstLine="708"/>
        <w:jc w:val="both"/>
        <w:rPr>
          <w:b/>
          <w:sz w:val="20"/>
          <w:szCs w:val="20"/>
        </w:rPr>
      </w:pPr>
    </w:p>
    <w:p w14:paraId="08879E19" w14:textId="049B9430" w:rsidR="00A76056" w:rsidRDefault="00000000">
      <w:pPr>
        <w:widowControl/>
        <w:jc w:val="both"/>
        <w:rPr>
          <w:sz w:val="20"/>
          <w:szCs w:val="20"/>
        </w:rPr>
      </w:pPr>
      <w:r>
        <w:rPr>
          <w:b/>
          <w:sz w:val="20"/>
          <w:szCs w:val="20"/>
        </w:rPr>
        <w:t>MATERIAL E MÉTODOS</w:t>
      </w:r>
    </w:p>
    <w:p w14:paraId="55C8E1C6" w14:textId="77777777" w:rsidR="00A76056" w:rsidRDefault="00A76056">
      <w:pPr>
        <w:widowControl/>
        <w:jc w:val="both"/>
        <w:rPr>
          <w:sz w:val="20"/>
          <w:szCs w:val="20"/>
        </w:rPr>
      </w:pPr>
    </w:p>
    <w:p w14:paraId="17F2CBAD" w14:textId="77777777" w:rsidR="00215C4D" w:rsidRPr="00215C4D" w:rsidRDefault="00215C4D" w:rsidP="00215C4D">
      <w:pPr>
        <w:widowControl/>
        <w:ind w:firstLine="709"/>
        <w:jc w:val="both"/>
        <w:rPr>
          <w:sz w:val="20"/>
          <w:szCs w:val="20"/>
        </w:rPr>
      </w:pPr>
      <w:r w:rsidRPr="00215C4D">
        <w:rPr>
          <w:sz w:val="20"/>
          <w:szCs w:val="20"/>
        </w:rPr>
        <w:t xml:space="preserve">O experimento foi conduzido no Laboratório de Irrigação, Hidráulica e Hidrologia (LIHH) da Universidade Estadual da Região Tocantina do Maranhão (UEMASUL), em </w:t>
      </w:r>
      <w:proofErr w:type="spellStart"/>
      <w:r w:rsidRPr="00215C4D">
        <w:rPr>
          <w:sz w:val="20"/>
          <w:szCs w:val="20"/>
        </w:rPr>
        <w:t>Imperatriz-MA</w:t>
      </w:r>
      <w:proofErr w:type="spellEnd"/>
      <w:r w:rsidRPr="00215C4D">
        <w:rPr>
          <w:sz w:val="20"/>
          <w:szCs w:val="20"/>
        </w:rPr>
        <w:t>, com o objetivo de avaliar os efeitos do carvão vegetal sobre as propriedades físicas de um NEOSSOLO QUARTZARÊNICO.</w:t>
      </w:r>
    </w:p>
    <w:p w14:paraId="587C6A56" w14:textId="77777777" w:rsidR="00215C4D" w:rsidRPr="00215C4D" w:rsidRDefault="00215C4D" w:rsidP="00215C4D">
      <w:pPr>
        <w:widowControl/>
        <w:ind w:firstLine="709"/>
        <w:jc w:val="both"/>
        <w:rPr>
          <w:sz w:val="20"/>
          <w:szCs w:val="20"/>
        </w:rPr>
      </w:pPr>
      <w:r w:rsidRPr="00215C4D">
        <w:rPr>
          <w:sz w:val="20"/>
          <w:szCs w:val="20"/>
        </w:rPr>
        <w:t>Foram utilizadas três granulometrias de carvão vegetal (2 mm, 500 µm e 600 µm), aplicadas ao solo na proporção de 10% (m/m). O solo foi previamente peneirado (2 mm) e seco em estufa a 110 °C por 24 horas. Em cada coluna, foram utilizados 920 g de solo. Nos tratamentos com carvão, adicionaram-se 92 g de carvão vegetal, totalizando 1.012 g de material por coluna.</w:t>
      </w:r>
    </w:p>
    <w:p w14:paraId="380851D0" w14:textId="77777777" w:rsidR="00215C4D" w:rsidRPr="00215C4D" w:rsidRDefault="00215C4D" w:rsidP="00215C4D">
      <w:pPr>
        <w:widowControl/>
        <w:ind w:firstLine="709"/>
        <w:jc w:val="both"/>
        <w:rPr>
          <w:sz w:val="20"/>
          <w:szCs w:val="20"/>
        </w:rPr>
      </w:pPr>
      <w:r w:rsidRPr="00215C4D">
        <w:rPr>
          <w:sz w:val="20"/>
          <w:szCs w:val="20"/>
        </w:rPr>
        <w:t xml:space="preserve">As amostras foram acondicionadas em 24 colunas de PVC (40 mm de diâmetro e 500 mm de altura), distribuídas em quatro tratamentos (solo puro e solo com carvão nas três granulometrias), com seis repetições cada, em delineamento inteiramente </w:t>
      </w:r>
      <w:proofErr w:type="spellStart"/>
      <w:r w:rsidRPr="00215C4D">
        <w:rPr>
          <w:sz w:val="20"/>
          <w:szCs w:val="20"/>
        </w:rPr>
        <w:t>casualizado</w:t>
      </w:r>
      <w:proofErr w:type="spellEnd"/>
      <w:r w:rsidRPr="00215C4D">
        <w:rPr>
          <w:sz w:val="20"/>
          <w:szCs w:val="20"/>
        </w:rPr>
        <w:t xml:space="preserve"> (DIC).</w:t>
      </w:r>
    </w:p>
    <w:p w14:paraId="323779F8" w14:textId="77777777" w:rsidR="00215C4D" w:rsidRPr="00215C4D" w:rsidRDefault="00215C4D" w:rsidP="00215C4D">
      <w:pPr>
        <w:widowControl/>
        <w:ind w:firstLine="709"/>
        <w:jc w:val="both"/>
        <w:rPr>
          <w:sz w:val="20"/>
          <w:szCs w:val="20"/>
        </w:rPr>
      </w:pPr>
      <w:r w:rsidRPr="00215C4D">
        <w:rPr>
          <w:sz w:val="20"/>
          <w:szCs w:val="20"/>
        </w:rPr>
        <w:t xml:space="preserve">A capacidade de retenção de água (CRA) foi determinada com base no método do tempo de drenagem descrito por Casaroli e Van </w:t>
      </w:r>
      <w:proofErr w:type="spellStart"/>
      <w:r w:rsidRPr="00215C4D">
        <w:rPr>
          <w:sz w:val="20"/>
          <w:szCs w:val="20"/>
        </w:rPr>
        <w:t>Lier</w:t>
      </w:r>
      <w:proofErr w:type="spellEnd"/>
      <w:r w:rsidRPr="00215C4D">
        <w:rPr>
          <w:sz w:val="20"/>
          <w:szCs w:val="20"/>
        </w:rPr>
        <w:t xml:space="preserve"> (2008). As colunas foram hidratadas com volume de água correspondente a 25 cm de altura e mantidas por 24 horas para atingir a capacidade de campo. A drenagem foi acompanhada por pesagens realizadas a cada 24 horas (até 120 h) ou até estabilização do peso.</w:t>
      </w:r>
    </w:p>
    <w:p w14:paraId="154EFE08" w14:textId="77777777" w:rsidR="00215C4D" w:rsidRPr="00215C4D" w:rsidRDefault="00215C4D" w:rsidP="00215C4D">
      <w:pPr>
        <w:widowControl/>
        <w:ind w:firstLine="709"/>
        <w:jc w:val="both"/>
        <w:rPr>
          <w:sz w:val="20"/>
          <w:szCs w:val="20"/>
        </w:rPr>
      </w:pPr>
      <w:r w:rsidRPr="00215C4D">
        <w:rPr>
          <w:sz w:val="20"/>
          <w:szCs w:val="20"/>
        </w:rPr>
        <w:t xml:space="preserve">A coleta da água drenada foi feita com sacos plásticos (15 × 29 cm), em duplicata por coluna, e utilizou-se uma lona plástica sob as colunas para evitar perdas por evaporação. A análise do pH foi realizada na primeira água drenada, utilizando </w:t>
      </w:r>
      <w:proofErr w:type="spellStart"/>
      <w:r w:rsidRPr="00215C4D">
        <w:rPr>
          <w:sz w:val="20"/>
          <w:szCs w:val="20"/>
        </w:rPr>
        <w:t>peagâmetro</w:t>
      </w:r>
      <w:proofErr w:type="spellEnd"/>
      <w:r w:rsidRPr="00215C4D">
        <w:rPr>
          <w:sz w:val="20"/>
          <w:szCs w:val="20"/>
        </w:rPr>
        <w:t xml:space="preserve"> de bancada.</w:t>
      </w:r>
    </w:p>
    <w:p w14:paraId="127431B4" w14:textId="77777777" w:rsidR="00215C4D" w:rsidRPr="00215C4D" w:rsidRDefault="00215C4D" w:rsidP="00215C4D">
      <w:pPr>
        <w:widowControl/>
        <w:ind w:firstLine="709"/>
        <w:jc w:val="both"/>
        <w:rPr>
          <w:sz w:val="20"/>
          <w:szCs w:val="20"/>
        </w:rPr>
      </w:pPr>
      <w:r w:rsidRPr="00215C4D">
        <w:rPr>
          <w:sz w:val="20"/>
          <w:szCs w:val="20"/>
        </w:rPr>
        <w:t xml:space="preserve">Os dados obtidos foram organizados em tabelas e submetidos à análise de variância (ANOVA), com aplicação do teste F a 5% de significância. Em caso de diferenças estatísticas, utilizou-se o teste de </w:t>
      </w:r>
      <w:proofErr w:type="spellStart"/>
      <w:r w:rsidRPr="00215C4D">
        <w:rPr>
          <w:sz w:val="20"/>
          <w:szCs w:val="20"/>
        </w:rPr>
        <w:t>Tukey</w:t>
      </w:r>
      <w:proofErr w:type="spellEnd"/>
      <w:r w:rsidRPr="00215C4D">
        <w:rPr>
          <w:sz w:val="20"/>
          <w:szCs w:val="20"/>
        </w:rPr>
        <w:t xml:space="preserve"> (p&lt;0,05) para comparação das médias.</w:t>
      </w:r>
    </w:p>
    <w:p w14:paraId="1CC538FA" w14:textId="77777777" w:rsidR="00A76056" w:rsidRDefault="00A76056">
      <w:pPr>
        <w:widowControl/>
        <w:jc w:val="both"/>
        <w:rPr>
          <w:sz w:val="20"/>
          <w:szCs w:val="20"/>
        </w:rPr>
      </w:pPr>
    </w:p>
    <w:p w14:paraId="55279E3E" w14:textId="14771077" w:rsidR="00A76056" w:rsidRDefault="00000000">
      <w:pPr>
        <w:widowControl/>
        <w:jc w:val="both"/>
        <w:rPr>
          <w:sz w:val="20"/>
          <w:szCs w:val="20"/>
        </w:rPr>
      </w:pPr>
      <w:r>
        <w:rPr>
          <w:b/>
          <w:sz w:val="20"/>
          <w:szCs w:val="20"/>
        </w:rPr>
        <w:t>RESULTADOS E DISCUSSÃO</w:t>
      </w:r>
    </w:p>
    <w:p w14:paraId="6BEE9F0A" w14:textId="77777777" w:rsidR="00A76056" w:rsidRDefault="00A76056">
      <w:pPr>
        <w:widowControl/>
        <w:jc w:val="both"/>
        <w:rPr>
          <w:sz w:val="20"/>
          <w:szCs w:val="20"/>
        </w:rPr>
      </w:pPr>
    </w:p>
    <w:p w14:paraId="2FD3ACD1" w14:textId="29962A75" w:rsidR="001A3659" w:rsidRDefault="001A3659" w:rsidP="001A3659">
      <w:pPr>
        <w:widowControl/>
        <w:ind w:firstLine="709"/>
        <w:jc w:val="both"/>
        <w:rPr>
          <w:sz w:val="20"/>
          <w:szCs w:val="20"/>
        </w:rPr>
      </w:pPr>
      <w:r w:rsidRPr="001A3659">
        <w:rPr>
          <w:sz w:val="20"/>
          <w:szCs w:val="20"/>
        </w:rPr>
        <w:t xml:space="preserve">A análise de variância (Tabela </w:t>
      </w:r>
      <w:r w:rsidR="00DE1B1D">
        <w:rPr>
          <w:sz w:val="20"/>
          <w:szCs w:val="20"/>
        </w:rPr>
        <w:t>1</w:t>
      </w:r>
      <w:r w:rsidRPr="001A3659">
        <w:rPr>
          <w:sz w:val="20"/>
          <w:szCs w:val="20"/>
        </w:rPr>
        <w:t xml:space="preserve">) para a variável pH demonstrou que não houve diferença estatística significativa (p&gt;0,05) entre os tratamentos com diferentes granulometrias de carvão vegetal e o solo sem adição (testemunha), indicando que o carvão não exerceu influência marcante sobre o pH do NEOSSOLO QUARTZARÊNICO. As médias variaram entre 6,36 (T0 – solo puro) e 6,74 (T3 – 600 µm), sem tendência clara de aumento em função da granulometria (Tabela </w:t>
      </w:r>
      <w:r w:rsidR="00DE1B1D">
        <w:rPr>
          <w:sz w:val="20"/>
          <w:szCs w:val="20"/>
        </w:rPr>
        <w:t>2</w:t>
      </w:r>
      <w:r w:rsidRPr="001A3659">
        <w:rPr>
          <w:sz w:val="20"/>
          <w:szCs w:val="20"/>
        </w:rPr>
        <w:t>).</w:t>
      </w:r>
    </w:p>
    <w:p w14:paraId="0243F360" w14:textId="77777777" w:rsidR="006C74A6" w:rsidRDefault="006C74A6" w:rsidP="006C74A6">
      <w:pPr>
        <w:widowControl/>
        <w:jc w:val="both"/>
        <w:rPr>
          <w:sz w:val="20"/>
          <w:szCs w:val="20"/>
        </w:rPr>
      </w:pPr>
    </w:p>
    <w:p w14:paraId="5078C445" w14:textId="724A2905" w:rsidR="006C74A6" w:rsidRPr="006C74A6" w:rsidRDefault="006C74A6" w:rsidP="00DE1B1D">
      <w:pPr>
        <w:widowControl/>
        <w:jc w:val="both"/>
        <w:rPr>
          <w:sz w:val="20"/>
          <w:szCs w:val="20"/>
        </w:rPr>
      </w:pPr>
      <w:r w:rsidRPr="006C74A6">
        <w:rPr>
          <w:sz w:val="20"/>
          <w:szCs w:val="20"/>
        </w:rPr>
        <w:t xml:space="preserve">Tabela </w:t>
      </w:r>
      <w:r w:rsidR="00DE1B1D">
        <w:rPr>
          <w:sz w:val="20"/>
          <w:szCs w:val="20"/>
        </w:rPr>
        <w:t>1</w:t>
      </w:r>
      <w:r w:rsidRPr="006C74A6">
        <w:rPr>
          <w:sz w:val="20"/>
          <w:szCs w:val="20"/>
        </w:rPr>
        <w:t>.</w:t>
      </w:r>
      <w:r w:rsidR="00DE1B1D">
        <w:rPr>
          <w:sz w:val="20"/>
          <w:szCs w:val="20"/>
        </w:rPr>
        <w:t xml:space="preserve"> </w:t>
      </w:r>
      <w:r w:rsidR="007B28D7" w:rsidRPr="007B28D7">
        <w:rPr>
          <w:sz w:val="20"/>
          <w:szCs w:val="20"/>
        </w:rPr>
        <w:t>Resultado da análise da variância entre granulometria e solo para a variável pH.</w:t>
      </w:r>
    </w:p>
    <w:tbl>
      <w:tblPr>
        <w:tblW w:w="5954" w:type="dxa"/>
        <w:jc w:val="center"/>
        <w:tblBorders>
          <w:top w:val="single" w:sz="4" w:space="0" w:color="000000"/>
          <w:bottom w:val="single" w:sz="4" w:space="0" w:color="000000"/>
          <w:insideH w:val="nil"/>
          <w:insideV w:val="nil"/>
        </w:tblBorders>
        <w:tblLayout w:type="fixed"/>
        <w:tblLook w:val="04A0" w:firstRow="1" w:lastRow="0" w:firstColumn="1" w:lastColumn="0" w:noHBand="0" w:noVBand="1"/>
      </w:tblPr>
      <w:tblGrid>
        <w:gridCol w:w="2553"/>
        <w:gridCol w:w="991"/>
        <w:gridCol w:w="2410"/>
      </w:tblGrid>
      <w:tr w:rsidR="00DE1B1D" w:rsidRPr="006C74A6" w14:paraId="369FF4AF" w14:textId="77777777" w:rsidTr="00DE1B1D">
        <w:trPr>
          <w:trHeight w:val="227"/>
          <w:jc w:val="center"/>
        </w:trPr>
        <w:tc>
          <w:tcPr>
            <w:tcW w:w="2553" w:type="dxa"/>
            <w:tcBorders>
              <w:top w:val="single" w:sz="4" w:space="0" w:color="000000"/>
              <w:left w:val="nil"/>
              <w:bottom w:val="single" w:sz="4" w:space="0" w:color="000000"/>
              <w:right w:val="nil"/>
            </w:tcBorders>
            <w:vAlign w:val="center"/>
            <w:hideMark/>
          </w:tcPr>
          <w:p w14:paraId="440E6ECC" w14:textId="598E6FE1" w:rsidR="00DE1B1D" w:rsidRPr="006C74A6" w:rsidRDefault="00DE1B1D" w:rsidP="00DE1B1D">
            <w:pPr>
              <w:widowControl/>
              <w:jc w:val="center"/>
              <w:rPr>
                <w:sz w:val="18"/>
                <w:szCs w:val="18"/>
              </w:rPr>
            </w:pPr>
            <w:r>
              <w:rPr>
                <w:b/>
                <w:sz w:val="18"/>
                <w:szCs w:val="18"/>
              </w:rPr>
              <w:t>Causa de variação</w:t>
            </w:r>
          </w:p>
        </w:tc>
        <w:tc>
          <w:tcPr>
            <w:tcW w:w="991" w:type="dxa"/>
            <w:tcBorders>
              <w:top w:val="single" w:sz="4" w:space="0" w:color="000000"/>
              <w:left w:val="nil"/>
              <w:bottom w:val="single" w:sz="4" w:space="0" w:color="000000"/>
              <w:right w:val="nil"/>
            </w:tcBorders>
            <w:vAlign w:val="center"/>
            <w:hideMark/>
          </w:tcPr>
          <w:p w14:paraId="78BD58E1" w14:textId="236B7EC9" w:rsidR="00DE1B1D" w:rsidRPr="006C74A6" w:rsidRDefault="00DE1B1D" w:rsidP="00DE1B1D">
            <w:pPr>
              <w:widowControl/>
              <w:jc w:val="center"/>
              <w:rPr>
                <w:sz w:val="18"/>
                <w:szCs w:val="18"/>
              </w:rPr>
            </w:pPr>
            <w:r>
              <w:rPr>
                <w:b/>
                <w:sz w:val="18"/>
                <w:szCs w:val="18"/>
              </w:rPr>
              <w:t>GL</w:t>
            </w:r>
          </w:p>
        </w:tc>
        <w:tc>
          <w:tcPr>
            <w:tcW w:w="2410" w:type="dxa"/>
            <w:tcBorders>
              <w:top w:val="single" w:sz="4" w:space="0" w:color="000000"/>
              <w:left w:val="nil"/>
              <w:bottom w:val="single" w:sz="4" w:space="0" w:color="000000"/>
              <w:right w:val="nil"/>
            </w:tcBorders>
            <w:vAlign w:val="center"/>
            <w:hideMark/>
          </w:tcPr>
          <w:p w14:paraId="1307A89A" w14:textId="6D9F4682" w:rsidR="00DE1B1D" w:rsidRPr="006C74A6" w:rsidRDefault="007B28D7" w:rsidP="00DE1B1D">
            <w:pPr>
              <w:widowControl/>
              <w:jc w:val="center"/>
              <w:rPr>
                <w:sz w:val="18"/>
                <w:szCs w:val="18"/>
              </w:rPr>
            </w:pPr>
            <w:r>
              <w:rPr>
                <w:b/>
                <w:sz w:val="18"/>
                <w:szCs w:val="18"/>
              </w:rPr>
              <w:t>pH NQ</w:t>
            </w:r>
          </w:p>
        </w:tc>
      </w:tr>
      <w:tr w:rsidR="00DE1B1D" w:rsidRPr="006C74A6" w14:paraId="5717F18E" w14:textId="77777777" w:rsidTr="00DE1B1D">
        <w:trPr>
          <w:trHeight w:val="227"/>
          <w:jc w:val="center"/>
        </w:trPr>
        <w:tc>
          <w:tcPr>
            <w:tcW w:w="2553" w:type="dxa"/>
            <w:tcBorders>
              <w:top w:val="single" w:sz="4" w:space="0" w:color="000000"/>
              <w:left w:val="nil"/>
              <w:bottom w:val="nil"/>
              <w:right w:val="nil"/>
            </w:tcBorders>
            <w:vAlign w:val="center"/>
            <w:hideMark/>
          </w:tcPr>
          <w:p w14:paraId="317AA954" w14:textId="67BE537E" w:rsidR="00DE1B1D" w:rsidRPr="006C74A6" w:rsidRDefault="00DE1B1D" w:rsidP="00DE1B1D">
            <w:pPr>
              <w:widowControl/>
              <w:jc w:val="center"/>
              <w:rPr>
                <w:sz w:val="18"/>
                <w:szCs w:val="18"/>
              </w:rPr>
            </w:pPr>
          </w:p>
        </w:tc>
        <w:tc>
          <w:tcPr>
            <w:tcW w:w="991" w:type="dxa"/>
            <w:tcBorders>
              <w:top w:val="single" w:sz="4" w:space="0" w:color="000000"/>
              <w:left w:val="nil"/>
              <w:bottom w:val="nil"/>
              <w:right w:val="nil"/>
            </w:tcBorders>
            <w:vAlign w:val="center"/>
            <w:hideMark/>
          </w:tcPr>
          <w:p w14:paraId="36F80DA8" w14:textId="0F8E62DE" w:rsidR="00DE1B1D" w:rsidRPr="006C74A6" w:rsidRDefault="00DE1B1D" w:rsidP="00DE1B1D">
            <w:pPr>
              <w:widowControl/>
              <w:jc w:val="center"/>
              <w:rPr>
                <w:sz w:val="18"/>
                <w:szCs w:val="18"/>
              </w:rPr>
            </w:pPr>
          </w:p>
        </w:tc>
        <w:tc>
          <w:tcPr>
            <w:tcW w:w="2410" w:type="dxa"/>
            <w:tcBorders>
              <w:top w:val="single" w:sz="4" w:space="0" w:color="000000"/>
              <w:left w:val="nil"/>
              <w:bottom w:val="nil"/>
              <w:right w:val="nil"/>
            </w:tcBorders>
            <w:vAlign w:val="center"/>
            <w:hideMark/>
          </w:tcPr>
          <w:p w14:paraId="197188DE" w14:textId="535C30E9" w:rsidR="00DE1B1D" w:rsidRPr="006C74A6" w:rsidRDefault="00DE1B1D" w:rsidP="00DE1B1D">
            <w:pPr>
              <w:widowControl/>
              <w:jc w:val="center"/>
              <w:rPr>
                <w:b/>
                <w:bCs/>
                <w:sz w:val="18"/>
                <w:szCs w:val="18"/>
              </w:rPr>
            </w:pPr>
            <w:r w:rsidRPr="00DE1B1D">
              <w:rPr>
                <w:b/>
                <w:bCs/>
                <w:sz w:val="18"/>
                <w:szCs w:val="18"/>
              </w:rPr>
              <w:t>Quadrado Médio</w:t>
            </w:r>
          </w:p>
        </w:tc>
      </w:tr>
      <w:tr w:rsidR="00DE1B1D" w:rsidRPr="006C74A6" w14:paraId="26339CE6" w14:textId="77777777" w:rsidTr="00DE1B1D">
        <w:trPr>
          <w:trHeight w:val="227"/>
          <w:jc w:val="center"/>
        </w:trPr>
        <w:tc>
          <w:tcPr>
            <w:tcW w:w="2553" w:type="dxa"/>
            <w:tcBorders>
              <w:top w:val="nil"/>
              <w:left w:val="nil"/>
              <w:bottom w:val="nil"/>
              <w:right w:val="nil"/>
            </w:tcBorders>
            <w:vAlign w:val="center"/>
            <w:hideMark/>
          </w:tcPr>
          <w:p w14:paraId="4C9ACC19" w14:textId="22DCCC83" w:rsidR="00DE1B1D" w:rsidRPr="006C74A6" w:rsidRDefault="00DE1B1D" w:rsidP="00DE1B1D">
            <w:pPr>
              <w:widowControl/>
              <w:jc w:val="center"/>
              <w:rPr>
                <w:b/>
                <w:bCs/>
                <w:sz w:val="18"/>
                <w:szCs w:val="18"/>
              </w:rPr>
            </w:pPr>
            <w:r w:rsidRPr="00DE1B1D">
              <w:rPr>
                <w:b/>
                <w:bCs/>
                <w:sz w:val="18"/>
                <w:szCs w:val="18"/>
              </w:rPr>
              <w:t>Granulometria</w:t>
            </w:r>
          </w:p>
        </w:tc>
        <w:tc>
          <w:tcPr>
            <w:tcW w:w="991" w:type="dxa"/>
            <w:tcBorders>
              <w:top w:val="nil"/>
              <w:left w:val="nil"/>
              <w:bottom w:val="nil"/>
              <w:right w:val="nil"/>
            </w:tcBorders>
            <w:vAlign w:val="center"/>
            <w:hideMark/>
          </w:tcPr>
          <w:p w14:paraId="6994AA0E" w14:textId="3FA8384D" w:rsidR="00DE1B1D" w:rsidRPr="006C74A6" w:rsidRDefault="00DE1B1D" w:rsidP="00DE1B1D">
            <w:pPr>
              <w:widowControl/>
              <w:jc w:val="center"/>
              <w:rPr>
                <w:sz w:val="18"/>
                <w:szCs w:val="18"/>
              </w:rPr>
            </w:pPr>
            <w:r>
              <w:rPr>
                <w:sz w:val="18"/>
                <w:szCs w:val="18"/>
              </w:rPr>
              <w:t>2</w:t>
            </w:r>
          </w:p>
          <w:p w14:paraId="074CC62A" w14:textId="64655254" w:rsidR="00DE1B1D" w:rsidRPr="006C74A6" w:rsidRDefault="00DE1B1D" w:rsidP="00DE1B1D">
            <w:pPr>
              <w:widowControl/>
              <w:jc w:val="center"/>
              <w:rPr>
                <w:sz w:val="18"/>
                <w:szCs w:val="18"/>
              </w:rPr>
            </w:pPr>
          </w:p>
        </w:tc>
        <w:tc>
          <w:tcPr>
            <w:tcW w:w="2410" w:type="dxa"/>
            <w:tcBorders>
              <w:top w:val="nil"/>
              <w:left w:val="nil"/>
              <w:bottom w:val="nil"/>
              <w:right w:val="nil"/>
            </w:tcBorders>
            <w:vAlign w:val="center"/>
            <w:hideMark/>
          </w:tcPr>
          <w:p w14:paraId="63B7B6CE" w14:textId="331A48C5" w:rsidR="00DE1B1D" w:rsidRPr="006C74A6" w:rsidRDefault="00DE1B1D" w:rsidP="00DE1B1D">
            <w:pPr>
              <w:widowControl/>
              <w:jc w:val="center"/>
              <w:rPr>
                <w:sz w:val="18"/>
                <w:szCs w:val="18"/>
              </w:rPr>
            </w:pPr>
            <w:r>
              <w:rPr>
                <w:sz w:val="18"/>
                <w:szCs w:val="18"/>
              </w:rPr>
              <w:t>0</w:t>
            </w:r>
            <w:r w:rsidR="007B28D7">
              <w:rPr>
                <w:sz w:val="18"/>
                <w:szCs w:val="18"/>
              </w:rPr>
              <w:t>,01</w:t>
            </w:r>
            <w:r w:rsidR="007B28D7">
              <w:rPr>
                <w:b/>
                <w:sz w:val="20"/>
                <w:szCs w:val="20"/>
                <w:vertAlign w:val="superscript"/>
              </w:rPr>
              <w:t>ns</w:t>
            </w:r>
          </w:p>
        </w:tc>
      </w:tr>
      <w:tr w:rsidR="00DE1B1D" w:rsidRPr="006C74A6" w14:paraId="6CC75420" w14:textId="77777777" w:rsidTr="00DE1B1D">
        <w:trPr>
          <w:trHeight w:val="227"/>
          <w:jc w:val="center"/>
        </w:trPr>
        <w:tc>
          <w:tcPr>
            <w:tcW w:w="2553" w:type="dxa"/>
            <w:tcBorders>
              <w:top w:val="nil"/>
              <w:left w:val="nil"/>
              <w:bottom w:val="nil"/>
              <w:right w:val="nil"/>
            </w:tcBorders>
            <w:vAlign w:val="center"/>
            <w:hideMark/>
          </w:tcPr>
          <w:p w14:paraId="2516E6EB" w14:textId="18A0CBED" w:rsidR="00DE1B1D" w:rsidRPr="006C74A6" w:rsidRDefault="00DE1B1D" w:rsidP="00DE1B1D">
            <w:pPr>
              <w:widowControl/>
              <w:jc w:val="center"/>
              <w:rPr>
                <w:b/>
                <w:bCs/>
                <w:sz w:val="18"/>
                <w:szCs w:val="18"/>
              </w:rPr>
            </w:pPr>
            <w:r w:rsidRPr="00DE1B1D">
              <w:rPr>
                <w:b/>
                <w:bCs/>
                <w:sz w:val="18"/>
                <w:szCs w:val="18"/>
              </w:rPr>
              <w:t>Resíduo</w:t>
            </w:r>
          </w:p>
        </w:tc>
        <w:tc>
          <w:tcPr>
            <w:tcW w:w="991" w:type="dxa"/>
            <w:tcBorders>
              <w:top w:val="nil"/>
              <w:left w:val="nil"/>
              <w:bottom w:val="nil"/>
              <w:right w:val="nil"/>
            </w:tcBorders>
            <w:vAlign w:val="center"/>
            <w:hideMark/>
          </w:tcPr>
          <w:p w14:paraId="3ACBFAFA" w14:textId="53DF97EA" w:rsidR="00DE1B1D" w:rsidRPr="006C74A6" w:rsidRDefault="00DE1B1D" w:rsidP="00DE1B1D">
            <w:pPr>
              <w:widowControl/>
              <w:jc w:val="center"/>
              <w:rPr>
                <w:sz w:val="18"/>
                <w:szCs w:val="18"/>
              </w:rPr>
            </w:pPr>
            <w:r>
              <w:rPr>
                <w:sz w:val="18"/>
                <w:szCs w:val="18"/>
              </w:rPr>
              <w:t>6</w:t>
            </w:r>
          </w:p>
        </w:tc>
        <w:tc>
          <w:tcPr>
            <w:tcW w:w="2410" w:type="dxa"/>
            <w:tcBorders>
              <w:top w:val="nil"/>
              <w:left w:val="nil"/>
              <w:bottom w:val="nil"/>
              <w:right w:val="nil"/>
            </w:tcBorders>
            <w:vAlign w:val="center"/>
            <w:hideMark/>
          </w:tcPr>
          <w:p w14:paraId="3AB34E54" w14:textId="5E8A5958" w:rsidR="00DE1B1D" w:rsidRPr="006C74A6" w:rsidRDefault="007B28D7" w:rsidP="00DE1B1D">
            <w:pPr>
              <w:widowControl/>
              <w:jc w:val="center"/>
              <w:rPr>
                <w:sz w:val="18"/>
                <w:szCs w:val="18"/>
              </w:rPr>
            </w:pPr>
            <w:r>
              <w:rPr>
                <w:sz w:val="18"/>
                <w:szCs w:val="18"/>
              </w:rPr>
              <w:t>7,46</w:t>
            </w:r>
          </w:p>
        </w:tc>
      </w:tr>
      <w:tr w:rsidR="00DE1B1D" w:rsidRPr="006C74A6" w14:paraId="5E153A1A" w14:textId="77777777" w:rsidTr="00DE1B1D">
        <w:trPr>
          <w:trHeight w:val="227"/>
          <w:jc w:val="center"/>
        </w:trPr>
        <w:tc>
          <w:tcPr>
            <w:tcW w:w="2553" w:type="dxa"/>
            <w:tcBorders>
              <w:top w:val="nil"/>
              <w:left w:val="nil"/>
              <w:bottom w:val="nil"/>
              <w:right w:val="nil"/>
            </w:tcBorders>
            <w:vAlign w:val="center"/>
            <w:hideMark/>
          </w:tcPr>
          <w:p w14:paraId="35F35081" w14:textId="0300C1A0" w:rsidR="00DE1B1D" w:rsidRPr="006C74A6" w:rsidRDefault="00DE1B1D" w:rsidP="00DE1B1D">
            <w:pPr>
              <w:widowControl/>
              <w:jc w:val="center"/>
              <w:rPr>
                <w:b/>
                <w:bCs/>
                <w:sz w:val="18"/>
                <w:szCs w:val="18"/>
              </w:rPr>
            </w:pPr>
            <w:r w:rsidRPr="00DE1B1D">
              <w:rPr>
                <w:b/>
                <w:bCs/>
                <w:sz w:val="18"/>
                <w:szCs w:val="18"/>
              </w:rPr>
              <w:t>Total</w:t>
            </w:r>
          </w:p>
        </w:tc>
        <w:tc>
          <w:tcPr>
            <w:tcW w:w="991" w:type="dxa"/>
            <w:tcBorders>
              <w:top w:val="nil"/>
              <w:left w:val="nil"/>
              <w:bottom w:val="nil"/>
              <w:right w:val="nil"/>
            </w:tcBorders>
            <w:vAlign w:val="center"/>
            <w:hideMark/>
          </w:tcPr>
          <w:p w14:paraId="67737757" w14:textId="2C64F697" w:rsidR="00DE1B1D" w:rsidRPr="006C74A6" w:rsidRDefault="00DE1B1D" w:rsidP="00DE1B1D">
            <w:pPr>
              <w:widowControl/>
              <w:jc w:val="center"/>
              <w:rPr>
                <w:sz w:val="18"/>
                <w:szCs w:val="18"/>
              </w:rPr>
            </w:pPr>
            <w:r>
              <w:rPr>
                <w:sz w:val="18"/>
                <w:szCs w:val="18"/>
              </w:rPr>
              <w:t>8</w:t>
            </w:r>
          </w:p>
        </w:tc>
        <w:tc>
          <w:tcPr>
            <w:tcW w:w="2410" w:type="dxa"/>
            <w:tcBorders>
              <w:top w:val="nil"/>
              <w:left w:val="nil"/>
              <w:bottom w:val="nil"/>
              <w:right w:val="nil"/>
            </w:tcBorders>
            <w:vAlign w:val="center"/>
            <w:hideMark/>
          </w:tcPr>
          <w:p w14:paraId="113E591A" w14:textId="275255A2" w:rsidR="00DE1B1D" w:rsidRPr="006C74A6" w:rsidRDefault="00DE1B1D" w:rsidP="00DE1B1D">
            <w:pPr>
              <w:widowControl/>
              <w:jc w:val="center"/>
              <w:rPr>
                <w:sz w:val="18"/>
                <w:szCs w:val="18"/>
              </w:rPr>
            </w:pPr>
            <w:r>
              <w:rPr>
                <w:sz w:val="18"/>
                <w:szCs w:val="18"/>
              </w:rPr>
              <w:t>-</w:t>
            </w:r>
          </w:p>
        </w:tc>
      </w:tr>
      <w:tr w:rsidR="00DE1B1D" w:rsidRPr="006C74A6" w14:paraId="4B1F62ED" w14:textId="77777777" w:rsidTr="00DE1B1D">
        <w:trPr>
          <w:trHeight w:val="227"/>
          <w:jc w:val="center"/>
        </w:trPr>
        <w:tc>
          <w:tcPr>
            <w:tcW w:w="2553" w:type="dxa"/>
            <w:tcBorders>
              <w:top w:val="nil"/>
              <w:left w:val="nil"/>
              <w:bottom w:val="nil"/>
              <w:right w:val="nil"/>
            </w:tcBorders>
            <w:vAlign w:val="center"/>
            <w:hideMark/>
          </w:tcPr>
          <w:p w14:paraId="6F62ECEE" w14:textId="4E4E014B" w:rsidR="00DE1B1D" w:rsidRPr="006C74A6" w:rsidRDefault="00DE1B1D" w:rsidP="00DE1B1D">
            <w:pPr>
              <w:widowControl/>
              <w:jc w:val="center"/>
              <w:rPr>
                <w:b/>
                <w:bCs/>
                <w:sz w:val="18"/>
                <w:szCs w:val="18"/>
              </w:rPr>
            </w:pPr>
            <w:r w:rsidRPr="00DE1B1D">
              <w:rPr>
                <w:b/>
                <w:bCs/>
                <w:sz w:val="18"/>
                <w:szCs w:val="18"/>
              </w:rPr>
              <w:t>Média</w:t>
            </w:r>
          </w:p>
        </w:tc>
        <w:tc>
          <w:tcPr>
            <w:tcW w:w="991" w:type="dxa"/>
            <w:tcBorders>
              <w:top w:val="nil"/>
              <w:left w:val="nil"/>
              <w:bottom w:val="nil"/>
              <w:right w:val="nil"/>
            </w:tcBorders>
            <w:vAlign w:val="center"/>
            <w:hideMark/>
          </w:tcPr>
          <w:p w14:paraId="44E365EB" w14:textId="31C5641D" w:rsidR="00DE1B1D" w:rsidRPr="006C74A6" w:rsidRDefault="00DE1B1D" w:rsidP="00DE1B1D">
            <w:pPr>
              <w:widowControl/>
              <w:jc w:val="center"/>
              <w:rPr>
                <w:sz w:val="18"/>
                <w:szCs w:val="18"/>
              </w:rPr>
            </w:pPr>
            <w:r>
              <w:rPr>
                <w:sz w:val="18"/>
                <w:szCs w:val="18"/>
              </w:rPr>
              <w:t>-</w:t>
            </w:r>
          </w:p>
        </w:tc>
        <w:tc>
          <w:tcPr>
            <w:tcW w:w="2410" w:type="dxa"/>
            <w:tcBorders>
              <w:top w:val="nil"/>
              <w:left w:val="nil"/>
              <w:bottom w:val="nil"/>
              <w:right w:val="nil"/>
            </w:tcBorders>
            <w:vAlign w:val="center"/>
            <w:hideMark/>
          </w:tcPr>
          <w:p w14:paraId="73F26358" w14:textId="31D05710" w:rsidR="00DE1B1D" w:rsidRPr="006C74A6" w:rsidRDefault="007B28D7" w:rsidP="00DE1B1D">
            <w:pPr>
              <w:widowControl/>
              <w:jc w:val="center"/>
              <w:rPr>
                <w:sz w:val="18"/>
                <w:szCs w:val="18"/>
              </w:rPr>
            </w:pPr>
            <w:r>
              <w:rPr>
                <w:sz w:val="18"/>
                <w:szCs w:val="18"/>
              </w:rPr>
              <w:t>19,30</w:t>
            </w:r>
          </w:p>
        </w:tc>
      </w:tr>
      <w:tr w:rsidR="00DE1B1D" w:rsidRPr="006C74A6" w14:paraId="2116F68B" w14:textId="77777777" w:rsidTr="00DE1B1D">
        <w:trPr>
          <w:trHeight w:val="227"/>
          <w:jc w:val="center"/>
        </w:trPr>
        <w:tc>
          <w:tcPr>
            <w:tcW w:w="2553" w:type="dxa"/>
            <w:tcBorders>
              <w:top w:val="nil"/>
              <w:left w:val="nil"/>
              <w:bottom w:val="single" w:sz="4" w:space="0" w:color="000000"/>
              <w:right w:val="nil"/>
            </w:tcBorders>
            <w:vAlign w:val="center"/>
            <w:hideMark/>
          </w:tcPr>
          <w:p w14:paraId="0E22F6E4" w14:textId="0AF4356D" w:rsidR="00DE1B1D" w:rsidRPr="006C74A6" w:rsidRDefault="00DE1B1D" w:rsidP="00DE1B1D">
            <w:pPr>
              <w:widowControl/>
              <w:jc w:val="center"/>
              <w:rPr>
                <w:b/>
                <w:bCs/>
                <w:sz w:val="18"/>
                <w:szCs w:val="18"/>
              </w:rPr>
            </w:pPr>
            <w:r w:rsidRPr="00DE1B1D">
              <w:rPr>
                <w:b/>
                <w:bCs/>
                <w:sz w:val="18"/>
                <w:szCs w:val="18"/>
              </w:rPr>
              <w:t>CV (%)</w:t>
            </w:r>
          </w:p>
        </w:tc>
        <w:tc>
          <w:tcPr>
            <w:tcW w:w="991" w:type="dxa"/>
            <w:tcBorders>
              <w:top w:val="nil"/>
              <w:left w:val="nil"/>
              <w:bottom w:val="single" w:sz="4" w:space="0" w:color="000000"/>
              <w:right w:val="nil"/>
            </w:tcBorders>
            <w:vAlign w:val="center"/>
            <w:hideMark/>
          </w:tcPr>
          <w:p w14:paraId="648B9DD7" w14:textId="65EF8111" w:rsidR="00DE1B1D" w:rsidRPr="006C74A6" w:rsidRDefault="00DE1B1D" w:rsidP="00DE1B1D">
            <w:pPr>
              <w:widowControl/>
              <w:jc w:val="center"/>
              <w:rPr>
                <w:sz w:val="18"/>
                <w:szCs w:val="18"/>
              </w:rPr>
            </w:pPr>
            <w:r>
              <w:rPr>
                <w:sz w:val="18"/>
                <w:szCs w:val="18"/>
              </w:rPr>
              <w:t>-</w:t>
            </w:r>
          </w:p>
        </w:tc>
        <w:tc>
          <w:tcPr>
            <w:tcW w:w="2410" w:type="dxa"/>
            <w:tcBorders>
              <w:top w:val="nil"/>
              <w:left w:val="nil"/>
              <w:bottom w:val="single" w:sz="4" w:space="0" w:color="000000"/>
              <w:right w:val="nil"/>
            </w:tcBorders>
            <w:vAlign w:val="center"/>
            <w:hideMark/>
          </w:tcPr>
          <w:p w14:paraId="55D96257" w14:textId="2B620794" w:rsidR="00DE1B1D" w:rsidRPr="006C74A6" w:rsidRDefault="007B28D7" w:rsidP="00DE1B1D">
            <w:pPr>
              <w:widowControl/>
              <w:jc w:val="center"/>
              <w:rPr>
                <w:sz w:val="18"/>
                <w:szCs w:val="18"/>
              </w:rPr>
            </w:pPr>
            <w:r>
              <w:rPr>
                <w:sz w:val="18"/>
                <w:szCs w:val="18"/>
              </w:rPr>
              <w:t>14,15</w:t>
            </w:r>
          </w:p>
        </w:tc>
      </w:tr>
    </w:tbl>
    <w:p w14:paraId="08FCE41A" w14:textId="47F9C4DD" w:rsidR="006C74A6" w:rsidRPr="006C74A6" w:rsidRDefault="006C74A6" w:rsidP="006C74A6">
      <w:pPr>
        <w:widowControl/>
        <w:jc w:val="both"/>
        <w:rPr>
          <w:sz w:val="20"/>
          <w:szCs w:val="20"/>
        </w:rPr>
      </w:pPr>
      <w:r w:rsidRPr="006C74A6">
        <w:rPr>
          <w:sz w:val="20"/>
          <w:szCs w:val="20"/>
        </w:rPr>
        <w:t xml:space="preserve">Legenda: </w:t>
      </w:r>
      <w:r w:rsidR="007B28D7">
        <w:rPr>
          <w:sz w:val="20"/>
          <w:szCs w:val="20"/>
        </w:rPr>
        <w:t xml:space="preserve">NQ - </w:t>
      </w:r>
      <w:r w:rsidR="007A63EF" w:rsidRPr="007B28D7">
        <w:rPr>
          <w:sz w:val="20"/>
          <w:szCs w:val="20"/>
        </w:rPr>
        <w:t>NEOSSOLO QUARTZARÊNICO</w:t>
      </w:r>
      <w:r w:rsidR="007B28D7" w:rsidRPr="007B28D7">
        <w:rPr>
          <w:sz w:val="20"/>
          <w:szCs w:val="20"/>
        </w:rPr>
        <w:t xml:space="preserve">. GL são os graus de liberdade; CV é o coeficiente de variação; </w:t>
      </w:r>
      <w:proofErr w:type="spellStart"/>
      <w:r w:rsidR="007B28D7" w:rsidRPr="007B28D7">
        <w:rPr>
          <w:sz w:val="20"/>
          <w:szCs w:val="20"/>
        </w:rPr>
        <w:t>ns</w:t>
      </w:r>
      <w:proofErr w:type="spellEnd"/>
      <w:r w:rsidR="007B28D7" w:rsidRPr="007B28D7">
        <w:rPr>
          <w:sz w:val="20"/>
          <w:szCs w:val="20"/>
        </w:rPr>
        <w:t xml:space="preserve"> não 14,15 significativo.</w:t>
      </w:r>
    </w:p>
    <w:p w14:paraId="35D6CFD0" w14:textId="4BA58958" w:rsidR="006C74A6" w:rsidRDefault="006C74A6" w:rsidP="006C74A6">
      <w:pPr>
        <w:widowControl/>
        <w:jc w:val="both"/>
        <w:rPr>
          <w:sz w:val="20"/>
          <w:szCs w:val="20"/>
        </w:rPr>
      </w:pPr>
    </w:p>
    <w:p w14:paraId="20973D9D" w14:textId="456B71DE" w:rsidR="007B28D7" w:rsidRPr="006C74A6" w:rsidRDefault="007B28D7" w:rsidP="007B28D7">
      <w:pPr>
        <w:widowControl/>
        <w:jc w:val="both"/>
        <w:rPr>
          <w:sz w:val="20"/>
          <w:szCs w:val="20"/>
        </w:rPr>
      </w:pPr>
      <w:r w:rsidRPr="006C74A6">
        <w:rPr>
          <w:sz w:val="20"/>
          <w:szCs w:val="20"/>
        </w:rPr>
        <w:t xml:space="preserve">Tabela </w:t>
      </w:r>
      <w:r>
        <w:rPr>
          <w:sz w:val="20"/>
          <w:szCs w:val="20"/>
        </w:rPr>
        <w:t>2</w:t>
      </w:r>
      <w:r w:rsidRPr="006C74A6">
        <w:rPr>
          <w:sz w:val="20"/>
          <w:szCs w:val="20"/>
        </w:rPr>
        <w:t>.</w:t>
      </w:r>
      <w:r>
        <w:rPr>
          <w:sz w:val="20"/>
          <w:szCs w:val="20"/>
        </w:rPr>
        <w:t xml:space="preserve"> </w:t>
      </w:r>
      <w:r w:rsidRPr="007B28D7">
        <w:rPr>
          <w:sz w:val="20"/>
          <w:szCs w:val="20"/>
        </w:rPr>
        <w:t>Valores das médias de pH das colunas de solo.</w:t>
      </w:r>
    </w:p>
    <w:tbl>
      <w:tblPr>
        <w:tblW w:w="8217"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465"/>
        <w:gridCol w:w="1465"/>
        <w:gridCol w:w="2243"/>
        <w:gridCol w:w="1441"/>
        <w:gridCol w:w="1603"/>
      </w:tblGrid>
      <w:tr w:rsidR="0014544C" w14:paraId="29A77DE9" w14:textId="77777777" w:rsidTr="00925A81">
        <w:trPr>
          <w:trHeight w:val="227"/>
          <w:jc w:val="center"/>
        </w:trPr>
        <w:tc>
          <w:tcPr>
            <w:tcW w:w="8217" w:type="dxa"/>
            <w:gridSpan w:val="5"/>
            <w:tcBorders>
              <w:top w:val="single" w:sz="4" w:space="0" w:color="000000"/>
              <w:bottom w:val="single" w:sz="4" w:space="0" w:color="auto"/>
            </w:tcBorders>
          </w:tcPr>
          <w:p w14:paraId="32029F56" w14:textId="39E0C3C2" w:rsidR="0014544C" w:rsidRPr="007B28D7" w:rsidRDefault="0014544C" w:rsidP="007B28D7">
            <w:pPr>
              <w:widowControl/>
              <w:jc w:val="center"/>
              <w:rPr>
                <w:b/>
                <w:bCs/>
                <w:sz w:val="18"/>
                <w:szCs w:val="18"/>
              </w:rPr>
            </w:pPr>
            <w:r>
              <w:rPr>
                <w:b/>
                <w:bCs/>
                <w:sz w:val="18"/>
                <w:szCs w:val="18"/>
              </w:rPr>
              <w:t>Tratamentos</w:t>
            </w:r>
          </w:p>
        </w:tc>
      </w:tr>
      <w:tr w:rsidR="0014544C" w14:paraId="3670A02A" w14:textId="77777777" w:rsidTr="0014544C">
        <w:trPr>
          <w:trHeight w:val="227"/>
          <w:jc w:val="center"/>
        </w:trPr>
        <w:tc>
          <w:tcPr>
            <w:tcW w:w="1465" w:type="dxa"/>
            <w:tcBorders>
              <w:top w:val="single" w:sz="4" w:space="0" w:color="auto"/>
              <w:left w:val="nil"/>
              <w:bottom w:val="nil"/>
              <w:right w:val="nil"/>
            </w:tcBorders>
          </w:tcPr>
          <w:p w14:paraId="2904EA0F" w14:textId="77777777" w:rsidR="0014544C" w:rsidRDefault="0014544C" w:rsidP="0014544C">
            <w:pPr>
              <w:widowControl/>
              <w:jc w:val="center"/>
              <w:rPr>
                <w:b/>
                <w:sz w:val="18"/>
                <w:szCs w:val="18"/>
              </w:rPr>
            </w:pPr>
          </w:p>
        </w:tc>
        <w:tc>
          <w:tcPr>
            <w:tcW w:w="1465" w:type="dxa"/>
            <w:tcBorders>
              <w:top w:val="single" w:sz="4" w:space="0" w:color="auto"/>
              <w:left w:val="nil"/>
              <w:bottom w:val="nil"/>
              <w:right w:val="nil"/>
            </w:tcBorders>
            <w:vAlign w:val="center"/>
          </w:tcPr>
          <w:p w14:paraId="64495551" w14:textId="0E2B2A5D" w:rsidR="0014544C" w:rsidRDefault="0014544C" w:rsidP="0014544C">
            <w:pPr>
              <w:widowControl/>
              <w:jc w:val="center"/>
              <w:rPr>
                <w:b/>
                <w:sz w:val="18"/>
                <w:szCs w:val="18"/>
              </w:rPr>
            </w:pPr>
            <w:r>
              <w:rPr>
                <w:b/>
                <w:sz w:val="18"/>
                <w:szCs w:val="18"/>
              </w:rPr>
              <w:t>T0</w:t>
            </w:r>
          </w:p>
        </w:tc>
        <w:tc>
          <w:tcPr>
            <w:tcW w:w="2243" w:type="dxa"/>
            <w:tcBorders>
              <w:top w:val="single" w:sz="4" w:space="0" w:color="auto"/>
              <w:left w:val="nil"/>
              <w:bottom w:val="nil"/>
              <w:right w:val="nil"/>
            </w:tcBorders>
            <w:vAlign w:val="center"/>
          </w:tcPr>
          <w:p w14:paraId="6C5AEF0C" w14:textId="51D269C8" w:rsidR="0014544C" w:rsidRDefault="0014544C" w:rsidP="0014544C">
            <w:pPr>
              <w:widowControl/>
              <w:jc w:val="center"/>
              <w:rPr>
                <w:b/>
                <w:sz w:val="18"/>
                <w:szCs w:val="18"/>
              </w:rPr>
            </w:pPr>
            <w:r>
              <w:rPr>
                <w:b/>
                <w:sz w:val="18"/>
                <w:szCs w:val="18"/>
              </w:rPr>
              <w:t>T1</w:t>
            </w:r>
          </w:p>
        </w:tc>
        <w:tc>
          <w:tcPr>
            <w:tcW w:w="1441" w:type="dxa"/>
            <w:tcBorders>
              <w:top w:val="single" w:sz="4" w:space="0" w:color="auto"/>
              <w:left w:val="nil"/>
              <w:bottom w:val="nil"/>
              <w:right w:val="nil"/>
            </w:tcBorders>
            <w:vAlign w:val="center"/>
          </w:tcPr>
          <w:p w14:paraId="77918B67" w14:textId="419394CF" w:rsidR="0014544C" w:rsidRDefault="0014544C" w:rsidP="0014544C">
            <w:pPr>
              <w:widowControl/>
              <w:jc w:val="center"/>
              <w:rPr>
                <w:b/>
                <w:sz w:val="18"/>
                <w:szCs w:val="18"/>
              </w:rPr>
            </w:pPr>
            <w:r>
              <w:rPr>
                <w:b/>
                <w:sz w:val="18"/>
                <w:szCs w:val="18"/>
              </w:rPr>
              <w:t>T2</w:t>
            </w:r>
          </w:p>
        </w:tc>
        <w:tc>
          <w:tcPr>
            <w:tcW w:w="1603" w:type="dxa"/>
            <w:tcBorders>
              <w:top w:val="single" w:sz="4" w:space="0" w:color="auto"/>
              <w:left w:val="nil"/>
              <w:bottom w:val="nil"/>
              <w:right w:val="nil"/>
            </w:tcBorders>
            <w:vAlign w:val="center"/>
          </w:tcPr>
          <w:p w14:paraId="259DEBED" w14:textId="5A2A4914" w:rsidR="0014544C" w:rsidRDefault="0014544C" w:rsidP="0014544C">
            <w:pPr>
              <w:widowControl/>
              <w:jc w:val="center"/>
              <w:rPr>
                <w:b/>
                <w:sz w:val="18"/>
                <w:szCs w:val="18"/>
              </w:rPr>
            </w:pPr>
            <w:r>
              <w:rPr>
                <w:b/>
                <w:sz w:val="18"/>
                <w:szCs w:val="18"/>
              </w:rPr>
              <w:t>T3</w:t>
            </w:r>
          </w:p>
        </w:tc>
      </w:tr>
      <w:tr w:rsidR="0014544C" w14:paraId="443B017F" w14:textId="77777777" w:rsidTr="0014544C">
        <w:trPr>
          <w:trHeight w:val="227"/>
          <w:jc w:val="center"/>
        </w:trPr>
        <w:tc>
          <w:tcPr>
            <w:tcW w:w="1465" w:type="dxa"/>
            <w:tcBorders>
              <w:top w:val="nil"/>
            </w:tcBorders>
          </w:tcPr>
          <w:p w14:paraId="15867E7C" w14:textId="67218739" w:rsidR="0014544C" w:rsidRDefault="0014544C" w:rsidP="0014544C">
            <w:pPr>
              <w:widowControl/>
              <w:jc w:val="center"/>
              <w:rPr>
                <w:sz w:val="18"/>
                <w:szCs w:val="18"/>
              </w:rPr>
            </w:pPr>
            <w:r>
              <w:rPr>
                <w:sz w:val="18"/>
                <w:szCs w:val="18"/>
              </w:rPr>
              <w:t>Média</w:t>
            </w:r>
            <w:r w:rsidR="00F5617E">
              <w:rPr>
                <w:sz w:val="18"/>
                <w:szCs w:val="18"/>
              </w:rPr>
              <w:t>s</w:t>
            </w:r>
          </w:p>
        </w:tc>
        <w:tc>
          <w:tcPr>
            <w:tcW w:w="1465" w:type="dxa"/>
            <w:tcBorders>
              <w:top w:val="nil"/>
            </w:tcBorders>
            <w:vAlign w:val="center"/>
          </w:tcPr>
          <w:p w14:paraId="19961B0E" w14:textId="3C9404BC" w:rsidR="0014544C" w:rsidRDefault="0014544C" w:rsidP="0014544C">
            <w:pPr>
              <w:widowControl/>
              <w:jc w:val="center"/>
              <w:rPr>
                <w:sz w:val="18"/>
                <w:szCs w:val="18"/>
              </w:rPr>
            </w:pPr>
            <w:r>
              <w:rPr>
                <w:sz w:val="18"/>
                <w:szCs w:val="18"/>
              </w:rPr>
              <w:t>6,36</w:t>
            </w:r>
          </w:p>
        </w:tc>
        <w:tc>
          <w:tcPr>
            <w:tcW w:w="2243" w:type="dxa"/>
            <w:tcBorders>
              <w:top w:val="nil"/>
            </w:tcBorders>
            <w:vAlign w:val="center"/>
          </w:tcPr>
          <w:p w14:paraId="302D0E22" w14:textId="66CD4DAB" w:rsidR="0014544C" w:rsidRDefault="0014544C" w:rsidP="0014544C">
            <w:pPr>
              <w:widowControl/>
              <w:jc w:val="center"/>
              <w:rPr>
                <w:sz w:val="18"/>
                <w:szCs w:val="18"/>
              </w:rPr>
            </w:pPr>
            <w:r>
              <w:rPr>
                <w:sz w:val="18"/>
                <w:szCs w:val="18"/>
              </w:rPr>
              <w:t>6,67</w:t>
            </w:r>
          </w:p>
        </w:tc>
        <w:tc>
          <w:tcPr>
            <w:tcW w:w="1441" w:type="dxa"/>
            <w:tcBorders>
              <w:top w:val="nil"/>
            </w:tcBorders>
            <w:vAlign w:val="center"/>
          </w:tcPr>
          <w:p w14:paraId="1F2D6029" w14:textId="2B82B199" w:rsidR="0014544C" w:rsidRDefault="0014544C" w:rsidP="0014544C">
            <w:pPr>
              <w:widowControl/>
              <w:jc w:val="center"/>
              <w:rPr>
                <w:sz w:val="18"/>
                <w:szCs w:val="18"/>
              </w:rPr>
            </w:pPr>
            <w:r>
              <w:rPr>
                <w:sz w:val="18"/>
                <w:szCs w:val="18"/>
              </w:rPr>
              <w:t>6,66</w:t>
            </w:r>
          </w:p>
        </w:tc>
        <w:tc>
          <w:tcPr>
            <w:tcW w:w="1603" w:type="dxa"/>
            <w:tcBorders>
              <w:top w:val="nil"/>
            </w:tcBorders>
            <w:vAlign w:val="center"/>
          </w:tcPr>
          <w:p w14:paraId="5BED935B" w14:textId="46CBA7B3" w:rsidR="0014544C" w:rsidRDefault="0014544C" w:rsidP="0014544C">
            <w:pPr>
              <w:widowControl/>
              <w:jc w:val="center"/>
              <w:rPr>
                <w:sz w:val="18"/>
                <w:szCs w:val="18"/>
              </w:rPr>
            </w:pPr>
            <w:r>
              <w:rPr>
                <w:sz w:val="18"/>
                <w:szCs w:val="18"/>
              </w:rPr>
              <w:t>6,74</w:t>
            </w:r>
          </w:p>
        </w:tc>
      </w:tr>
    </w:tbl>
    <w:p w14:paraId="4CEE2811" w14:textId="77777777" w:rsidR="0014544C" w:rsidRPr="001A3659" w:rsidRDefault="0014544C" w:rsidP="006C74A6">
      <w:pPr>
        <w:widowControl/>
        <w:jc w:val="both"/>
        <w:rPr>
          <w:sz w:val="20"/>
          <w:szCs w:val="20"/>
        </w:rPr>
      </w:pPr>
    </w:p>
    <w:p w14:paraId="6699AC2F" w14:textId="77777777" w:rsidR="001A3659" w:rsidRPr="001A3659" w:rsidRDefault="001A3659" w:rsidP="001A3659">
      <w:pPr>
        <w:widowControl/>
        <w:ind w:firstLine="709"/>
        <w:jc w:val="both"/>
        <w:rPr>
          <w:sz w:val="20"/>
          <w:szCs w:val="20"/>
        </w:rPr>
      </w:pPr>
      <w:r w:rsidRPr="001A3659">
        <w:rPr>
          <w:sz w:val="20"/>
          <w:szCs w:val="20"/>
        </w:rPr>
        <w:t xml:space="preserve">Embora discreta, a elevação do pH nas granulometrias menores pode estar associada à maior lixiviação de partículas finas de carvão, conforme observado por </w:t>
      </w:r>
      <w:r w:rsidRPr="00433B13">
        <w:rPr>
          <w:sz w:val="20"/>
          <w:szCs w:val="20"/>
        </w:rPr>
        <w:t xml:space="preserve">Pamplona </w:t>
      </w:r>
      <w:r w:rsidRPr="00433B13">
        <w:rPr>
          <w:i/>
          <w:iCs/>
          <w:sz w:val="20"/>
          <w:szCs w:val="20"/>
        </w:rPr>
        <w:t>et al</w:t>
      </w:r>
      <w:r w:rsidRPr="00433B13">
        <w:rPr>
          <w:sz w:val="20"/>
          <w:szCs w:val="20"/>
        </w:rPr>
        <w:t xml:space="preserve">. (2015). </w:t>
      </w:r>
      <w:proofErr w:type="spellStart"/>
      <w:r w:rsidRPr="00433B13">
        <w:rPr>
          <w:sz w:val="20"/>
          <w:szCs w:val="20"/>
        </w:rPr>
        <w:t>Sohi</w:t>
      </w:r>
      <w:proofErr w:type="spellEnd"/>
      <w:r w:rsidRPr="00433B13">
        <w:rPr>
          <w:sz w:val="20"/>
          <w:szCs w:val="20"/>
        </w:rPr>
        <w:t xml:space="preserve"> </w:t>
      </w:r>
      <w:r w:rsidRPr="00433B13">
        <w:rPr>
          <w:i/>
          <w:iCs/>
          <w:sz w:val="20"/>
          <w:szCs w:val="20"/>
        </w:rPr>
        <w:t>et al</w:t>
      </w:r>
      <w:r w:rsidRPr="00433B13">
        <w:rPr>
          <w:sz w:val="20"/>
          <w:szCs w:val="20"/>
        </w:rPr>
        <w:t xml:space="preserve">. (2010) destacam que o efeito do </w:t>
      </w:r>
      <w:proofErr w:type="spellStart"/>
      <w:r w:rsidRPr="00433B13">
        <w:rPr>
          <w:sz w:val="20"/>
          <w:szCs w:val="20"/>
        </w:rPr>
        <w:t>biochar</w:t>
      </w:r>
      <w:proofErr w:type="spellEnd"/>
      <w:r w:rsidRPr="00433B13">
        <w:rPr>
          <w:sz w:val="20"/>
          <w:szCs w:val="20"/>
        </w:rPr>
        <w:t xml:space="preserve"> pode ser transitório, pois partículas finas se fragmentam rapidamente, reduzindo sua atuação ao </w:t>
      </w:r>
      <w:r w:rsidRPr="00433B13">
        <w:rPr>
          <w:sz w:val="20"/>
          <w:szCs w:val="20"/>
        </w:rPr>
        <w:lastRenderedPageBreak/>
        <w:t xml:space="preserve">longo do tempo. A diferença entre os resultados deste estudo e os de Pamplona </w:t>
      </w:r>
      <w:r w:rsidRPr="00433B13">
        <w:rPr>
          <w:i/>
          <w:iCs/>
          <w:sz w:val="20"/>
          <w:szCs w:val="20"/>
        </w:rPr>
        <w:t>et al</w:t>
      </w:r>
      <w:r w:rsidRPr="00433B13">
        <w:rPr>
          <w:sz w:val="20"/>
          <w:szCs w:val="20"/>
        </w:rPr>
        <w:t>. (2015),</w:t>
      </w:r>
      <w:r w:rsidRPr="001A3659">
        <w:rPr>
          <w:sz w:val="20"/>
          <w:szCs w:val="20"/>
        </w:rPr>
        <w:t xml:space="preserve"> que obteve pH médio de 8,40 em NEOSSOLO FLÚVICO, reforça que o tipo de solo interfere diretamente nos efeitos observados.</w:t>
      </w:r>
    </w:p>
    <w:p w14:paraId="306F743F" w14:textId="005B09F4" w:rsidR="001A3659" w:rsidRDefault="001A3659" w:rsidP="001A3659">
      <w:pPr>
        <w:widowControl/>
        <w:ind w:firstLine="709"/>
        <w:jc w:val="both"/>
        <w:rPr>
          <w:sz w:val="20"/>
          <w:szCs w:val="20"/>
        </w:rPr>
      </w:pPr>
      <w:r w:rsidRPr="001A3659">
        <w:rPr>
          <w:sz w:val="20"/>
          <w:szCs w:val="20"/>
        </w:rPr>
        <w:t xml:space="preserve">Em relação à capacidade de retenção de água (Tabela </w:t>
      </w:r>
      <w:r w:rsidR="00F5617E">
        <w:rPr>
          <w:sz w:val="20"/>
          <w:szCs w:val="20"/>
        </w:rPr>
        <w:t>3</w:t>
      </w:r>
      <w:r w:rsidRPr="001A3659">
        <w:rPr>
          <w:sz w:val="20"/>
          <w:szCs w:val="20"/>
        </w:rPr>
        <w:t xml:space="preserve">), observou-se diferença estatística significativa entre os tratamentos (p&lt;0,05), com destaque para as granulometrias menores. Os valores médios variaram de 14,95 g (T1 – 2 mm) a 15,27 g (T2 – 500 µm) (Tabela </w:t>
      </w:r>
      <w:r w:rsidR="00F5617E">
        <w:rPr>
          <w:sz w:val="20"/>
          <w:szCs w:val="20"/>
        </w:rPr>
        <w:t>4</w:t>
      </w:r>
      <w:r w:rsidRPr="001A3659">
        <w:rPr>
          <w:sz w:val="20"/>
          <w:szCs w:val="20"/>
        </w:rPr>
        <w:t xml:space="preserve">). </w:t>
      </w:r>
      <w:proofErr w:type="spellStart"/>
      <w:r w:rsidRPr="001A3659">
        <w:rPr>
          <w:sz w:val="20"/>
          <w:szCs w:val="20"/>
        </w:rPr>
        <w:t>Ulyett</w:t>
      </w:r>
      <w:proofErr w:type="spellEnd"/>
      <w:r w:rsidRPr="001A3659">
        <w:rPr>
          <w:sz w:val="20"/>
          <w:szCs w:val="20"/>
        </w:rPr>
        <w:t xml:space="preserve"> </w:t>
      </w:r>
      <w:r w:rsidRPr="006C74A6">
        <w:rPr>
          <w:i/>
          <w:iCs/>
          <w:sz w:val="20"/>
          <w:szCs w:val="20"/>
        </w:rPr>
        <w:t>et al</w:t>
      </w:r>
      <w:r w:rsidRPr="001A3659">
        <w:rPr>
          <w:sz w:val="20"/>
          <w:szCs w:val="20"/>
        </w:rPr>
        <w:t>. (2014) apontam que partículas menores que 2 mm tendem a apresentar melhor desempenho na retenção hídrica, especialmente em solos de textura arenosa, o que está de acordo com os resultados obtidos.</w:t>
      </w:r>
    </w:p>
    <w:p w14:paraId="577F6E88" w14:textId="77777777" w:rsidR="00F5617E" w:rsidRDefault="00F5617E" w:rsidP="00F5617E">
      <w:pPr>
        <w:widowControl/>
        <w:jc w:val="both"/>
        <w:rPr>
          <w:sz w:val="20"/>
          <w:szCs w:val="20"/>
        </w:rPr>
      </w:pPr>
    </w:p>
    <w:p w14:paraId="50C5D9BB" w14:textId="462182D7" w:rsidR="00F5617E" w:rsidRPr="006C74A6" w:rsidRDefault="00F5617E" w:rsidP="00F5617E">
      <w:pPr>
        <w:widowControl/>
        <w:jc w:val="both"/>
        <w:rPr>
          <w:sz w:val="20"/>
          <w:szCs w:val="20"/>
        </w:rPr>
      </w:pPr>
      <w:r w:rsidRPr="006C74A6">
        <w:rPr>
          <w:sz w:val="20"/>
          <w:szCs w:val="20"/>
        </w:rPr>
        <w:t xml:space="preserve">Tabela </w:t>
      </w:r>
      <w:r>
        <w:rPr>
          <w:sz w:val="20"/>
          <w:szCs w:val="20"/>
        </w:rPr>
        <w:t>3</w:t>
      </w:r>
      <w:r w:rsidRPr="006C74A6">
        <w:rPr>
          <w:sz w:val="20"/>
          <w:szCs w:val="20"/>
        </w:rPr>
        <w:t>.</w:t>
      </w:r>
      <w:r>
        <w:rPr>
          <w:sz w:val="20"/>
          <w:szCs w:val="20"/>
        </w:rPr>
        <w:t xml:space="preserve"> </w:t>
      </w:r>
      <w:r w:rsidRPr="00F5617E">
        <w:rPr>
          <w:sz w:val="20"/>
          <w:szCs w:val="20"/>
        </w:rPr>
        <w:t>Resultado da análise da variância entre granulometria e solo para a variável retenção de água.</w:t>
      </w:r>
    </w:p>
    <w:tbl>
      <w:tblPr>
        <w:tblW w:w="5954" w:type="dxa"/>
        <w:jc w:val="center"/>
        <w:tblBorders>
          <w:top w:val="single" w:sz="4" w:space="0" w:color="000000"/>
          <w:bottom w:val="single" w:sz="4" w:space="0" w:color="000000"/>
          <w:insideH w:val="nil"/>
          <w:insideV w:val="nil"/>
        </w:tblBorders>
        <w:tblLayout w:type="fixed"/>
        <w:tblLook w:val="04A0" w:firstRow="1" w:lastRow="0" w:firstColumn="1" w:lastColumn="0" w:noHBand="0" w:noVBand="1"/>
      </w:tblPr>
      <w:tblGrid>
        <w:gridCol w:w="2553"/>
        <w:gridCol w:w="991"/>
        <w:gridCol w:w="2410"/>
      </w:tblGrid>
      <w:tr w:rsidR="00F5617E" w:rsidRPr="006C74A6" w14:paraId="7132D674" w14:textId="77777777" w:rsidTr="00BF2F4B">
        <w:trPr>
          <w:trHeight w:val="227"/>
          <w:jc w:val="center"/>
        </w:trPr>
        <w:tc>
          <w:tcPr>
            <w:tcW w:w="2553" w:type="dxa"/>
            <w:tcBorders>
              <w:top w:val="single" w:sz="4" w:space="0" w:color="000000"/>
              <w:left w:val="nil"/>
              <w:bottom w:val="single" w:sz="4" w:space="0" w:color="000000"/>
              <w:right w:val="nil"/>
            </w:tcBorders>
            <w:vAlign w:val="center"/>
            <w:hideMark/>
          </w:tcPr>
          <w:p w14:paraId="513ECD80" w14:textId="77777777" w:rsidR="00F5617E" w:rsidRPr="006C74A6" w:rsidRDefault="00F5617E" w:rsidP="00BF2F4B">
            <w:pPr>
              <w:widowControl/>
              <w:jc w:val="center"/>
              <w:rPr>
                <w:sz w:val="18"/>
                <w:szCs w:val="18"/>
              </w:rPr>
            </w:pPr>
            <w:r>
              <w:rPr>
                <w:b/>
                <w:sz w:val="18"/>
                <w:szCs w:val="18"/>
              </w:rPr>
              <w:t>Causa de variação</w:t>
            </w:r>
          </w:p>
        </w:tc>
        <w:tc>
          <w:tcPr>
            <w:tcW w:w="991" w:type="dxa"/>
            <w:tcBorders>
              <w:top w:val="single" w:sz="4" w:space="0" w:color="000000"/>
              <w:left w:val="nil"/>
              <w:bottom w:val="single" w:sz="4" w:space="0" w:color="000000"/>
              <w:right w:val="nil"/>
            </w:tcBorders>
            <w:vAlign w:val="center"/>
            <w:hideMark/>
          </w:tcPr>
          <w:p w14:paraId="715E76EC" w14:textId="77777777" w:rsidR="00F5617E" w:rsidRPr="006C74A6" w:rsidRDefault="00F5617E" w:rsidP="00BF2F4B">
            <w:pPr>
              <w:widowControl/>
              <w:jc w:val="center"/>
              <w:rPr>
                <w:sz w:val="18"/>
                <w:szCs w:val="18"/>
              </w:rPr>
            </w:pPr>
            <w:r>
              <w:rPr>
                <w:b/>
                <w:sz w:val="18"/>
                <w:szCs w:val="18"/>
              </w:rPr>
              <w:t>GL</w:t>
            </w:r>
          </w:p>
        </w:tc>
        <w:tc>
          <w:tcPr>
            <w:tcW w:w="2410" w:type="dxa"/>
            <w:tcBorders>
              <w:top w:val="single" w:sz="4" w:space="0" w:color="000000"/>
              <w:left w:val="nil"/>
              <w:bottom w:val="single" w:sz="4" w:space="0" w:color="000000"/>
              <w:right w:val="nil"/>
            </w:tcBorders>
            <w:vAlign w:val="center"/>
            <w:hideMark/>
          </w:tcPr>
          <w:p w14:paraId="50052A41" w14:textId="77777777" w:rsidR="00F5617E" w:rsidRPr="006C74A6" w:rsidRDefault="00F5617E" w:rsidP="00BF2F4B">
            <w:pPr>
              <w:widowControl/>
              <w:jc w:val="center"/>
              <w:rPr>
                <w:sz w:val="18"/>
                <w:szCs w:val="18"/>
              </w:rPr>
            </w:pPr>
            <w:r>
              <w:rPr>
                <w:b/>
                <w:sz w:val="18"/>
                <w:szCs w:val="18"/>
              </w:rPr>
              <w:t>pH NQ</w:t>
            </w:r>
          </w:p>
        </w:tc>
      </w:tr>
      <w:tr w:rsidR="00F5617E" w:rsidRPr="006C74A6" w14:paraId="1C40AF6D" w14:textId="77777777" w:rsidTr="00BF2F4B">
        <w:trPr>
          <w:trHeight w:val="227"/>
          <w:jc w:val="center"/>
        </w:trPr>
        <w:tc>
          <w:tcPr>
            <w:tcW w:w="2553" w:type="dxa"/>
            <w:tcBorders>
              <w:top w:val="single" w:sz="4" w:space="0" w:color="000000"/>
              <w:left w:val="nil"/>
              <w:bottom w:val="nil"/>
              <w:right w:val="nil"/>
            </w:tcBorders>
            <w:vAlign w:val="center"/>
            <w:hideMark/>
          </w:tcPr>
          <w:p w14:paraId="465A0DFC" w14:textId="77777777" w:rsidR="00F5617E" w:rsidRPr="006C74A6" w:rsidRDefault="00F5617E" w:rsidP="00BF2F4B">
            <w:pPr>
              <w:widowControl/>
              <w:jc w:val="center"/>
              <w:rPr>
                <w:sz w:val="18"/>
                <w:szCs w:val="18"/>
              </w:rPr>
            </w:pPr>
          </w:p>
        </w:tc>
        <w:tc>
          <w:tcPr>
            <w:tcW w:w="991" w:type="dxa"/>
            <w:tcBorders>
              <w:top w:val="single" w:sz="4" w:space="0" w:color="000000"/>
              <w:left w:val="nil"/>
              <w:bottom w:val="nil"/>
              <w:right w:val="nil"/>
            </w:tcBorders>
            <w:vAlign w:val="center"/>
            <w:hideMark/>
          </w:tcPr>
          <w:p w14:paraId="07D7617B" w14:textId="77777777" w:rsidR="00F5617E" w:rsidRPr="006C74A6" w:rsidRDefault="00F5617E" w:rsidP="00BF2F4B">
            <w:pPr>
              <w:widowControl/>
              <w:jc w:val="center"/>
              <w:rPr>
                <w:sz w:val="18"/>
                <w:szCs w:val="18"/>
              </w:rPr>
            </w:pPr>
          </w:p>
        </w:tc>
        <w:tc>
          <w:tcPr>
            <w:tcW w:w="2410" w:type="dxa"/>
            <w:tcBorders>
              <w:top w:val="single" w:sz="4" w:space="0" w:color="000000"/>
              <w:left w:val="nil"/>
              <w:bottom w:val="nil"/>
              <w:right w:val="nil"/>
            </w:tcBorders>
            <w:vAlign w:val="center"/>
            <w:hideMark/>
          </w:tcPr>
          <w:p w14:paraId="6CC3527E" w14:textId="77777777" w:rsidR="00F5617E" w:rsidRPr="006C74A6" w:rsidRDefault="00F5617E" w:rsidP="00BF2F4B">
            <w:pPr>
              <w:widowControl/>
              <w:jc w:val="center"/>
              <w:rPr>
                <w:b/>
                <w:bCs/>
                <w:sz w:val="18"/>
                <w:szCs w:val="18"/>
              </w:rPr>
            </w:pPr>
            <w:r w:rsidRPr="00DE1B1D">
              <w:rPr>
                <w:b/>
                <w:bCs/>
                <w:sz w:val="18"/>
                <w:szCs w:val="18"/>
              </w:rPr>
              <w:t>Quadrado Médio</w:t>
            </w:r>
          </w:p>
        </w:tc>
      </w:tr>
      <w:tr w:rsidR="00F5617E" w:rsidRPr="006C74A6" w14:paraId="6A73A083" w14:textId="77777777" w:rsidTr="00BF2F4B">
        <w:trPr>
          <w:trHeight w:val="227"/>
          <w:jc w:val="center"/>
        </w:trPr>
        <w:tc>
          <w:tcPr>
            <w:tcW w:w="2553" w:type="dxa"/>
            <w:tcBorders>
              <w:top w:val="nil"/>
              <w:left w:val="nil"/>
              <w:bottom w:val="nil"/>
              <w:right w:val="nil"/>
            </w:tcBorders>
            <w:vAlign w:val="center"/>
            <w:hideMark/>
          </w:tcPr>
          <w:p w14:paraId="7896A19D" w14:textId="77777777" w:rsidR="00F5617E" w:rsidRPr="006C74A6" w:rsidRDefault="00F5617E" w:rsidP="00BF2F4B">
            <w:pPr>
              <w:widowControl/>
              <w:jc w:val="center"/>
              <w:rPr>
                <w:b/>
                <w:bCs/>
                <w:sz w:val="18"/>
                <w:szCs w:val="18"/>
              </w:rPr>
            </w:pPr>
            <w:r w:rsidRPr="00DE1B1D">
              <w:rPr>
                <w:b/>
                <w:bCs/>
                <w:sz w:val="18"/>
                <w:szCs w:val="18"/>
              </w:rPr>
              <w:t>Granulometria</w:t>
            </w:r>
          </w:p>
        </w:tc>
        <w:tc>
          <w:tcPr>
            <w:tcW w:w="991" w:type="dxa"/>
            <w:tcBorders>
              <w:top w:val="nil"/>
              <w:left w:val="nil"/>
              <w:bottom w:val="nil"/>
              <w:right w:val="nil"/>
            </w:tcBorders>
            <w:vAlign w:val="center"/>
            <w:hideMark/>
          </w:tcPr>
          <w:p w14:paraId="45C30D01" w14:textId="77777777" w:rsidR="00F5617E" w:rsidRPr="006C74A6" w:rsidRDefault="00F5617E" w:rsidP="00BF2F4B">
            <w:pPr>
              <w:widowControl/>
              <w:jc w:val="center"/>
              <w:rPr>
                <w:sz w:val="18"/>
                <w:szCs w:val="18"/>
              </w:rPr>
            </w:pPr>
            <w:r>
              <w:rPr>
                <w:sz w:val="18"/>
                <w:szCs w:val="18"/>
              </w:rPr>
              <w:t>2</w:t>
            </w:r>
          </w:p>
          <w:p w14:paraId="66D6BAB3" w14:textId="77777777" w:rsidR="00F5617E" w:rsidRPr="006C74A6" w:rsidRDefault="00F5617E" w:rsidP="00BF2F4B">
            <w:pPr>
              <w:widowControl/>
              <w:jc w:val="center"/>
              <w:rPr>
                <w:sz w:val="18"/>
                <w:szCs w:val="18"/>
              </w:rPr>
            </w:pPr>
          </w:p>
        </w:tc>
        <w:tc>
          <w:tcPr>
            <w:tcW w:w="2410" w:type="dxa"/>
            <w:tcBorders>
              <w:top w:val="nil"/>
              <w:left w:val="nil"/>
              <w:bottom w:val="nil"/>
              <w:right w:val="nil"/>
            </w:tcBorders>
            <w:vAlign w:val="center"/>
            <w:hideMark/>
          </w:tcPr>
          <w:p w14:paraId="56C54EFA" w14:textId="46AB6BF7" w:rsidR="00F5617E" w:rsidRPr="006C74A6" w:rsidRDefault="00F5617E" w:rsidP="00BF2F4B">
            <w:pPr>
              <w:widowControl/>
              <w:jc w:val="center"/>
              <w:rPr>
                <w:sz w:val="18"/>
                <w:szCs w:val="18"/>
              </w:rPr>
            </w:pPr>
            <w:r>
              <w:rPr>
                <w:sz w:val="18"/>
                <w:szCs w:val="18"/>
              </w:rPr>
              <w:t>0,186*</w:t>
            </w:r>
          </w:p>
        </w:tc>
      </w:tr>
      <w:tr w:rsidR="00F5617E" w:rsidRPr="006C74A6" w14:paraId="72EB4148" w14:textId="77777777" w:rsidTr="00BF2F4B">
        <w:trPr>
          <w:trHeight w:val="227"/>
          <w:jc w:val="center"/>
        </w:trPr>
        <w:tc>
          <w:tcPr>
            <w:tcW w:w="2553" w:type="dxa"/>
            <w:tcBorders>
              <w:top w:val="nil"/>
              <w:left w:val="nil"/>
              <w:bottom w:val="nil"/>
              <w:right w:val="nil"/>
            </w:tcBorders>
            <w:vAlign w:val="center"/>
            <w:hideMark/>
          </w:tcPr>
          <w:p w14:paraId="70E1BDAB" w14:textId="77777777" w:rsidR="00F5617E" w:rsidRPr="006C74A6" w:rsidRDefault="00F5617E" w:rsidP="00BF2F4B">
            <w:pPr>
              <w:widowControl/>
              <w:jc w:val="center"/>
              <w:rPr>
                <w:b/>
                <w:bCs/>
                <w:sz w:val="18"/>
                <w:szCs w:val="18"/>
              </w:rPr>
            </w:pPr>
            <w:r w:rsidRPr="00DE1B1D">
              <w:rPr>
                <w:b/>
                <w:bCs/>
                <w:sz w:val="18"/>
                <w:szCs w:val="18"/>
              </w:rPr>
              <w:t>Resíduo</w:t>
            </w:r>
          </w:p>
        </w:tc>
        <w:tc>
          <w:tcPr>
            <w:tcW w:w="991" w:type="dxa"/>
            <w:tcBorders>
              <w:top w:val="nil"/>
              <w:left w:val="nil"/>
              <w:bottom w:val="nil"/>
              <w:right w:val="nil"/>
            </w:tcBorders>
            <w:vAlign w:val="center"/>
            <w:hideMark/>
          </w:tcPr>
          <w:p w14:paraId="1F364188" w14:textId="77777777" w:rsidR="00F5617E" w:rsidRPr="006C74A6" w:rsidRDefault="00F5617E" w:rsidP="00BF2F4B">
            <w:pPr>
              <w:widowControl/>
              <w:jc w:val="center"/>
              <w:rPr>
                <w:sz w:val="18"/>
                <w:szCs w:val="18"/>
              </w:rPr>
            </w:pPr>
            <w:r>
              <w:rPr>
                <w:sz w:val="18"/>
                <w:szCs w:val="18"/>
              </w:rPr>
              <w:t>6</w:t>
            </w:r>
          </w:p>
        </w:tc>
        <w:tc>
          <w:tcPr>
            <w:tcW w:w="2410" w:type="dxa"/>
            <w:tcBorders>
              <w:top w:val="nil"/>
              <w:left w:val="nil"/>
              <w:bottom w:val="nil"/>
              <w:right w:val="nil"/>
            </w:tcBorders>
            <w:vAlign w:val="center"/>
            <w:hideMark/>
          </w:tcPr>
          <w:p w14:paraId="7F7CD458" w14:textId="549C0033" w:rsidR="00F5617E" w:rsidRPr="006C74A6" w:rsidRDefault="00F5617E" w:rsidP="00BF2F4B">
            <w:pPr>
              <w:widowControl/>
              <w:jc w:val="center"/>
              <w:rPr>
                <w:sz w:val="18"/>
                <w:szCs w:val="18"/>
              </w:rPr>
            </w:pPr>
            <w:r>
              <w:rPr>
                <w:sz w:val="18"/>
                <w:szCs w:val="18"/>
              </w:rPr>
              <w:t>38,24</w:t>
            </w:r>
          </w:p>
        </w:tc>
      </w:tr>
      <w:tr w:rsidR="00F5617E" w:rsidRPr="006C74A6" w14:paraId="4CA9DE7D" w14:textId="77777777" w:rsidTr="00BF2F4B">
        <w:trPr>
          <w:trHeight w:val="227"/>
          <w:jc w:val="center"/>
        </w:trPr>
        <w:tc>
          <w:tcPr>
            <w:tcW w:w="2553" w:type="dxa"/>
            <w:tcBorders>
              <w:top w:val="nil"/>
              <w:left w:val="nil"/>
              <w:bottom w:val="nil"/>
              <w:right w:val="nil"/>
            </w:tcBorders>
            <w:vAlign w:val="center"/>
            <w:hideMark/>
          </w:tcPr>
          <w:p w14:paraId="4634572D" w14:textId="77777777" w:rsidR="00F5617E" w:rsidRPr="006C74A6" w:rsidRDefault="00F5617E" w:rsidP="00BF2F4B">
            <w:pPr>
              <w:widowControl/>
              <w:jc w:val="center"/>
              <w:rPr>
                <w:b/>
                <w:bCs/>
                <w:sz w:val="18"/>
                <w:szCs w:val="18"/>
              </w:rPr>
            </w:pPr>
            <w:r w:rsidRPr="00DE1B1D">
              <w:rPr>
                <w:b/>
                <w:bCs/>
                <w:sz w:val="18"/>
                <w:szCs w:val="18"/>
              </w:rPr>
              <w:t>Total</w:t>
            </w:r>
          </w:p>
        </w:tc>
        <w:tc>
          <w:tcPr>
            <w:tcW w:w="991" w:type="dxa"/>
            <w:tcBorders>
              <w:top w:val="nil"/>
              <w:left w:val="nil"/>
              <w:bottom w:val="nil"/>
              <w:right w:val="nil"/>
            </w:tcBorders>
            <w:vAlign w:val="center"/>
            <w:hideMark/>
          </w:tcPr>
          <w:p w14:paraId="6101221A" w14:textId="77777777" w:rsidR="00F5617E" w:rsidRPr="006C74A6" w:rsidRDefault="00F5617E" w:rsidP="00BF2F4B">
            <w:pPr>
              <w:widowControl/>
              <w:jc w:val="center"/>
              <w:rPr>
                <w:sz w:val="18"/>
                <w:szCs w:val="18"/>
              </w:rPr>
            </w:pPr>
            <w:r>
              <w:rPr>
                <w:sz w:val="18"/>
                <w:szCs w:val="18"/>
              </w:rPr>
              <w:t>8</w:t>
            </w:r>
          </w:p>
        </w:tc>
        <w:tc>
          <w:tcPr>
            <w:tcW w:w="2410" w:type="dxa"/>
            <w:tcBorders>
              <w:top w:val="nil"/>
              <w:left w:val="nil"/>
              <w:bottom w:val="nil"/>
              <w:right w:val="nil"/>
            </w:tcBorders>
            <w:vAlign w:val="center"/>
            <w:hideMark/>
          </w:tcPr>
          <w:p w14:paraId="0386279A" w14:textId="7FC07E37" w:rsidR="00F5617E" w:rsidRPr="006C74A6" w:rsidRDefault="00F5617E" w:rsidP="00F5617E">
            <w:pPr>
              <w:widowControl/>
              <w:jc w:val="center"/>
              <w:rPr>
                <w:sz w:val="18"/>
                <w:szCs w:val="18"/>
              </w:rPr>
            </w:pPr>
            <w:r>
              <w:rPr>
                <w:sz w:val="18"/>
                <w:szCs w:val="18"/>
              </w:rPr>
              <w:t>-</w:t>
            </w:r>
          </w:p>
        </w:tc>
      </w:tr>
      <w:tr w:rsidR="00F5617E" w:rsidRPr="006C74A6" w14:paraId="57FCE4B7" w14:textId="77777777" w:rsidTr="00BF2F4B">
        <w:trPr>
          <w:trHeight w:val="227"/>
          <w:jc w:val="center"/>
        </w:trPr>
        <w:tc>
          <w:tcPr>
            <w:tcW w:w="2553" w:type="dxa"/>
            <w:tcBorders>
              <w:top w:val="nil"/>
              <w:left w:val="nil"/>
              <w:bottom w:val="nil"/>
              <w:right w:val="nil"/>
            </w:tcBorders>
            <w:vAlign w:val="center"/>
            <w:hideMark/>
          </w:tcPr>
          <w:p w14:paraId="2BC94D4F" w14:textId="77777777" w:rsidR="00F5617E" w:rsidRPr="006C74A6" w:rsidRDefault="00F5617E" w:rsidP="00BF2F4B">
            <w:pPr>
              <w:widowControl/>
              <w:jc w:val="center"/>
              <w:rPr>
                <w:b/>
                <w:bCs/>
                <w:sz w:val="18"/>
                <w:szCs w:val="18"/>
              </w:rPr>
            </w:pPr>
            <w:r w:rsidRPr="00DE1B1D">
              <w:rPr>
                <w:b/>
                <w:bCs/>
                <w:sz w:val="18"/>
                <w:szCs w:val="18"/>
              </w:rPr>
              <w:t>Média</w:t>
            </w:r>
          </w:p>
        </w:tc>
        <w:tc>
          <w:tcPr>
            <w:tcW w:w="991" w:type="dxa"/>
            <w:tcBorders>
              <w:top w:val="nil"/>
              <w:left w:val="nil"/>
              <w:bottom w:val="nil"/>
              <w:right w:val="nil"/>
            </w:tcBorders>
            <w:vAlign w:val="center"/>
            <w:hideMark/>
          </w:tcPr>
          <w:p w14:paraId="64A798C1" w14:textId="77777777" w:rsidR="00F5617E" w:rsidRPr="006C74A6" w:rsidRDefault="00F5617E" w:rsidP="00BF2F4B">
            <w:pPr>
              <w:widowControl/>
              <w:jc w:val="center"/>
              <w:rPr>
                <w:sz w:val="18"/>
                <w:szCs w:val="18"/>
              </w:rPr>
            </w:pPr>
            <w:r>
              <w:rPr>
                <w:sz w:val="18"/>
                <w:szCs w:val="18"/>
              </w:rPr>
              <w:t>-</w:t>
            </w:r>
          </w:p>
        </w:tc>
        <w:tc>
          <w:tcPr>
            <w:tcW w:w="2410" w:type="dxa"/>
            <w:tcBorders>
              <w:top w:val="nil"/>
              <w:left w:val="nil"/>
              <w:bottom w:val="nil"/>
              <w:right w:val="nil"/>
            </w:tcBorders>
            <w:vAlign w:val="center"/>
            <w:hideMark/>
          </w:tcPr>
          <w:p w14:paraId="0C9C01C7" w14:textId="4531F032" w:rsidR="00F5617E" w:rsidRPr="006C74A6" w:rsidRDefault="00F5617E" w:rsidP="00BF2F4B">
            <w:pPr>
              <w:widowControl/>
              <w:jc w:val="center"/>
              <w:rPr>
                <w:sz w:val="18"/>
                <w:szCs w:val="18"/>
              </w:rPr>
            </w:pPr>
            <w:r>
              <w:rPr>
                <w:sz w:val="18"/>
                <w:szCs w:val="18"/>
              </w:rPr>
              <w:t>15,15</w:t>
            </w:r>
          </w:p>
        </w:tc>
      </w:tr>
      <w:tr w:rsidR="00F5617E" w:rsidRPr="006C74A6" w14:paraId="147C9420" w14:textId="77777777" w:rsidTr="00BF2F4B">
        <w:trPr>
          <w:trHeight w:val="227"/>
          <w:jc w:val="center"/>
        </w:trPr>
        <w:tc>
          <w:tcPr>
            <w:tcW w:w="2553" w:type="dxa"/>
            <w:tcBorders>
              <w:top w:val="nil"/>
              <w:left w:val="nil"/>
              <w:bottom w:val="single" w:sz="4" w:space="0" w:color="000000"/>
              <w:right w:val="nil"/>
            </w:tcBorders>
            <w:vAlign w:val="center"/>
            <w:hideMark/>
          </w:tcPr>
          <w:p w14:paraId="1BDF2DE1" w14:textId="77777777" w:rsidR="00F5617E" w:rsidRPr="006C74A6" w:rsidRDefault="00F5617E" w:rsidP="00BF2F4B">
            <w:pPr>
              <w:widowControl/>
              <w:jc w:val="center"/>
              <w:rPr>
                <w:b/>
                <w:bCs/>
                <w:sz w:val="18"/>
                <w:szCs w:val="18"/>
              </w:rPr>
            </w:pPr>
            <w:r w:rsidRPr="00DE1B1D">
              <w:rPr>
                <w:b/>
                <w:bCs/>
                <w:sz w:val="18"/>
                <w:szCs w:val="18"/>
              </w:rPr>
              <w:t>CV (%)</w:t>
            </w:r>
          </w:p>
        </w:tc>
        <w:tc>
          <w:tcPr>
            <w:tcW w:w="991" w:type="dxa"/>
            <w:tcBorders>
              <w:top w:val="nil"/>
              <w:left w:val="nil"/>
              <w:bottom w:val="single" w:sz="4" w:space="0" w:color="000000"/>
              <w:right w:val="nil"/>
            </w:tcBorders>
            <w:vAlign w:val="center"/>
            <w:hideMark/>
          </w:tcPr>
          <w:p w14:paraId="5BEFCBB5" w14:textId="77777777" w:rsidR="00F5617E" w:rsidRPr="006C74A6" w:rsidRDefault="00F5617E" w:rsidP="00BF2F4B">
            <w:pPr>
              <w:widowControl/>
              <w:jc w:val="center"/>
              <w:rPr>
                <w:sz w:val="18"/>
                <w:szCs w:val="18"/>
              </w:rPr>
            </w:pPr>
            <w:r>
              <w:rPr>
                <w:sz w:val="18"/>
                <w:szCs w:val="18"/>
              </w:rPr>
              <w:t>-</w:t>
            </w:r>
          </w:p>
        </w:tc>
        <w:tc>
          <w:tcPr>
            <w:tcW w:w="2410" w:type="dxa"/>
            <w:tcBorders>
              <w:top w:val="nil"/>
              <w:left w:val="nil"/>
              <w:bottom w:val="single" w:sz="4" w:space="0" w:color="000000"/>
              <w:right w:val="nil"/>
            </w:tcBorders>
            <w:vAlign w:val="center"/>
            <w:hideMark/>
          </w:tcPr>
          <w:p w14:paraId="1966B6B9" w14:textId="5959F7DA" w:rsidR="00F5617E" w:rsidRPr="006C74A6" w:rsidRDefault="00F5617E" w:rsidP="00BF2F4B">
            <w:pPr>
              <w:widowControl/>
              <w:jc w:val="center"/>
              <w:rPr>
                <w:sz w:val="18"/>
                <w:szCs w:val="18"/>
              </w:rPr>
            </w:pPr>
            <w:r>
              <w:rPr>
                <w:sz w:val="18"/>
                <w:szCs w:val="18"/>
              </w:rPr>
              <w:t>40,81</w:t>
            </w:r>
          </w:p>
        </w:tc>
      </w:tr>
    </w:tbl>
    <w:p w14:paraId="0A4B5CF4" w14:textId="62AD2944" w:rsidR="00F5617E" w:rsidRPr="006C74A6" w:rsidRDefault="00F5617E" w:rsidP="00F5617E">
      <w:pPr>
        <w:widowControl/>
        <w:jc w:val="both"/>
        <w:rPr>
          <w:sz w:val="20"/>
          <w:szCs w:val="20"/>
        </w:rPr>
      </w:pPr>
      <w:r w:rsidRPr="006C74A6">
        <w:rPr>
          <w:sz w:val="20"/>
          <w:szCs w:val="20"/>
        </w:rPr>
        <w:t xml:space="preserve">Legenda: </w:t>
      </w:r>
      <w:r w:rsidRPr="00F5617E">
        <w:rPr>
          <w:sz w:val="20"/>
          <w:szCs w:val="20"/>
        </w:rPr>
        <w:t xml:space="preserve">NQ: </w:t>
      </w:r>
      <w:r w:rsidR="007A63EF" w:rsidRPr="00F5617E">
        <w:rPr>
          <w:sz w:val="20"/>
          <w:szCs w:val="20"/>
        </w:rPr>
        <w:t>NEOSSOLO QUARTZARÊNICO</w:t>
      </w:r>
      <w:r w:rsidRPr="00F5617E">
        <w:rPr>
          <w:sz w:val="20"/>
          <w:szCs w:val="20"/>
        </w:rPr>
        <w:t>. GL são os graus de liberdade; CV é o coeficiente de variação; *significativo</w:t>
      </w:r>
      <w:r>
        <w:rPr>
          <w:sz w:val="20"/>
          <w:szCs w:val="20"/>
        </w:rPr>
        <w:t xml:space="preserve"> </w:t>
      </w:r>
      <w:r w:rsidRPr="00F5617E">
        <w:rPr>
          <w:sz w:val="20"/>
          <w:szCs w:val="20"/>
        </w:rPr>
        <w:t>(p&lt;0,05).</w:t>
      </w:r>
    </w:p>
    <w:p w14:paraId="3F44E304" w14:textId="77777777" w:rsidR="00F5617E" w:rsidRDefault="00F5617E" w:rsidP="00F5617E">
      <w:pPr>
        <w:widowControl/>
        <w:jc w:val="both"/>
        <w:rPr>
          <w:sz w:val="20"/>
          <w:szCs w:val="20"/>
        </w:rPr>
      </w:pPr>
    </w:p>
    <w:p w14:paraId="70BE3F73" w14:textId="0B35AE25" w:rsidR="00F5617E" w:rsidRPr="006C74A6" w:rsidRDefault="00F5617E" w:rsidP="00F5617E">
      <w:pPr>
        <w:widowControl/>
        <w:jc w:val="both"/>
        <w:rPr>
          <w:sz w:val="20"/>
          <w:szCs w:val="20"/>
        </w:rPr>
      </w:pPr>
      <w:r w:rsidRPr="006C74A6">
        <w:rPr>
          <w:sz w:val="20"/>
          <w:szCs w:val="20"/>
        </w:rPr>
        <w:t xml:space="preserve">Tabela </w:t>
      </w:r>
      <w:r>
        <w:rPr>
          <w:sz w:val="20"/>
          <w:szCs w:val="20"/>
        </w:rPr>
        <w:t>4</w:t>
      </w:r>
      <w:r w:rsidRPr="006C74A6">
        <w:rPr>
          <w:sz w:val="20"/>
          <w:szCs w:val="20"/>
        </w:rPr>
        <w:t>.</w:t>
      </w:r>
      <w:r>
        <w:rPr>
          <w:sz w:val="20"/>
          <w:szCs w:val="20"/>
        </w:rPr>
        <w:t xml:space="preserve"> </w:t>
      </w:r>
      <w:r w:rsidRPr="007B28D7">
        <w:rPr>
          <w:sz w:val="20"/>
          <w:szCs w:val="20"/>
        </w:rPr>
        <w:t>Valores das médias de pH das colunas de solo.</w:t>
      </w:r>
    </w:p>
    <w:tbl>
      <w:tblPr>
        <w:tblW w:w="8217"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465"/>
        <w:gridCol w:w="1465"/>
        <w:gridCol w:w="2243"/>
        <w:gridCol w:w="1441"/>
        <w:gridCol w:w="1603"/>
      </w:tblGrid>
      <w:tr w:rsidR="00F5617E" w14:paraId="6B3A274B" w14:textId="77777777" w:rsidTr="00BF2F4B">
        <w:trPr>
          <w:trHeight w:val="227"/>
          <w:jc w:val="center"/>
        </w:trPr>
        <w:tc>
          <w:tcPr>
            <w:tcW w:w="8217" w:type="dxa"/>
            <w:gridSpan w:val="5"/>
            <w:tcBorders>
              <w:top w:val="single" w:sz="4" w:space="0" w:color="000000"/>
              <w:bottom w:val="single" w:sz="4" w:space="0" w:color="auto"/>
            </w:tcBorders>
          </w:tcPr>
          <w:p w14:paraId="4D951457" w14:textId="77777777" w:rsidR="00F5617E" w:rsidRPr="007B28D7" w:rsidRDefault="00F5617E" w:rsidP="00BF2F4B">
            <w:pPr>
              <w:widowControl/>
              <w:jc w:val="center"/>
              <w:rPr>
                <w:b/>
                <w:bCs/>
                <w:sz w:val="18"/>
                <w:szCs w:val="18"/>
              </w:rPr>
            </w:pPr>
            <w:r>
              <w:rPr>
                <w:b/>
                <w:bCs/>
                <w:sz w:val="18"/>
                <w:szCs w:val="18"/>
              </w:rPr>
              <w:t>Tratamentos</w:t>
            </w:r>
          </w:p>
        </w:tc>
      </w:tr>
      <w:tr w:rsidR="00F5617E" w14:paraId="449E0212" w14:textId="77777777" w:rsidTr="00BF2F4B">
        <w:trPr>
          <w:trHeight w:val="227"/>
          <w:jc w:val="center"/>
        </w:trPr>
        <w:tc>
          <w:tcPr>
            <w:tcW w:w="1465" w:type="dxa"/>
            <w:tcBorders>
              <w:top w:val="single" w:sz="4" w:space="0" w:color="auto"/>
              <w:left w:val="nil"/>
              <w:bottom w:val="nil"/>
              <w:right w:val="nil"/>
            </w:tcBorders>
          </w:tcPr>
          <w:p w14:paraId="31025259" w14:textId="77777777" w:rsidR="00F5617E" w:rsidRDefault="00F5617E" w:rsidP="00BF2F4B">
            <w:pPr>
              <w:widowControl/>
              <w:jc w:val="center"/>
              <w:rPr>
                <w:b/>
                <w:sz w:val="18"/>
                <w:szCs w:val="18"/>
              </w:rPr>
            </w:pPr>
          </w:p>
        </w:tc>
        <w:tc>
          <w:tcPr>
            <w:tcW w:w="1465" w:type="dxa"/>
            <w:tcBorders>
              <w:top w:val="single" w:sz="4" w:space="0" w:color="auto"/>
              <w:left w:val="nil"/>
              <w:bottom w:val="nil"/>
              <w:right w:val="nil"/>
            </w:tcBorders>
            <w:vAlign w:val="center"/>
          </w:tcPr>
          <w:p w14:paraId="411DDB9A" w14:textId="77777777" w:rsidR="00F5617E" w:rsidRDefault="00F5617E" w:rsidP="00BF2F4B">
            <w:pPr>
              <w:widowControl/>
              <w:jc w:val="center"/>
              <w:rPr>
                <w:b/>
                <w:sz w:val="18"/>
                <w:szCs w:val="18"/>
              </w:rPr>
            </w:pPr>
            <w:r>
              <w:rPr>
                <w:b/>
                <w:sz w:val="18"/>
                <w:szCs w:val="18"/>
              </w:rPr>
              <w:t>T0</w:t>
            </w:r>
          </w:p>
        </w:tc>
        <w:tc>
          <w:tcPr>
            <w:tcW w:w="2243" w:type="dxa"/>
            <w:tcBorders>
              <w:top w:val="single" w:sz="4" w:space="0" w:color="auto"/>
              <w:left w:val="nil"/>
              <w:bottom w:val="nil"/>
              <w:right w:val="nil"/>
            </w:tcBorders>
            <w:vAlign w:val="center"/>
          </w:tcPr>
          <w:p w14:paraId="317E706C" w14:textId="77777777" w:rsidR="00F5617E" w:rsidRDefault="00F5617E" w:rsidP="00BF2F4B">
            <w:pPr>
              <w:widowControl/>
              <w:jc w:val="center"/>
              <w:rPr>
                <w:b/>
                <w:sz w:val="18"/>
                <w:szCs w:val="18"/>
              </w:rPr>
            </w:pPr>
            <w:r>
              <w:rPr>
                <w:b/>
                <w:sz w:val="18"/>
                <w:szCs w:val="18"/>
              </w:rPr>
              <w:t>T1</w:t>
            </w:r>
          </w:p>
        </w:tc>
        <w:tc>
          <w:tcPr>
            <w:tcW w:w="1441" w:type="dxa"/>
            <w:tcBorders>
              <w:top w:val="single" w:sz="4" w:space="0" w:color="auto"/>
              <w:left w:val="nil"/>
              <w:bottom w:val="nil"/>
              <w:right w:val="nil"/>
            </w:tcBorders>
            <w:vAlign w:val="center"/>
          </w:tcPr>
          <w:p w14:paraId="5AABB207" w14:textId="77777777" w:rsidR="00F5617E" w:rsidRDefault="00F5617E" w:rsidP="00BF2F4B">
            <w:pPr>
              <w:widowControl/>
              <w:jc w:val="center"/>
              <w:rPr>
                <w:b/>
                <w:sz w:val="18"/>
                <w:szCs w:val="18"/>
              </w:rPr>
            </w:pPr>
            <w:r>
              <w:rPr>
                <w:b/>
                <w:sz w:val="18"/>
                <w:szCs w:val="18"/>
              </w:rPr>
              <w:t>T2</w:t>
            </w:r>
          </w:p>
        </w:tc>
        <w:tc>
          <w:tcPr>
            <w:tcW w:w="1603" w:type="dxa"/>
            <w:tcBorders>
              <w:top w:val="single" w:sz="4" w:space="0" w:color="auto"/>
              <w:left w:val="nil"/>
              <w:bottom w:val="nil"/>
              <w:right w:val="nil"/>
            </w:tcBorders>
            <w:vAlign w:val="center"/>
          </w:tcPr>
          <w:p w14:paraId="07D9ABBC" w14:textId="77777777" w:rsidR="00F5617E" w:rsidRDefault="00F5617E" w:rsidP="00BF2F4B">
            <w:pPr>
              <w:widowControl/>
              <w:jc w:val="center"/>
              <w:rPr>
                <w:b/>
                <w:sz w:val="18"/>
                <w:szCs w:val="18"/>
              </w:rPr>
            </w:pPr>
            <w:r>
              <w:rPr>
                <w:b/>
                <w:sz w:val="18"/>
                <w:szCs w:val="18"/>
              </w:rPr>
              <w:t>T3</w:t>
            </w:r>
          </w:p>
        </w:tc>
      </w:tr>
      <w:tr w:rsidR="00F5617E" w14:paraId="0DFD2095" w14:textId="77777777" w:rsidTr="00BF2F4B">
        <w:trPr>
          <w:trHeight w:val="227"/>
          <w:jc w:val="center"/>
        </w:trPr>
        <w:tc>
          <w:tcPr>
            <w:tcW w:w="1465" w:type="dxa"/>
            <w:tcBorders>
              <w:top w:val="nil"/>
            </w:tcBorders>
          </w:tcPr>
          <w:p w14:paraId="7CC23DE8" w14:textId="2566784A" w:rsidR="00F5617E" w:rsidRDefault="00F5617E" w:rsidP="00BF2F4B">
            <w:pPr>
              <w:widowControl/>
              <w:jc w:val="center"/>
              <w:rPr>
                <w:sz w:val="18"/>
                <w:szCs w:val="18"/>
              </w:rPr>
            </w:pPr>
            <w:r>
              <w:rPr>
                <w:sz w:val="18"/>
                <w:szCs w:val="18"/>
              </w:rPr>
              <w:t>Médias</w:t>
            </w:r>
          </w:p>
        </w:tc>
        <w:tc>
          <w:tcPr>
            <w:tcW w:w="1465" w:type="dxa"/>
            <w:tcBorders>
              <w:top w:val="nil"/>
            </w:tcBorders>
            <w:vAlign w:val="center"/>
          </w:tcPr>
          <w:p w14:paraId="42CDF786" w14:textId="5B010597" w:rsidR="00F5617E" w:rsidRDefault="00F5617E" w:rsidP="00BF2F4B">
            <w:pPr>
              <w:widowControl/>
              <w:jc w:val="center"/>
              <w:rPr>
                <w:sz w:val="18"/>
                <w:szCs w:val="18"/>
              </w:rPr>
            </w:pPr>
            <w:r>
              <w:rPr>
                <w:sz w:val="18"/>
                <w:szCs w:val="18"/>
              </w:rPr>
              <w:t>15,130</w:t>
            </w:r>
          </w:p>
        </w:tc>
        <w:tc>
          <w:tcPr>
            <w:tcW w:w="2243" w:type="dxa"/>
            <w:tcBorders>
              <w:top w:val="nil"/>
            </w:tcBorders>
            <w:vAlign w:val="center"/>
          </w:tcPr>
          <w:p w14:paraId="729DAE76" w14:textId="63E6BDEB" w:rsidR="00F5617E" w:rsidRDefault="00F5617E" w:rsidP="00BF2F4B">
            <w:pPr>
              <w:widowControl/>
              <w:jc w:val="center"/>
              <w:rPr>
                <w:sz w:val="18"/>
                <w:szCs w:val="18"/>
              </w:rPr>
            </w:pPr>
            <w:r>
              <w:rPr>
                <w:sz w:val="18"/>
                <w:szCs w:val="18"/>
              </w:rPr>
              <w:t>14,948</w:t>
            </w:r>
          </w:p>
        </w:tc>
        <w:tc>
          <w:tcPr>
            <w:tcW w:w="1441" w:type="dxa"/>
            <w:tcBorders>
              <w:top w:val="nil"/>
            </w:tcBorders>
            <w:vAlign w:val="center"/>
          </w:tcPr>
          <w:p w14:paraId="263ADC74" w14:textId="077805D6" w:rsidR="00F5617E" w:rsidRDefault="00F5617E" w:rsidP="00BF2F4B">
            <w:pPr>
              <w:widowControl/>
              <w:jc w:val="center"/>
              <w:rPr>
                <w:sz w:val="18"/>
                <w:szCs w:val="18"/>
              </w:rPr>
            </w:pPr>
            <w:r>
              <w:rPr>
                <w:sz w:val="18"/>
                <w:szCs w:val="18"/>
              </w:rPr>
              <w:t>15,270</w:t>
            </w:r>
          </w:p>
        </w:tc>
        <w:tc>
          <w:tcPr>
            <w:tcW w:w="1603" w:type="dxa"/>
            <w:tcBorders>
              <w:top w:val="nil"/>
            </w:tcBorders>
            <w:vAlign w:val="center"/>
          </w:tcPr>
          <w:p w14:paraId="3B282416" w14:textId="166DC586" w:rsidR="00F5617E" w:rsidRDefault="00F5617E" w:rsidP="00BF2F4B">
            <w:pPr>
              <w:widowControl/>
              <w:jc w:val="center"/>
              <w:rPr>
                <w:sz w:val="18"/>
                <w:szCs w:val="18"/>
              </w:rPr>
            </w:pPr>
            <w:r>
              <w:rPr>
                <w:sz w:val="18"/>
                <w:szCs w:val="18"/>
              </w:rPr>
              <w:t>15,234</w:t>
            </w:r>
          </w:p>
        </w:tc>
      </w:tr>
    </w:tbl>
    <w:p w14:paraId="5513B972" w14:textId="77777777" w:rsidR="00F5617E" w:rsidRPr="001A3659" w:rsidRDefault="00F5617E" w:rsidP="00F5617E">
      <w:pPr>
        <w:widowControl/>
        <w:jc w:val="both"/>
        <w:rPr>
          <w:sz w:val="20"/>
          <w:szCs w:val="20"/>
        </w:rPr>
      </w:pPr>
    </w:p>
    <w:p w14:paraId="3ECB6150" w14:textId="77777777" w:rsidR="001A3659" w:rsidRPr="001A3659" w:rsidRDefault="001A3659" w:rsidP="001A3659">
      <w:pPr>
        <w:widowControl/>
        <w:ind w:firstLine="709"/>
        <w:jc w:val="both"/>
        <w:rPr>
          <w:sz w:val="20"/>
          <w:szCs w:val="20"/>
        </w:rPr>
      </w:pPr>
      <w:r w:rsidRPr="001A3659">
        <w:rPr>
          <w:sz w:val="20"/>
          <w:szCs w:val="20"/>
        </w:rPr>
        <w:t xml:space="preserve">Apesar da diferença ser relativamente pequena entre os tratamentos, o desempenho superior dos tratamentos T2 e T3 (500 µm e 600 µm, respectivamente) indica que granulometrias mais finas podem ser mais eficazes em melhorar a retenção de água no solo avaliado. </w:t>
      </w:r>
      <w:proofErr w:type="spellStart"/>
      <w:r w:rsidRPr="001A3659">
        <w:rPr>
          <w:sz w:val="20"/>
          <w:szCs w:val="20"/>
        </w:rPr>
        <w:t>Streubel</w:t>
      </w:r>
      <w:proofErr w:type="spellEnd"/>
      <w:r w:rsidRPr="001A3659">
        <w:rPr>
          <w:sz w:val="20"/>
          <w:szCs w:val="20"/>
        </w:rPr>
        <w:t xml:space="preserve"> </w:t>
      </w:r>
      <w:r w:rsidRPr="006C74A6">
        <w:rPr>
          <w:i/>
          <w:iCs/>
          <w:sz w:val="20"/>
          <w:szCs w:val="20"/>
        </w:rPr>
        <w:t>et al</w:t>
      </w:r>
      <w:r w:rsidRPr="001A3659">
        <w:rPr>
          <w:sz w:val="20"/>
          <w:szCs w:val="20"/>
        </w:rPr>
        <w:t xml:space="preserve">. (2011) ressaltam que a eficiência do </w:t>
      </w:r>
      <w:proofErr w:type="spellStart"/>
      <w:r w:rsidRPr="001A3659">
        <w:rPr>
          <w:sz w:val="20"/>
          <w:szCs w:val="20"/>
        </w:rPr>
        <w:t>biochar</w:t>
      </w:r>
      <w:proofErr w:type="spellEnd"/>
      <w:r w:rsidRPr="001A3659">
        <w:rPr>
          <w:sz w:val="20"/>
          <w:szCs w:val="20"/>
        </w:rPr>
        <w:t xml:space="preserve"> depende da dose, do tipo de solo e da granulometria, o que pode justificar a baixa performance do tratamento com carvão de 2 mm (T1), cujos resultados foram próximos aos da testemunha.</w:t>
      </w:r>
    </w:p>
    <w:p w14:paraId="1B611E65" w14:textId="77777777" w:rsidR="001A3659" w:rsidRPr="001A3659" w:rsidRDefault="001A3659" w:rsidP="001A3659">
      <w:pPr>
        <w:widowControl/>
        <w:ind w:firstLine="709"/>
        <w:jc w:val="both"/>
        <w:rPr>
          <w:sz w:val="20"/>
          <w:szCs w:val="20"/>
        </w:rPr>
      </w:pPr>
      <w:r w:rsidRPr="00400DAD">
        <w:rPr>
          <w:sz w:val="20"/>
          <w:szCs w:val="20"/>
        </w:rPr>
        <w:t xml:space="preserve">Pamplona </w:t>
      </w:r>
      <w:r w:rsidRPr="00400DAD">
        <w:rPr>
          <w:i/>
          <w:iCs/>
          <w:sz w:val="20"/>
          <w:szCs w:val="20"/>
        </w:rPr>
        <w:t>et al</w:t>
      </w:r>
      <w:r w:rsidRPr="00400DAD">
        <w:rPr>
          <w:sz w:val="20"/>
          <w:szCs w:val="20"/>
        </w:rPr>
        <w:t>. (2015) observaram</w:t>
      </w:r>
      <w:r w:rsidRPr="001A3659">
        <w:rPr>
          <w:sz w:val="20"/>
          <w:szCs w:val="20"/>
        </w:rPr>
        <w:t xml:space="preserve"> valor médio de retenção de água de 38,77 g em NEOSSOLO FLÚVICO com granulometrias entre 0,25 mm e 3 mm, sugerindo que granulometrias menores favorecem a retenção. O presente estudo, realizado em NEOSSOLO QUARTZARÊNICO, apresentou média geral de 15,15 g, com melhor resposta nas menores granulometrias, seguindo tendência semelhante.</w:t>
      </w:r>
    </w:p>
    <w:p w14:paraId="77D7C47B" w14:textId="77777777" w:rsidR="001A3659" w:rsidRDefault="001A3659" w:rsidP="001A3659">
      <w:pPr>
        <w:widowControl/>
        <w:ind w:firstLine="709"/>
        <w:jc w:val="both"/>
        <w:rPr>
          <w:sz w:val="20"/>
          <w:szCs w:val="20"/>
        </w:rPr>
      </w:pPr>
      <w:r w:rsidRPr="001A3659">
        <w:rPr>
          <w:sz w:val="20"/>
          <w:szCs w:val="20"/>
        </w:rPr>
        <w:t>Portanto, embora os resultados apontem potencial para o uso de granulometrias finas de carvão vegetal na melhoria da retenção de água em solos arenosos, não é possível indicar uma granulometria ideal de forma universal. O comportamento observado pode estar associado à similaridade entre a granulometria do solo (2 mm) e a do carvão, o que pode ter afetado a interação entre os componentes. Isso reforça a necessidade de estudos mais amplos, que considerem diferentes classes de solo e condições de campo.</w:t>
      </w:r>
    </w:p>
    <w:p w14:paraId="72327A8A" w14:textId="77777777" w:rsidR="00A76056" w:rsidRDefault="00A76056" w:rsidP="0014544C">
      <w:pPr>
        <w:widowControl/>
        <w:jc w:val="both"/>
        <w:rPr>
          <w:b/>
          <w:sz w:val="20"/>
          <w:szCs w:val="20"/>
        </w:rPr>
      </w:pPr>
    </w:p>
    <w:p w14:paraId="1593EB95" w14:textId="16D68E49" w:rsidR="00A76056" w:rsidRDefault="00000000">
      <w:pPr>
        <w:widowControl/>
        <w:jc w:val="both"/>
        <w:rPr>
          <w:sz w:val="20"/>
          <w:szCs w:val="20"/>
        </w:rPr>
      </w:pPr>
      <w:r>
        <w:rPr>
          <w:b/>
          <w:sz w:val="20"/>
          <w:szCs w:val="20"/>
        </w:rPr>
        <w:t>CONCLUSÕES</w:t>
      </w:r>
    </w:p>
    <w:p w14:paraId="66C178E3" w14:textId="77777777" w:rsidR="00A76056" w:rsidRDefault="00A76056">
      <w:pPr>
        <w:widowControl/>
        <w:rPr>
          <w:sz w:val="20"/>
          <w:szCs w:val="20"/>
        </w:rPr>
      </w:pPr>
    </w:p>
    <w:p w14:paraId="234CA182" w14:textId="77777777" w:rsidR="00F5617E" w:rsidRDefault="00F5617E" w:rsidP="00F5617E">
      <w:pPr>
        <w:widowControl/>
        <w:ind w:firstLine="720"/>
        <w:jc w:val="both"/>
        <w:rPr>
          <w:sz w:val="20"/>
          <w:szCs w:val="20"/>
        </w:rPr>
      </w:pPr>
      <w:r w:rsidRPr="00F5617E">
        <w:rPr>
          <w:sz w:val="20"/>
          <w:szCs w:val="20"/>
        </w:rPr>
        <w:t xml:space="preserve">Conclui-se neste estudo que o NEOSSOLO QUARTZARÊNICO não teve uma interação com o carvão vegetal, referente as granulometrias utilizadas, quando se analisou a variável de retenção de água. </w:t>
      </w:r>
    </w:p>
    <w:p w14:paraId="25830C43" w14:textId="77777777" w:rsidR="00F5617E" w:rsidRDefault="00F5617E" w:rsidP="00F5617E">
      <w:pPr>
        <w:widowControl/>
        <w:ind w:firstLine="720"/>
        <w:jc w:val="both"/>
        <w:rPr>
          <w:sz w:val="20"/>
          <w:szCs w:val="20"/>
        </w:rPr>
      </w:pPr>
      <w:r w:rsidRPr="00F5617E">
        <w:rPr>
          <w:sz w:val="20"/>
          <w:szCs w:val="20"/>
        </w:rPr>
        <w:t xml:space="preserve">Em relação à análise do pH, também não se obteve efeito significativo em nenhum dos tratamentos desenvolvidos, sem ter influência nos valores do pH no solo. </w:t>
      </w:r>
    </w:p>
    <w:p w14:paraId="1F938BAD" w14:textId="4DDCAA6E" w:rsidR="00A76056" w:rsidRDefault="00F5617E" w:rsidP="00F5617E">
      <w:pPr>
        <w:widowControl/>
        <w:ind w:firstLine="720"/>
        <w:jc w:val="both"/>
        <w:rPr>
          <w:sz w:val="20"/>
          <w:szCs w:val="20"/>
        </w:rPr>
      </w:pPr>
      <w:r w:rsidRPr="00F5617E">
        <w:rPr>
          <w:sz w:val="20"/>
          <w:szCs w:val="20"/>
        </w:rPr>
        <w:t>Ressalta-se também a necessidade de realização de novos estudos variando não somente a granulometria do carvão vegetal, mas também a granulometria do NEOSSOLO QUARTZARÊNICO para que se possa verificar a eficácia do carvão vegetal, como condicionador desta classe de solo.</w:t>
      </w:r>
    </w:p>
    <w:p w14:paraId="3A96FA2B" w14:textId="77777777" w:rsidR="00A76056" w:rsidRDefault="00A76056" w:rsidP="0082711C">
      <w:pPr>
        <w:widowControl/>
        <w:jc w:val="both"/>
        <w:rPr>
          <w:sz w:val="20"/>
          <w:szCs w:val="20"/>
        </w:rPr>
      </w:pPr>
    </w:p>
    <w:p w14:paraId="4D080F13" w14:textId="023FA0C5" w:rsidR="00A76056" w:rsidRDefault="00000000">
      <w:pPr>
        <w:widowControl/>
        <w:jc w:val="both"/>
        <w:rPr>
          <w:sz w:val="20"/>
          <w:szCs w:val="20"/>
        </w:rPr>
      </w:pPr>
      <w:r>
        <w:rPr>
          <w:b/>
          <w:sz w:val="20"/>
          <w:szCs w:val="20"/>
        </w:rPr>
        <w:t>REFERÊNCIAS</w:t>
      </w:r>
    </w:p>
    <w:p w14:paraId="4937225F" w14:textId="77777777" w:rsidR="00A76056" w:rsidRDefault="00A76056">
      <w:pPr>
        <w:widowControl/>
        <w:jc w:val="both"/>
        <w:rPr>
          <w:sz w:val="20"/>
          <w:szCs w:val="20"/>
        </w:rPr>
      </w:pPr>
    </w:p>
    <w:p w14:paraId="4541AC02" w14:textId="27410B02" w:rsidR="00FF0456" w:rsidRPr="00FF0456" w:rsidRDefault="00FF0456" w:rsidP="000D4CB8">
      <w:pPr>
        <w:suppressAutoHyphens/>
        <w:spacing w:after="120"/>
        <w:jc w:val="both"/>
        <w:rPr>
          <w:sz w:val="20"/>
          <w:szCs w:val="20"/>
        </w:rPr>
      </w:pPr>
      <w:r w:rsidRPr="00FF0456">
        <w:rPr>
          <w:sz w:val="20"/>
          <w:szCs w:val="20"/>
        </w:rPr>
        <w:t xml:space="preserve">CASAROLI, D.; VAN LIER, Q. de. Critérios para determinação da capacidade de vaso. </w:t>
      </w:r>
      <w:r w:rsidRPr="00FF0456">
        <w:rPr>
          <w:b/>
          <w:bCs/>
          <w:sz w:val="20"/>
          <w:szCs w:val="20"/>
        </w:rPr>
        <w:t>Revista Brasileira de Ciência do Solo</w:t>
      </w:r>
      <w:r w:rsidRPr="00FF0456">
        <w:rPr>
          <w:sz w:val="20"/>
          <w:szCs w:val="20"/>
        </w:rPr>
        <w:t>, Viçosa, v. 32, n. 1, p. 59-66, jan./fev. 2008.</w:t>
      </w:r>
    </w:p>
    <w:p w14:paraId="643E335A" w14:textId="73E22210" w:rsidR="003E3E20" w:rsidRDefault="003E3E20" w:rsidP="000D4CB8">
      <w:pPr>
        <w:suppressAutoHyphens/>
        <w:spacing w:after="120"/>
        <w:jc w:val="both"/>
        <w:rPr>
          <w:sz w:val="20"/>
          <w:szCs w:val="20"/>
        </w:rPr>
      </w:pPr>
      <w:r w:rsidRPr="003E3E20">
        <w:rPr>
          <w:sz w:val="20"/>
          <w:szCs w:val="20"/>
          <w:lang w:val="it-IT"/>
        </w:rPr>
        <w:lastRenderedPageBreak/>
        <w:t xml:space="preserve">DOMINGHETTI, A.W. </w:t>
      </w:r>
      <w:r w:rsidRPr="003E3E20">
        <w:rPr>
          <w:i/>
          <w:iCs/>
          <w:sz w:val="20"/>
          <w:szCs w:val="20"/>
          <w:lang w:val="it-IT"/>
        </w:rPr>
        <w:t>et al</w:t>
      </w:r>
      <w:r w:rsidRPr="003E3E20">
        <w:rPr>
          <w:sz w:val="20"/>
          <w:szCs w:val="20"/>
          <w:lang w:val="it-IT"/>
        </w:rPr>
        <w:t xml:space="preserve">. </w:t>
      </w:r>
      <w:proofErr w:type="spellStart"/>
      <w:r w:rsidRPr="003E3E20">
        <w:rPr>
          <w:sz w:val="20"/>
          <w:szCs w:val="20"/>
          <w:lang w:val="it-IT"/>
        </w:rPr>
        <w:t>Nitrogen</w:t>
      </w:r>
      <w:proofErr w:type="spellEnd"/>
      <w:r w:rsidRPr="003E3E20">
        <w:rPr>
          <w:sz w:val="20"/>
          <w:szCs w:val="20"/>
          <w:lang w:val="it-IT"/>
        </w:rPr>
        <w:t xml:space="preserve"> </w:t>
      </w:r>
      <w:proofErr w:type="spellStart"/>
      <w:r w:rsidRPr="003E3E20">
        <w:rPr>
          <w:sz w:val="20"/>
          <w:szCs w:val="20"/>
          <w:lang w:val="it-IT"/>
        </w:rPr>
        <w:t>loss</w:t>
      </w:r>
      <w:proofErr w:type="spellEnd"/>
      <w:r w:rsidRPr="003E3E20">
        <w:rPr>
          <w:sz w:val="20"/>
          <w:szCs w:val="20"/>
          <w:lang w:val="it-IT"/>
        </w:rPr>
        <w:t xml:space="preserve"> by </w:t>
      </w:r>
      <w:proofErr w:type="spellStart"/>
      <w:r w:rsidRPr="003E3E20">
        <w:rPr>
          <w:sz w:val="20"/>
          <w:szCs w:val="20"/>
          <w:lang w:val="it-IT"/>
        </w:rPr>
        <w:t>volatilization</w:t>
      </w:r>
      <w:proofErr w:type="spellEnd"/>
      <w:r w:rsidRPr="003E3E20">
        <w:rPr>
          <w:sz w:val="20"/>
          <w:szCs w:val="20"/>
          <w:lang w:val="it-IT"/>
        </w:rPr>
        <w:t xml:space="preserve"> of </w:t>
      </w:r>
      <w:proofErr w:type="spellStart"/>
      <w:r w:rsidRPr="003E3E20">
        <w:rPr>
          <w:sz w:val="20"/>
          <w:szCs w:val="20"/>
          <w:lang w:val="it-IT"/>
        </w:rPr>
        <w:t>nitrogen</w:t>
      </w:r>
      <w:proofErr w:type="spellEnd"/>
      <w:r w:rsidRPr="003E3E20">
        <w:rPr>
          <w:sz w:val="20"/>
          <w:szCs w:val="20"/>
          <w:lang w:val="it-IT"/>
        </w:rPr>
        <w:t xml:space="preserve"> </w:t>
      </w:r>
      <w:proofErr w:type="spellStart"/>
      <w:r w:rsidRPr="003E3E20">
        <w:rPr>
          <w:sz w:val="20"/>
          <w:szCs w:val="20"/>
          <w:lang w:val="it-IT"/>
        </w:rPr>
        <w:t>fertilizers</w:t>
      </w:r>
      <w:proofErr w:type="spellEnd"/>
      <w:r w:rsidRPr="003E3E20">
        <w:rPr>
          <w:sz w:val="20"/>
          <w:szCs w:val="20"/>
          <w:lang w:val="it-IT"/>
        </w:rPr>
        <w:t xml:space="preserve"> </w:t>
      </w:r>
      <w:proofErr w:type="spellStart"/>
      <w:r w:rsidRPr="003E3E20">
        <w:rPr>
          <w:sz w:val="20"/>
          <w:szCs w:val="20"/>
          <w:lang w:val="it-IT"/>
        </w:rPr>
        <w:t>applied</w:t>
      </w:r>
      <w:proofErr w:type="spellEnd"/>
      <w:r w:rsidRPr="003E3E20">
        <w:rPr>
          <w:sz w:val="20"/>
          <w:szCs w:val="20"/>
          <w:lang w:val="it-IT"/>
        </w:rPr>
        <w:t xml:space="preserve"> to coffee </w:t>
      </w:r>
      <w:proofErr w:type="spellStart"/>
      <w:r w:rsidRPr="003E3E20">
        <w:rPr>
          <w:sz w:val="20"/>
          <w:szCs w:val="20"/>
          <w:lang w:val="it-IT"/>
        </w:rPr>
        <w:t>orchard</w:t>
      </w:r>
      <w:proofErr w:type="spellEnd"/>
      <w:r w:rsidRPr="003E3E20">
        <w:rPr>
          <w:sz w:val="20"/>
          <w:szCs w:val="20"/>
          <w:lang w:val="it-IT"/>
        </w:rPr>
        <w:t xml:space="preserve">. </w:t>
      </w:r>
      <w:r w:rsidRPr="003E3E20">
        <w:rPr>
          <w:b/>
          <w:bCs/>
          <w:sz w:val="20"/>
          <w:szCs w:val="20"/>
        </w:rPr>
        <w:t>Ciência e Agrotecnologia</w:t>
      </w:r>
      <w:r w:rsidRPr="003E3E20">
        <w:rPr>
          <w:sz w:val="20"/>
          <w:szCs w:val="20"/>
        </w:rPr>
        <w:t>, v.40, n.2, p.173-183, 2016.</w:t>
      </w:r>
    </w:p>
    <w:p w14:paraId="036BC7B5" w14:textId="7D52D62D" w:rsidR="009A79A5" w:rsidRDefault="009A79A5" w:rsidP="000D4CB8">
      <w:pPr>
        <w:suppressAutoHyphens/>
        <w:spacing w:after="120"/>
        <w:jc w:val="both"/>
        <w:rPr>
          <w:sz w:val="20"/>
          <w:szCs w:val="20"/>
        </w:rPr>
      </w:pPr>
      <w:r w:rsidRPr="009A79A5">
        <w:rPr>
          <w:sz w:val="20"/>
          <w:szCs w:val="20"/>
        </w:rPr>
        <w:t xml:space="preserve">GUIMARÃES, J. P. E. </w:t>
      </w:r>
      <w:r w:rsidRPr="009A79A5">
        <w:rPr>
          <w:b/>
          <w:bCs/>
          <w:sz w:val="20"/>
          <w:szCs w:val="20"/>
        </w:rPr>
        <w:t xml:space="preserve">Uso do biocarvão como condicionador de solo sódico em cultivo </w:t>
      </w:r>
      <w:proofErr w:type="spellStart"/>
      <w:r w:rsidRPr="009A79A5">
        <w:rPr>
          <w:b/>
          <w:bCs/>
          <w:sz w:val="20"/>
          <w:szCs w:val="20"/>
        </w:rPr>
        <w:t>biossalino</w:t>
      </w:r>
      <w:proofErr w:type="spellEnd"/>
      <w:r w:rsidRPr="009A79A5">
        <w:rPr>
          <w:b/>
          <w:bCs/>
          <w:sz w:val="20"/>
          <w:szCs w:val="20"/>
        </w:rPr>
        <w:t xml:space="preserve"> de algodão.</w:t>
      </w:r>
      <w:r w:rsidRPr="009A79A5">
        <w:rPr>
          <w:sz w:val="20"/>
          <w:szCs w:val="20"/>
        </w:rPr>
        <w:t xml:space="preserve"> 2021. 86 f. Tese (Doutorado em Engenharia Agrícola) – Programa de Pós-Graduação em Engenharia Agrícola, Universidade Federal de Campina Grande, Campina Grande, 2021.</w:t>
      </w:r>
    </w:p>
    <w:p w14:paraId="2A9D8AF8" w14:textId="13F5CAE7" w:rsidR="001956E8" w:rsidRDefault="001956E8" w:rsidP="000D4CB8">
      <w:pPr>
        <w:suppressAutoHyphens/>
        <w:spacing w:after="120"/>
        <w:jc w:val="both"/>
        <w:rPr>
          <w:sz w:val="20"/>
          <w:szCs w:val="20"/>
        </w:rPr>
      </w:pPr>
      <w:r w:rsidRPr="001956E8">
        <w:rPr>
          <w:sz w:val="20"/>
          <w:szCs w:val="20"/>
        </w:rPr>
        <w:t>LIMA, I. S</w:t>
      </w:r>
      <w:r w:rsidRPr="001956E8">
        <w:rPr>
          <w:i/>
          <w:iCs/>
          <w:sz w:val="20"/>
          <w:szCs w:val="20"/>
        </w:rPr>
        <w:t>. et al</w:t>
      </w:r>
      <w:r w:rsidRPr="001956E8">
        <w:rPr>
          <w:sz w:val="20"/>
          <w:szCs w:val="20"/>
        </w:rPr>
        <w:t xml:space="preserve">. Lixiviação de íons em </w:t>
      </w:r>
      <w:proofErr w:type="spellStart"/>
      <w:r w:rsidRPr="001956E8">
        <w:rPr>
          <w:sz w:val="20"/>
          <w:szCs w:val="20"/>
        </w:rPr>
        <w:t>argissolo</w:t>
      </w:r>
      <w:proofErr w:type="spellEnd"/>
      <w:r w:rsidRPr="001956E8">
        <w:rPr>
          <w:sz w:val="20"/>
          <w:szCs w:val="20"/>
        </w:rPr>
        <w:t xml:space="preserve"> amarelo tratado com biocarvão de casca de coco seco e cultivado com girassol (</w:t>
      </w:r>
      <w:proofErr w:type="spellStart"/>
      <w:r w:rsidRPr="001956E8">
        <w:rPr>
          <w:i/>
          <w:iCs/>
          <w:sz w:val="20"/>
          <w:szCs w:val="20"/>
        </w:rPr>
        <w:t>Helianthus</w:t>
      </w:r>
      <w:proofErr w:type="spellEnd"/>
      <w:r w:rsidRPr="001956E8">
        <w:rPr>
          <w:i/>
          <w:iCs/>
          <w:sz w:val="20"/>
          <w:szCs w:val="20"/>
        </w:rPr>
        <w:t xml:space="preserve"> </w:t>
      </w:r>
      <w:proofErr w:type="spellStart"/>
      <w:r w:rsidRPr="001956E8">
        <w:rPr>
          <w:i/>
          <w:iCs/>
          <w:sz w:val="20"/>
          <w:szCs w:val="20"/>
        </w:rPr>
        <w:t>annuus</w:t>
      </w:r>
      <w:proofErr w:type="spellEnd"/>
      <w:r w:rsidRPr="001956E8">
        <w:rPr>
          <w:sz w:val="20"/>
          <w:szCs w:val="20"/>
        </w:rPr>
        <w:t xml:space="preserve"> L.). </w:t>
      </w:r>
      <w:r w:rsidRPr="001956E8">
        <w:rPr>
          <w:b/>
          <w:bCs/>
          <w:sz w:val="20"/>
          <w:szCs w:val="20"/>
        </w:rPr>
        <w:t>Revista Brasileira de Agricultura Irrigada</w:t>
      </w:r>
      <w:r w:rsidRPr="001956E8">
        <w:rPr>
          <w:sz w:val="20"/>
          <w:szCs w:val="20"/>
        </w:rPr>
        <w:t>, Fortaleza, v. 11, n. 7, p. 1956-1965, 2017. DOI: 10.7127/</w:t>
      </w:r>
      <w:proofErr w:type="gramStart"/>
      <w:r w:rsidRPr="001956E8">
        <w:rPr>
          <w:sz w:val="20"/>
          <w:szCs w:val="20"/>
        </w:rPr>
        <w:t>rbai.v</w:t>
      </w:r>
      <w:proofErr w:type="gramEnd"/>
      <w:r w:rsidRPr="001956E8">
        <w:rPr>
          <w:sz w:val="20"/>
          <w:szCs w:val="20"/>
        </w:rPr>
        <w:t>11n700662. ISSN 1982-7679.</w:t>
      </w:r>
    </w:p>
    <w:p w14:paraId="18EF4532" w14:textId="3DB3489A" w:rsidR="000E53FA" w:rsidRDefault="000E53FA" w:rsidP="000D4CB8">
      <w:pPr>
        <w:suppressAutoHyphens/>
        <w:spacing w:after="120"/>
        <w:jc w:val="both"/>
        <w:rPr>
          <w:sz w:val="20"/>
          <w:szCs w:val="20"/>
        </w:rPr>
      </w:pPr>
      <w:r w:rsidRPr="000E53FA">
        <w:rPr>
          <w:sz w:val="20"/>
          <w:szCs w:val="20"/>
        </w:rPr>
        <w:t xml:space="preserve">MELO, I. G. C. </w:t>
      </w:r>
      <w:r w:rsidRPr="000E53FA">
        <w:rPr>
          <w:b/>
          <w:bCs/>
          <w:sz w:val="20"/>
          <w:szCs w:val="20"/>
        </w:rPr>
        <w:t>Efeitos do carvão vegetal no solo e sobre cultivos de feijão-caupi em ambiente protegido.</w:t>
      </w:r>
      <w:r w:rsidRPr="000E53FA">
        <w:rPr>
          <w:sz w:val="20"/>
          <w:szCs w:val="20"/>
        </w:rPr>
        <w:t xml:space="preserve"> 2016. 98</w:t>
      </w:r>
      <w:r>
        <w:rPr>
          <w:sz w:val="20"/>
          <w:szCs w:val="20"/>
        </w:rPr>
        <w:t>p</w:t>
      </w:r>
      <w:r w:rsidRPr="000E53FA">
        <w:rPr>
          <w:sz w:val="20"/>
          <w:szCs w:val="20"/>
        </w:rPr>
        <w:t xml:space="preserve">. Tese (Doutorado em Manejo de Solo e Água) – Programa de Pós-Graduação em Manejo de Solo e Água, Universidade Federal Rural do </w:t>
      </w:r>
      <w:proofErr w:type="spellStart"/>
      <w:r w:rsidRPr="000E53FA">
        <w:rPr>
          <w:sz w:val="20"/>
          <w:szCs w:val="20"/>
        </w:rPr>
        <w:t>Semi-Árido</w:t>
      </w:r>
      <w:proofErr w:type="spellEnd"/>
      <w:r w:rsidRPr="000E53FA">
        <w:rPr>
          <w:sz w:val="20"/>
          <w:szCs w:val="20"/>
        </w:rPr>
        <w:t>, Mossoró, 2016.</w:t>
      </w:r>
    </w:p>
    <w:p w14:paraId="26402F24" w14:textId="35C4CDC6" w:rsidR="003E3E20" w:rsidRDefault="003E3E20" w:rsidP="000D4CB8">
      <w:pPr>
        <w:suppressAutoHyphens/>
        <w:spacing w:after="120"/>
        <w:jc w:val="both"/>
        <w:rPr>
          <w:sz w:val="20"/>
          <w:szCs w:val="20"/>
        </w:rPr>
      </w:pPr>
      <w:r w:rsidRPr="003E3E20">
        <w:rPr>
          <w:sz w:val="20"/>
          <w:szCs w:val="20"/>
        </w:rPr>
        <w:t xml:space="preserve">MENDONÇA, A.R. </w:t>
      </w:r>
      <w:r w:rsidRPr="003E3E20">
        <w:rPr>
          <w:b/>
          <w:bCs/>
          <w:sz w:val="20"/>
          <w:szCs w:val="20"/>
        </w:rPr>
        <w:t>Crescimento de cenoura em solo com diferentes combinações de doses e granulometrias de carvão vegetal.</w:t>
      </w:r>
      <w:r w:rsidRPr="003E3E20">
        <w:rPr>
          <w:sz w:val="20"/>
          <w:szCs w:val="20"/>
        </w:rPr>
        <w:t xml:space="preserve"> 2017. 51p. Dissertação (Mestrado em Agronomia) -</w:t>
      </w:r>
      <w:r>
        <w:rPr>
          <w:sz w:val="20"/>
          <w:szCs w:val="20"/>
        </w:rPr>
        <w:t xml:space="preserve"> </w:t>
      </w:r>
      <w:r w:rsidRPr="003E3E20">
        <w:rPr>
          <w:sz w:val="20"/>
          <w:szCs w:val="20"/>
        </w:rPr>
        <w:t>Faculdade de Ciências Agrárias e Veterinárias, Universidade Estadual Paulista, Jaboticabal, 2017.</w:t>
      </w:r>
    </w:p>
    <w:p w14:paraId="03F484AE" w14:textId="13CDA968" w:rsidR="009A79A5" w:rsidRDefault="009A79A5" w:rsidP="000D4CB8">
      <w:pPr>
        <w:suppressAutoHyphens/>
        <w:spacing w:after="120"/>
        <w:jc w:val="both"/>
        <w:rPr>
          <w:sz w:val="20"/>
          <w:szCs w:val="20"/>
        </w:rPr>
      </w:pPr>
      <w:r w:rsidRPr="009A79A5">
        <w:rPr>
          <w:sz w:val="20"/>
          <w:szCs w:val="20"/>
        </w:rPr>
        <w:t xml:space="preserve">MENDONÇA, M. de S.; SOUSA, R. </w:t>
      </w:r>
      <w:proofErr w:type="spellStart"/>
      <w:r w:rsidRPr="009A79A5">
        <w:rPr>
          <w:sz w:val="20"/>
          <w:szCs w:val="20"/>
        </w:rPr>
        <w:t>da</w:t>
      </w:r>
      <w:proofErr w:type="spellEnd"/>
      <w:r w:rsidRPr="009A79A5">
        <w:rPr>
          <w:sz w:val="20"/>
          <w:szCs w:val="20"/>
        </w:rPr>
        <w:t xml:space="preserve"> P. Possibilidades de utilização e benefícios da tecnologia do </w:t>
      </w:r>
      <w:proofErr w:type="spellStart"/>
      <w:r w:rsidRPr="009A79A5">
        <w:rPr>
          <w:sz w:val="20"/>
          <w:szCs w:val="20"/>
        </w:rPr>
        <w:t>biochar</w:t>
      </w:r>
      <w:proofErr w:type="spellEnd"/>
      <w:r w:rsidRPr="009A79A5">
        <w:rPr>
          <w:sz w:val="20"/>
          <w:szCs w:val="20"/>
        </w:rPr>
        <w:t xml:space="preserve">: uma revisão sistemática. </w:t>
      </w:r>
      <w:r w:rsidRPr="009A79A5">
        <w:rPr>
          <w:b/>
          <w:bCs/>
          <w:sz w:val="20"/>
          <w:szCs w:val="20"/>
        </w:rPr>
        <w:t>ARACÊ</w:t>
      </w:r>
      <w:r w:rsidRPr="009A79A5">
        <w:rPr>
          <w:sz w:val="20"/>
          <w:szCs w:val="20"/>
        </w:rPr>
        <w:t>, São José dos Pinhais, v. 7, n. 5, p. 27207-27234, 2025.</w:t>
      </w:r>
    </w:p>
    <w:p w14:paraId="373015EF" w14:textId="337DA86E" w:rsidR="00FF0456" w:rsidRDefault="00FF0456" w:rsidP="000D4CB8">
      <w:pPr>
        <w:suppressAutoHyphens/>
        <w:spacing w:after="120"/>
        <w:jc w:val="both"/>
        <w:rPr>
          <w:sz w:val="20"/>
          <w:szCs w:val="20"/>
        </w:rPr>
      </w:pPr>
      <w:r w:rsidRPr="00E831D5">
        <w:rPr>
          <w:sz w:val="20"/>
          <w:szCs w:val="20"/>
        </w:rPr>
        <w:t xml:space="preserve">NOVOTNY, E. H. </w:t>
      </w:r>
      <w:r w:rsidRPr="00E831D5">
        <w:rPr>
          <w:i/>
          <w:iCs/>
          <w:sz w:val="20"/>
          <w:szCs w:val="20"/>
        </w:rPr>
        <w:t>et al</w:t>
      </w:r>
      <w:r w:rsidRPr="00E831D5">
        <w:rPr>
          <w:sz w:val="20"/>
          <w:szCs w:val="20"/>
        </w:rPr>
        <w:t xml:space="preserve">. </w:t>
      </w:r>
      <w:proofErr w:type="spellStart"/>
      <w:r w:rsidRPr="00FF0456">
        <w:rPr>
          <w:sz w:val="20"/>
          <w:szCs w:val="20"/>
        </w:rPr>
        <w:t>Biochar</w:t>
      </w:r>
      <w:proofErr w:type="spellEnd"/>
      <w:r w:rsidRPr="00FF0456">
        <w:rPr>
          <w:sz w:val="20"/>
          <w:szCs w:val="20"/>
        </w:rPr>
        <w:t xml:space="preserve">: </w:t>
      </w:r>
      <w:proofErr w:type="spellStart"/>
      <w:r w:rsidRPr="00FF0456">
        <w:rPr>
          <w:sz w:val="20"/>
          <w:szCs w:val="20"/>
        </w:rPr>
        <w:t>pyrogenic</w:t>
      </w:r>
      <w:proofErr w:type="spellEnd"/>
      <w:r w:rsidRPr="00FF0456">
        <w:rPr>
          <w:sz w:val="20"/>
          <w:szCs w:val="20"/>
        </w:rPr>
        <w:t xml:space="preserve"> </w:t>
      </w:r>
      <w:proofErr w:type="spellStart"/>
      <w:r w:rsidRPr="00FF0456">
        <w:rPr>
          <w:sz w:val="20"/>
          <w:szCs w:val="20"/>
        </w:rPr>
        <w:t>carbon</w:t>
      </w:r>
      <w:proofErr w:type="spellEnd"/>
      <w:r w:rsidRPr="00FF0456">
        <w:rPr>
          <w:sz w:val="20"/>
          <w:szCs w:val="20"/>
        </w:rPr>
        <w:t xml:space="preserve"> for </w:t>
      </w:r>
      <w:proofErr w:type="spellStart"/>
      <w:r w:rsidRPr="00FF0456">
        <w:rPr>
          <w:sz w:val="20"/>
          <w:szCs w:val="20"/>
        </w:rPr>
        <w:t>agricultural</w:t>
      </w:r>
      <w:proofErr w:type="spellEnd"/>
      <w:r w:rsidRPr="00FF0456">
        <w:rPr>
          <w:sz w:val="20"/>
          <w:szCs w:val="20"/>
        </w:rPr>
        <w:t xml:space="preserve"> use - A </w:t>
      </w:r>
      <w:proofErr w:type="spellStart"/>
      <w:r w:rsidRPr="00FF0456">
        <w:rPr>
          <w:sz w:val="20"/>
          <w:szCs w:val="20"/>
        </w:rPr>
        <w:t>critical</w:t>
      </w:r>
      <w:proofErr w:type="spellEnd"/>
      <w:r w:rsidRPr="00FF0456">
        <w:rPr>
          <w:sz w:val="20"/>
          <w:szCs w:val="20"/>
        </w:rPr>
        <w:t xml:space="preserve"> review. </w:t>
      </w:r>
      <w:r w:rsidRPr="00FF0456">
        <w:rPr>
          <w:b/>
          <w:bCs/>
          <w:sz w:val="20"/>
          <w:szCs w:val="20"/>
        </w:rPr>
        <w:t>Revista Brasileira de Ciência do Solo</w:t>
      </w:r>
      <w:r w:rsidRPr="00FF0456">
        <w:rPr>
          <w:sz w:val="20"/>
          <w:szCs w:val="20"/>
        </w:rPr>
        <w:t>, Viçosa, v. 39, n. 2, p. 321-344, mar./abr. 2015.</w:t>
      </w:r>
    </w:p>
    <w:p w14:paraId="612DD260" w14:textId="14ADA276" w:rsidR="00A76056" w:rsidRDefault="00115A52" w:rsidP="000D4CB8">
      <w:pPr>
        <w:suppressAutoHyphens/>
        <w:spacing w:after="120"/>
        <w:jc w:val="both"/>
        <w:rPr>
          <w:sz w:val="20"/>
          <w:szCs w:val="20"/>
        </w:rPr>
      </w:pPr>
      <w:r w:rsidRPr="00115A52">
        <w:rPr>
          <w:sz w:val="20"/>
          <w:szCs w:val="20"/>
        </w:rPr>
        <w:t>OLIVEIRA, A. L. de.</w:t>
      </w:r>
      <w:r w:rsidRPr="00115A52">
        <w:rPr>
          <w:b/>
          <w:bCs/>
          <w:sz w:val="20"/>
          <w:szCs w:val="20"/>
        </w:rPr>
        <w:t xml:space="preserve"> Caracterização físico-química de biocarvões com potencial para condicionador de solo.</w:t>
      </w:r>
      <w:r w:rsidRPr="00115A52">
        <w:rPr>
          <w:sz w:val="20"/>
          <w:szCs w:val="20"/>
        </w:rPr>
        <w:t xml:space="preserve"> Dissertação (Mestrado em Ciências Ambientais) – Instituto Federal Baiano, Campus Serrinha, 2023. Disponível em:</w:t>
      </w:r>
      <w:r w:rsidR="00CF1D87">
        <w:rPr>
          <w:sz w:val="20"/>
          <w:szCs w:val="20"/>
        </w:rPr>
        <w:t xml:space="preserve"> </w:t>
      </w:r>
      <w:hyperlink r:id="rId8" w:history="1">
        <w:r w:rsidR="00CF1D87" w:rsidRPr="009D5F07">
          <w:rPr>
            <w:rStyle w:val="Hiperligao"/>
            <w:sz w:val="20"/>
            <w:szCs w:val="20"/>
          </w:rPr>
          <w:t>https://ifbaiano.edu.br/portal/mestrado-ciencias-ambientais-serrinha/wp-content/uploads/sites/84/2024/08/Adson-Oliveira.pdf</w:t>
        </w:r>
      </w:hyperlink>
      <w:r w:rsidRPr="00CF1D87">
        <w:rPr>
          <w:sz w:val="20"/>
          <w:szCs w:val="20"/>
        </w:rPr>
        <w:t xml:space="preserve">. </w:t>
      </w:r>
      <w:r w:rsidRPr="00115A52">
        <w:rPr>
          <w:sz w:val="20"/>
          <w:szCs w:val="20"/>
        </w:rPr>
        <w:t>Acesso em: 28 maio 2025.</w:t>
      </w:r>
    </w:p>
    <w:p w14:paraId="5A4CDB62" w14:textId="1BE9DC08" w:rsidR="00FF0456" w:rsidRDefault="00FF0456" w:rsidP="000D4CB8">
      <w:pPr>
        <w:suppressAutoHyphens/>
        <w:spacing w:after="120"/>
        <w:jc w:val="both"/>
        <w:rPr>
          <w:sz w:val="20"/>
          <w:szCs w:val="20"/>
        </w:rPr>
      </w:pPr>
      <w:r w:rsidRPr="00E831D5">
        <w:rPr>
          <w:sz w:val="20"/>
          <w:szCs w:val="20"/>
        </w:rPr>
        <w:t xml:space="preserve">PAMPLONA, J. P. </w:t>
      </w:r>
      <w:r w:rsidRPr="00E831D5">
        <w:rPr>
          <w:i/>
          <w:iCs/>
          <w:sz w:val="20"/>
          <w:szCs w:val="20"/>
        </w:rPr>
        <w:t>et al</w:t>
      </w:r>
      <w:r w:rsidRPr="00E831D5">
        <w:rPr>
          <w:sz w:val="20"/>
          <w:szCs w:val="20"/>
        </w:rPr>
        <w:t xml:space="preserve">. </w:t>
      </w:r>
      <w:r w:rsidRPr="00FF0456">
        <w:rPr>
          <w:sz w:val="20"/>
          <w:szCs w:val="20"/>
        </w:rPr>
        <w:t xml:space="preserve">Granulometria do </w:t>
      </w:r>
      <w:proofErr w:type="spellStart"/>
      <w:r w:rsidRPr="00FF0456">
        <w:rPr>
          <w:sz w:val="20"/>
          <w:szCs w:val="20"/>
        </w:rPr>
        <w:t>biochar</w:t>
      </w:r>
      <w:proofErr w:type="spellEnd"/>
      <w:r w:rsidRPr="00FF0456">
        <w:rPr>
          <w:sz w:val="20"/>
          <w:szCs w:val="20"/>
        </w:rPr>
        <w:t xml:space="preserve"> influenciando retenção de água e nutrientes em três solos da Chapada do Apodi-RN. In: CONGRESSO BRASILEIRO DE CIÊNCIA DO SOLO, 35., 2015, Natal. </w:t>
      </w:r>
      <w:r w:rsidRPr="00FF0456">
        <w:rPr>
          <w:b/>
          <w:bCs/>
          <w:sz w:val="20"/>
          <w:szCs w:val="20"/>
        </w:rPr>
        <w:t>Anais...</w:t>
      </w:r>
      <w:r w:rsidRPr="00FF0456">
        <w:rPr>
          <w:sz w:val="20"/>
          <w:szCs w:val="20"/>
        </w:rPr>
        <w:t xml:space="preserve"> Viçosa, MG: Sociedade Brasileira de Ciência do Solo, 2015.</w:t>
      </w:r>
    </w:p>
    <w:p w14:paraId="3A4651F1" w14:textId="58A558CF" w:rsidR="00FF0456" w:rsidRDefault="00FF0456" w:rsidP="000D4CB8">
      <w:pPr>
        <w:suppressAutoHyphens/>
        <w:spacing w:after="120"/>
        <w:jc w:val="both"/>
        <w:rPr>
          <w:sz w:val="20"/>
          <w:szCs w:val="20"/>
        </w:rPr>
      </w:pPr>
      <w:r w:rsidRPr="00FF0456">
        <w:rPr>
          <w:sz w:val="20"/>
          <w:szCs w:val="20"/>
        </w:rPr>
        <w:t xml:space="preserve">PEREIRA, B. B. </w:t>
      </w:r>
      <w:r w:rsidRPr="00FF0456">
        <w:rPr>
          <w:b/>
          <w:bCs/>
          <w:sz w:val="20"/>
          <w:szCs w:val="20"/>
        </w:rPr>
        <w:t>Datação de amostras de carvões, conchas e cerâmicas arqueológicas pela técnica de radiocarbono por espectrometria de massa com aceleradores: o sítio Marrecas, no centro da cidade do Rio de Janeiro.</w:t>
      </w:r>
      <w:r w:rsidRPr="00FF0456">
        <w:rPr>
          <w:sz w:val="20"/>
          <w:szCs w:val="20"/>
        </w:rPr>
        <w:t xml:space="preserve"> 2016. 74</w:t>
      </w:r>
      <w:r>
        <w:rPr>
          <w:sz w:val="20"/>
          <w:szCs w:val="20"/>
        </w:rPr>
        <w:t>p</w:t>
      </w:r>
      <w:r w:rsidRPr="00FF0456">
        <w:rPr>
          <w:sz w:val="20"/>
          <w:szCs w:val="20"/>
        </w:rPr>
        <w:t>. Projeto Final (Graduação) – Universidade Federal Fluminense, Niterói, 2016.</w:t>
      </w:r>
    </w:p>
    <w:p w14:paraId="4A34DA27" w14:textId="3EDBDBE5" w:rsidR="000E53FA" w:rsidRDefault="000E53FA" w:rsidP="000D4CB8">
      <w:pPr>
        <w:suppressAutoHyphens/>
        <w:spacing w:after="120"/>
        <w:jc w:val="both"/>
        <w:rPr>
          <w:sz w:val="20"/>
          <w:szCs w:val="20"/>
        </w:rPr>
      </w:pPr>
      <w:r w:rsidRPr="000E53FA">
        <w:rPr>
          <w:sz w:val="20"/>
          <w:szCs w:val="20"/>
        </w:rPr>
        <w:t xml:space="preserve">RIBEIRO, P. H. </w:t>
      </w:r>
      <w:r w:rsidRPr="000E53FA">
        <w:rPr>
          <w:b/>
          <w:bCs/>
          <w:sz w:val="20"/>
          <w:szCs w:val="20"/>
        </w:rPr>
        <w:t>Uso de finos de carvão e esterco de galinha em solo cultivado com milho e na produção de mudas de café.</w:t>
      </w:r>
      <w:r w:rsidRPr="000E53FA">
        <w:rPr>
          <w:sz w:val="20"/>
          <w:szCs w:val="20"/>
        </w:rPr>
        <w:t xml:space="preserve"> 2016. 71</w:t>
      </w:r>
      <w:r>
        <w:rPr>
          <w:sz w:val="20"/>
          <w:szCs w:val="20"/>
        </w:rPr>
        <w:t>p</w:t>
      </w:r>
      <w:r w:rsidRPr="000E53FA">
        <w:rPr>
          <w:sz w:val="20"/>
          <w:szCs w:val="20"/>
        </w:rPr>
        <w:t xml:space="preserve">. Tese (Doutorado em Produção Vegetal) – Programa de Pós-Graduação em Produção Vegetal, Universidade Federal do Espírito Santo, </w:t>
      </w:r>
      <w:proofErr w:type="gramStart"/>
      <w:r w:rsidRPr="000E53FA">
        <w:rPr>
          <w:sz w:val="20"/>
          <w:szCs w:val="20"/>
        </w:rPr>
        <w:t>Alegre</w:t>
      </w:r>
      <w:proofErr w:type="gramEnd"/>
      <w:r w:rsidRPr="000E53FA">
        <w:rPr>
          <w:sz w:val="20"/>
          <w:szCs w:val="20"/>
        </w:rPr>
        <w:t>, 2016.</w:t>
      </w:r>
    </w:p>
    <w:p w14:paraId="626739FF" w14:textId="6E68140E" w:rsidR="00433B13" w:rsidRPr="00E831D5" w:rsidRDefault="00433B13" w:rsidP="000D4CB8">
      <w:pPr>
        <w:suppressAutoHyphens/>
        <w:spacing w:after="120"/>
        <w:jc w:val="both"/>
        <w:rPr>
          <w:sz w:val="20"/>
          <w:szCs w:val="20"/>
          <w:lang w:val="fr-FR"/>
        </w:rPr>
      </w:pPr>
      <w:r w:rsidRPr="00400DAD">
        <w:rPr>
          <w:sz w:val="20"/>
          <w:szCs w:val="20"/>
          <w:lang w:val="fr-FR"/>
        </w:rPr>
        <w:t>SANTOS, G.H.F.</w:t>
      </w:r>
      <w:r w:rsidR="00400DAD" w:rsidRPr="00400DAD">
        <w:rPr>
          <w:sz w:val="20"/>
          <w:szCs w:val="20"/>
          <w:lang w:val="fr-FR"/>
        </w:rPr>
        <w:t xml:space="preserve"> </w:t>
      </w:r>
      <w:r w:rsidR="00400DAD" w:rsidRPr="00400DAD">
        <w:rPr>
          <w:i/>
          <w:iCs/>
          <w:sz w:val="20"/>
          <w:szCs w:val="20"/>
          <w:lang w:val="fr-FR"/>
        </w:rPr>
        <w:t>et al</w:t>
      </w:r>
      <w:r w:rsidRPr="00400DAD">
        <w:rPr>
          <w:sz w:val="20"/>
          <w:szCs w:val="20"/>
          <w:lang w:val="fr-FR"/>
        </w:rPr>
        <w:t xml:space="preserve">. </w:t>
      </w:r>
      <w:r w:rsidRPr="00BF261C">
        <w:rPr>
          <w:sz w:val="20"/>
          <w:szCs w:val="20"/>
        </w:rPr>
        <w:t>Biomassa como energia renovável no Brasil. </w:t>
      </w:r>
      <w:proofErr w:type="spellStart"/>
      <w:r w:rsidRPr="00E831D5">
        <w:rPr>
          <w:b/>
          <w:bCs/>
          <w:sz w:val="20"/>
          <w:szCs w:val="20"/>
          <w:lang w:val="fr-FR"/>
        </w:rPr>
        <w:t>Uningá</w:t>
      </w:r>
      <w:proofErr w:type="spellEnd"/>
      <w:r w:rsidRPr="00E831D5">
        <w:rPr>
          <w:b/>
          <w:bCs/>
          <w:sz w:val="20"/>
          <w:szCs w:val="20"/>
          <w:lang w:val="fr-FR"/>
        </w:rPr>
        <w:t xml:space="preserve"> </w:t>
      </w:r>
      <w:proofErr w:type="spellStart"/>
      <w:r w:rsidRPr="00E831D5">
        <w:rPr>
          <w:b/>
          <w:bCs/>
          <w:sz w:val="20"/>
          <w:szCs w:val="20"/>
          <w:lang w:val="fr-FR"/>
        </w:rPr>
        <w:t>Review</w:t>
      </w:r>
      <w:proofErr w:type="spellEnd"/>
      <w:r w:rsidRPr="00E831D5">
        <w:rPr>
          <w:sz w:val="20"/>
          <w:szCs w:val="20"/>
          <w:lang w:val="fr-FR"/>
        </w:rPr>
        <w:t>, v. 29, n. 2, 2017.</w:t>
      </w:r>
    </w:p>
    <w:p w14:paraId="7DA1BB7F" w14:textId="53ED47F9" w:rsidR="00433B13" w:rsidRDefault="00433B13" w:rsidP="000D4CB8">
      <w:pPr>
        <w:suppressAutoHyphens/>
        <w:spacing w:after="120"/>
        <w:jc w:val="both"/>
        <w:rPr>
          <w:sz w:val="20"/>
          <w:szCs w:val="20"/>
          <w:lang w:val="it-IT"/>
        </w:rPr>
      </w:pPr>
      <w:r w:rsidRPr="00400DAD">
        <w:rPr>
          <w:sz w:val="20"/>
          <w:szCs w:val="20"/>
          <w:lang w:val="fr-FR"/>
        </w:rPr>
        <w:t>SOHI, S.P</w:t>
      </w:r>
      <w:r w:rsidR="00400DAD" w:rsidRPr="00400DAD">
        <w:rPr>
          <w:sz w:val="20"/>
          <w:szCs w:val="20"/>
          <w:lang w:val="fr-FR"/>
        </w:rPr>
        <w:t xml:space="preserve"> </w:t>
      </w:r>
      <w:r w:rsidR="00400DAD" w:rsidRPr="00400DAD">
        <w:rPr>
          <w:i/>
          <w:iCs/>
          <w:sz w:val="20"/>
          <w:szCs w:val="20"/>
          <w:lang w:val="fr-FR"/>
        </w:rPr>
        <w:t>et al</w:t>
      </w:r>
      <w:r w:rsidRPr="00400DAD">
        <w:rPr>
          <w:sz w:val="20"/>
          <w:szCs w:val="20"/>
          <w:lang w:val="fr-FR"/>
        </w:rPr>
        <w:t xml:space="preserve">. </w:t>
      </w:r>
      <w:r w:rsidRPr="00E831D5">
        <w:rPr>
          <w:sz w:val="20"/>
          <w:szCs w:val="20"/>
          <w:lang w:val="fr-FR"/>
        </w:rPr>
        <w:t xml:space="preserve">A </w:t>
      </w:r>
      <w:proofErr w:type="spellStart"/>
      <w:r w:rsidRPr="00E831D5">
        <w:rPr>
          <w:sz w:val="20"/>
          <w:szCs w:val="20"/>
          <w:lang w:val="fr-FR"/>
        </w:rPr>
        <w:t>review</w:t>
      </w:r>
      <w:proofErr w:type="spellEnd"/>
      <w:r w:rsidRPr="00E831D5">
        <w:rPr>
          <w:sz w:val="20"/>
          <w:szCs w:val="20"/>
          <w:lang w:val="fr-FR"/>
        </w:rPr>
        <w:t xml:space="preserve"> of biochar and </w:t>
      </w:r>
      <w:proofErr w:type="spellStart"/>
      <w:r w:rsidRPr="00E831D5">
        <w:rPr>
          <w:sz w:val="20"/>
          <w:szCs w:val="20"/>
          <w:lang w:val="fr-FR"/>
        </w:rPr>
        <w:t>its</w:t>
      </w:r>
      <w:proofErr w:type="spellEnd"/>
      <w:r w:rsidRPr="00E831D5">
        <w:rPr>
          <w:sz w:val="20"/>
          <w:szCs w:val="20"/>
          <w:lang w:val="fr-FR"/>
        </w:rPr>
        <w:t xml:space="preserve"> use and </w:t>
      </w:r>
      <w:proofErr w:type="spellStart"/>
      <w:r w:rsidRPr="00E831D5">
        <w:rPr>
          <w:sz w:val="20"/>
          <w:szCs w:val="20"/>
          <w:lang w:val="fr-FR"/>
        </w:rPr>
        <w:t>function</w:t>
      </w:r>
      <w:proofErr w:type="spellEnd"/>
      <w:r w:rsidRPr="00E831D5">
        <w:rPr>
          <w:sz w:val="20"/>
          <w:szCs w:val="20"/>
          <w:lang w:val="fr-FR"/>
        </w:rPr>
        <w:t xml:space="preserve"> in </w:t>
      </w:r>
      <w:proofErr w:type="spellStart"/>
      <w:r w:rsidRPr="00E831D5">
        <w:rPr>
          <w:sz w:val="20"/>
          <w:szCs w:val="20"/>
          <w:lang w:val="fr-FR"/>
        </w:rPr>
        <w:t>soil</w:t>
      </w:r>
      <w:proofErr w:type="spellEnd"/>
      <w:r w:rsidRPr="00E831D5">
        <w:rPr>
          <w:sz w:val="20"/>
          <w:szCs w:val="20"/>
          <w:lang w:val="fr-FR"/>
        </w:rPr>
        <w:t xml:space="preserve">. </w:t>
      </w:r>
      <w:r w:rsidRPr="00433B13">
        <w:rPr>
          <w:sz w:val="20"/>
          <w:szCs w:val="20"/>
          <w:lang w:val="it-IT"/>
        </w:rPr>
        <w:t xml:space="preserve">In: </w:t>
      </w:r>
      <w:r w:rsidRPr="00433B13">
        <w:rPr>
          <w:b/>
          <w:bCs/>
          <w:sz w:val="20"/>
          <w:szCs w:val="20"/>
          <w:lang w:val="it-IT"/>
        </w:rPr>
        <w:t>SPARKS, D</w:t>
      </w:r>
      <w:r w:rsidRPr="00433B13">
        <w:rPr>
          <w:sz w:val="20"/>
          <w:szCs w:val="20"/>
          <w:lang w:val="it-IT"/>
        </w:rPr>
        <w:t xml:space="preserve">., ed </w:t>
      </w:r>
      <w:proofErr w:type="spellStart"/>
      <w:r w:rsidRPr="00433B13">
        <w:rPr>
          <w:sz w:val="20"/>
          <w:szCs w:val="20"/>
          <w:lang w:val="it-IT"/>
        </w:rPr>
        <w:t>Advances</w:t>
      </w:r>
      <w:proofErr w:type="spellEnd"/>
      <w:r w:rsidRPr="00433B13">
        <w:rPr>
          <w:sz w:val="20"/>
          <w:szCs w:val="20"/>
          <w:lang w:val="it-IT"/>
        </w:rPr>
        <w:t xml:space="preserve"> in </w:t>
      </w:r>
      <w:proofErr w:type="spellStart"/>
      <w:r w:rsidRPr="00433B13">
        <w:rPr>
          <w:sz w:val="20"/>
          <w:szCs w:val="20"/>
          <w:lang w:val="it-IT"/>
        </w:rPr>
        <w:t>Agronomy</w:t>
      </w:r>
      <w:proofErr w:type="spellEnd"/>
      <w:r w:rsidRPr="00433B13">
        <w:rPr>
          <w:sz w:val="20"/>
          <w:szCs w:val="20"/>
          <w:lang w:val="it-IT"/>
        </w:rPr>
        <w:t xml:space="preserve">, v. 105, </w:t>
      </w:r>
      <w:proofErr w:type="spellStart"/>
      <w:r w:rsidRPr="00433B13">
        <w:rPr>
          <w:sz w:val="20"/>
          <w:szCs w:val="20"/>
          <w:lang w:val="it-IT"/>
        </w:rPr>
        <w:t>Academic</w:t>
      </w:r>
      <w:proofErr w:type="spellEnd"/>
      <w:r w:rsidRPr="00433B13">
        <w:rPr>
          <w:sz w:val="20"/>
          <w:szCs w:val="20"/>
          <w:lang w:val="it-IT"/>
        </w:rPr>
        <w:t xml:space="preserve"> Press, 2010, p.47-82.</w:t>
      </w:r>
    </w:p>
    <w:p w14:paraId="49DACF17" w14:textId="450B99E9" w:rsidR="00400DAD" w:rsidRPr="00E831D5" w:rsidRDefault="00400DAD" w:rsidP="000D4CB8">
      <w:pPr>
        <w:suppressAutoHyphens/>
        <w:spacing w:after="120"/>
        <w:jc w:val="both"/>
        <w:rPr>
          <w:sz w:val="20"/>
          <w:szCs w:val="20"/>
        </w:rPr>
      </w:pPr>
      <w:r w:rsidRPr="00400DAD">
        <w:rPr>
          <w:sz w:val="20"/>
          <w:szCs w:val="20"/>
          <w:lang w:val="fr-FR"/>
        </w:rPr>
        <w:t>STREUBEL, J. D</w:t>
      </w:r>
      <w:r>
        <w:rPr>
          <w:sz w:val="20"/>
          <w:szCs w:val="20"/>
          <w:lang w:val="fr-FR"/>
        </w:rPr>
        <w:t xml:space="preserve"> </w:t>
      </w:r>
      <w:r>
        <w:rPr>
          <w:i/>
          <w:iCs/>
          <w:sz w:val="20"/>
          <w:szCs w:val="20"/>
          <w:lang w:val="fr-FR"/>
        </w:rPr>
        <w:t>et al</w:t>
      </w:r>
      <w:r w:rsidRPr="00400DAD">
        <w:rPr>
          <w:sz w:val="20"/>
          <w:szCs w:val="20"/>
          <w:lang w:val="fr-FR"/>
        </w:rPr>
        <w:t xml:space="preserve">. Influence of </w:t>
      </w:r>
      <w:proofErr w:type="spellStart"/>
      <w:r w:rsidRPr="00400DAD">
        <w:rPr>
          <w:sz w:val="20"/>
          <w:szCs w:val="20"/>
          <w:lang w:val="fr-FR"/>
        </w:rPr>
        <w:t>contrasting</w:t>
      </w:r>
      <w:proofErr w:type="spellEnd"/>
      <w:r w:rsidRPr="00400DAD">
        <w:rPr>
          <w:sz w:val="20"/>
          <w:szCs w:val="20"/>
          <w:lang w:val="fr-FR"/>
        </w:rPr>
        <w:t xml:space="preserve"> biochar types on five </w:t>
      </w:r>
      <w:proofErr w:type="spellStart"/>
      <w:r w:rsidRPr="00400DAD">
        <w:rPr>
          <w:sz w:val="20"/>
          <w:szCs w:val="20"/>
          <w:lang w:val="fr-FR"/>
        </w:rPr>
        <w:t>soils</w:t>
      </w:r>
      <w:proofErr w:type="spellEnd"/>
      <w:r w:rsidRPr="00400DAD">
        <w:rPr>
          <w:sz w:val="20"/>
          <w:szCs w:val="20"/>
          <w:lang w:val="fr-FR"/>
        </w:rPr>
        <w:t xml:space="preserve"> at </w:t>
      </w:r>
      <w:proofErr w:type="spellStart"/>
      <w:r w:rsidRPr="00400DAD">
        <w:rPr>
          <w:sz w:val="20"/>
          <w:szCs w:val="20"/>
          <w:lang w:val="fr-FR"/>
        </w:rPr>
        <w:t>increasing</w:t>
      </w:r>
      <w:proofErr w:type="spellEnd"/>
      <w:r w:rsidRPr="00400DAD">
        <w:rPr>
          <w:sz w:val="20"/>
          <w:szCs w:val="20"/>
          <w:lang w:val="fr-FR"/>
        </w:rPr>
        <w:t xml:space="preserve"> rates of application. </w:t>
      </w:r>
      <w:proofErr w:type="spellStart"/>
      <w:r w:rsidRPr="00E831D5">
        <w:rPr>
          <w:b/>
          <w:bCs/>
          <w:sz w:val="20"/>
          <w:szCs w:val="20"/>
        </w:rPr>
        <w:t>Soil</w:t>
      </w:r>
      <w:proofErr w:type="spellEnd"/>
      <w:r w:rsidRPr="00E831D5">
        <w:rPr>
          <w:b/>
          <w:bCs/>
          <w:sz w:val="20"/>
          <w:szCs w:val="20"/>
        </w:rPr>
        <w:t xml:space="preserve"> Science Society </w:t>
      </w:r>
      <w:proofErr w:type="spellStart"/>
      <w:r w:rsidRPr="00E831D5">
        <w:rPr>
          <w:b/>
          <w:bCs/>
          <w:sz w:val="20"/>
          <w:szCs w:val="20"/>
        </w:rPr>
        <w:t>of</w:t>
      </w:r>
      <w:proofErr w:type="spellEnd"/>
      <w:r w:rsidRPr="00E831D5">
        <w:rPr>
          <w:b/>
          <w:bCs/>
          <w:sz w:val="20"/>
          <w:szCs w:val="20"/>
        </w:rPr>
        <w:t xml:space="preserve"> </w:t>
      </w:r>
      <w:proofErr w:type="spellStart"/>
      <w:r w:rsidRPr="00E831D5">
        <w:rPr>
          <w:b/>
          <w:bCs/>
          <w:sz w:val="20"/>
          <w:szCs w:val="20"/>
        </w:rPr>
        <w:t>America</w:t>
      </w:r>
      <w:proofErr w:type="spellEnd"/>
      <w:r w:rsidRPr="00E831D5">
        <w:rPr>
          <w:b/>
          <w:bCs/>
          <w:sz w:val="20"/>
          <w:szCs w:val="20"/>
        </w:rPr>
        <w:t xml:space="preserve"> </w:t>
      </w:r>
      <w:proofErr w:type="spellStart"/>
      <w:r w:rsidRPr="00E831D5">
        <w:rPr>
          <w:b/>
          <w:bCs/>
          <w:sz w:val="20"/>
          <w:szCs w:val="20"/>
        </w:rPr>
        <w:t>Journal</w:t>
      </w:r>
      <w:proofErr w:type="spellEnd"/>
      <w:r w:rsidRPr="00E831D5">
        <w:rPr>
          <w:sz w:val="20"/>
          <w:szCs w:val="20"/>
        </w:rPr>
        <w:t>, v. 75, n. 4; p 1402-1413, 2011.</w:t>
      </w:r>
    </w:p>
    <w:p w14:paraId="4553D532" w14:textId="3D498913" w:rsidR="00115A52" w:rsidRDefault="00FF0456" w:rsidP="00433B13">
      <w:pPr>
        <w:suppressAutoHyphens/>
        <w:spacing w:after="120"/>
        <w:jc w:val="both"/>
        <w:rPr>
          <w:sz w:val="20"/>
          <w:szCs w:val="20"/>
        </w:rPr>
      </w:pPr>
      <w:r w:rsidRPr="00E831D5">
        <w:rPr>
          <w:sz w:val="20"/>
          <w:szCs w:val="20"/>
        </w:rPr>
        <w:t xml:space="preserve">TRAZZI, P. A. </w:t>
      </w:r>
      <w:r w:rsidRPr="00E831D5">
        <w:rPr>
          <w:i/>
          <w:iCs/>
          <w:sz w:val="20"/>
          <w:szCs w:val="20"/>
        </w:rPr>
        <w:t>et al</w:t>
      </w:r>
      <w:r w:rsidRPr="00E831D5">
        <w:rPr>
          <w:sz w:val="20"/>
          <w:szCs w:val="20"/>
        </w:rPr>
        <w:t xml:space="preserve">. </w:t>
      </w:r>
      <w:r w:rsidRPr="00FF0456">
        <w:rPr>
          <w:sz w:val="20"/>
          <w:szCs w:val="20"/>
        </w:rPr>
        <w:t xml:space="preserve">Biocarvão: realidade e potencial de uso no meio florestal. </w:t>
      </w:r>
      <w:r w:rsidRPr="00FF0456">
        <w:rPr>
          <w:b/>
          <w:bCs/>
          <w:sz w:val="20"/>
          <w:szCs w:val="20"/>
        </w:rPr>
        <w:t>Ciência Florestal</w:t>
      </w:r>
      <w:r w:rsidRPr="00FF0456">
        <w:rPr>
          <w:sz w:val="20"/>
          <w:szCs w:val="20"/>
        </w:rPr>
        <w:t>, Santa Maria, v. 28, n. 2, p. 875-887, abr./jun. 2018.</w:t>
      </w:r>
    </w:p>
    <w:p w14:paraId="754291DE" w14:textId="5E611135" w:rsidR="00433B13" w:rsidRPr="00433B13" w:rsidRDefault="00433B13" w:rsidP="00433B13">
      <w:pPr>
        <w:suppressAutoHyphens/>
        <w:spacing w:after="120"/>
        <w:jc w:val="both"/>
        <w:rPr>
          <w:sz w:val="20"/>
          <w:szCs w:val="20"/>
          <w:lang w:val="fr-FR"/>
        </w:rPr>
      </w:pPr>
      <w:r w:rsidRPr="00E831D5">
        <w:rPr>
          <w:sz w:val="20"/>
          <w:szCs w:val="20"/>
        </w:rPr>
        <w:t xml:space="preserve">ULYETT, J. </w:t>
      </w:r>
      <w:r w:rsidRPr="00E831D5">
        <w:rPr>
          <w:i/>
          <w:iCs/>
          <w:sz w:val="20"/>
          <w:szCs w:val="20"/>
        </w:rPr>
        <w:t xml:space="preserve">et al. </w:t>
      </w:r>
      <w:r w:rsidRPr="00433B13">
        <w:rPr>
          <w:sz w:val="20"/>
          <w:szCs w:val="20"/>
          <w:lang w:val="fr-FR"/>
        </w:rPr>
        <w:t xml:space="preserve">Impact of biochar addition on water </w:t>
      </w:r>
      <w:proofErr w:type="spellStart"/>
      <w:r w:rsidRPr="00433B13">
        <w:rPr>
          <w:sz w:val="20"/>
          <w:szCs w:val="20"/>
          <w:lang w:val="fr-FR"/>
        </w:rPr>
        <w:t>retention</w:t>
      </w:r>
      <w:proofErr w:type="spellEnd"/>
      <w:r w:rsidRPr="00433B13">
        <w:rPr>
          <w:sz w:val="20"/>
          <w:szCs w:val="20"/>
          <w:lang w:val="fr-FR"/>
        </w:rPr>
        <w:t xml:space="preserve">, nitrification and </w:t>
      </w:r>
      <w:proofErr w:type="spellStart"/>
      <w:r w:rsidRPr="00433B13">
        <w:rPr>
          <w:sz w:val="20"/>
          <w:szCs w:val="20"/>
          <w:lang w:val="fr-FR"/>
        </w:rPr>
        <w:t>carbon</w:t>
      </w:r>
      <w:proofErr w:type="spellEnd"/>
      <w:r w:rsidRPr="00433B13">
        <w:rPr>
          <w:sz w:val="20"/>
          <w:szCs w:val="20"/>
          <w:lang w:val="fr-FR"/>
        </w:rPr>
        <w:t xml:space="preserve"> </w:t>
      </w:r>
      <w:proofErr w:type="spellStart"/>
      <w:r w:rsidRPr="00433B13">
        <w:rPr>
          <w:sz w:val="20"/>
          <w:szCs w:val="20"/>
          <w:lang w:val="fr-FR"/>
        </w:rPr>
        <w:t>dioxide</w:t>
      </w:r>
      <w:proofErr w:type="spellEnd"/>
      <w:r w:rsidRPr="00433B13">
        <w:rPr>
          <w:sz w:val="20"/>
          <w:szCs w:val="20"/>
          <w:lang w:val="fr-FR"/>
        </w:rPr>
        <w:t xml:space="preserve"> </w:t>
      </w:r>
      <w:proofErr w:type="spellStart"/>
      <w:r w:rsidRPr="00433B13">
        <w:rPr>
          <w:sz w:val="20"/>
          <w:szCs w:val="20"/>
          <w:lang w:val="fr-FR"/>
        </w:rPr>
        <w:t>evolution</w:t>
      </w:r>
      <w:proofErr w:type="spellEnd"/>
      <w:r w:rsidRPr="00433B13">
        <w:rPr>
          <w:sz w:val="20"/>
          <w:szCs w:val="20"/>
          <w:lang w:val="fr-FR"/>
        </w:rPr>
        <w:t xml:space="preserve"> </w:t>
      </w:r>
      <w:proofErr w:type="spellStart"/>
      <w:r w:rsidRPr="00433B13">
        <w:rPr>
          <w:sz w:val="20"/>
          <w:szCs w:val="20"/>
          <w:lang w:val="fr-FR"/>
        </w:rPr>
        <w:t>from</w:t>
      </w:r>
      <w:proofErr w:type="spellEnd"/>
      <w:r w:rsidRPr="00433B13">
        <w:rPr>
          <w:sz w:val="20"/>
          <w:szCs w:val="20"/>
          <w:lang w:val="fr-FR"/>
        </w:rPr>
        <w:t xml:space="preserve"> </w:t>
      </w:r>
      <w:proofErr w:type="spellStart"/>
      <w:r w:rsidRPr="00433B13">
        <w:rPr>
          <w:sz w:val="20"/>
          <w:szCs w:val="20"/>
          <w:lang w:val="fr-FR"/>
        </w:rPr>
        <w:t>two</w:t>
      </w:r>
      <w:proofErr w:type="spellEnd"/>
      <w:r w:rsidRPr="00433B13">
        <w:rPr>
          <w:sz w:val="20"/>
          <w:szCs w:val="20"/>
          <w:lang w:val="fr-FR"/>
        </w:rPr>
        <w:t xml:space="preserve"> </w:t>
      </w:r>
      <w:proofErr w:type="spellStart"/>
      <w:r w:rsidRPr="00433B13">
        <w:rPr>
          <w:sz w:val="20"/>
          <w:szCs w:val="20"/>
          <w:lang w:val="fr-FR"/>
        </w:rPr>
        <w:t>sandy</w:t>
      </w:r>
      <w:proofErr w:type="spellEnd"/>
      <w:r w:rsidRPr="00433B13">
        <w:rPr>
          <w:sz w:val="20"/>
          <w:szCs w:val="20"/>
          <w:lang w:val="fr-FR"/>
        </w:rPr>
        <w:t xml:space="preserve"> loam </w:t>
      </w:r>
      <w:proofErr w:type="spellStart"/>
      <w:r w:rsidRPr="00433B13">
        <w:rPr>
          <w:sz w:val="20"/>
          <w:szCs w:val="20"/>
          <w:lang w:val="fr-FR"/>
        </w:rPr>
        <w:t>soils</w:t>
      </w:r>
      <w:proofErr w:type="spellEnd"/>
      <w:r w:rsidRPr="00433B13">
        <w:rPr>
          <w:sz w:val="20"/>
          <w:szCs w:val="20"/>
          <w:lang w:val="fr-FR"/>
        </w:rPr>
        <w:t xml:space="preserve">. </w:t>
      </w:r>
      <w:proofErr w:type="spellStart"/>
      <w:r w:rsidRPr="00433B13">
        <w:rPr>
          <w:b/>
          <w:bCs/>
          <w:sz w:val="20"/>
          <w:szCs w:val="20"/>
          <w:lang w:val="fr-FR"/>
        </w:rPr>
        <w:t>European</w:t>
      </w:r>
      <w:proofErr w:type="spellEnd"/>
      <w:r w:rsidRPr="00433B13">
        <w:rPr>
          <w:b/>
          <w:bCs/>
          <w:sz w:val="20"/>
          <w:szCs w:val="20"/>
          <w:lang w:val="fr-FR"/>
        </w:rPr>
        <w:t xml:space="preserve"> Journal of </w:t>
      </w:r>
      <w:proofErr w:type="spellStart"/>
      <w:r w:rsidRPr="00433B13">
        <w:rPr>
          <w:b/>
          <w:bCs/>
          <w:sz w:val="20"/>
          <w:szCs w:val="20"/>
          <w:lang w:val="fr-FR"/>
        </w:rPr>
        <w:t>Soil</w:t>
      </w:r>
      <w:proofErr w:type="spellEnd"/>
      <w:r w:rsidRPr="00433B13">
        <w:rPr>
          <w:b/>
          <w:bCs/>
          <w:sz w:val="20"/>
          <w:szCs w:val="20"/>
          <w:lang w:val="fr-FR"/>
        </w:rPr>
        <w:t xml:space="preserve"> Science</w:t>
      </w:r>
      <w:r w:rsidRPr="00433B13">
        <w:rPr>
          <w:sz w:val="20"/>
          <w:szCs w:val="20"/>
          <w:lang w:val="fr-FR"/>
        </w:rPr>
        <w:t>, v. 65, n. 1, p. 96-104, jan./</w:t>
      </w:r>
      <w:proofErr w:type="spellStart"/>
      <w:r w:rsidRPr="00433B13">
        <w:rPr>
          <w:sz w:val="20"/>
          <w:szCs w:val="20"/>
          <w:lang w:val="fr-FR"/>
        </w:rPr>
        <w:t>fev</w:t>
      </w:r>
      <w:proofErr w:type="spellEnd"/>
      <w:r w:rsidRPr="00433B13">
        <w:rPr>
          <w:sz w:val="20"/>
          <w:szCs w:val="20"/>
          <w:lang w:val="fr-FR"/>
        </w:rPr>
        <w:t>. 2014.</w:t>
      </w:r>
    </w:p>
    <w:sectPr w:rsidR="00433B13" w:rsidRPr="00433B13">
      <w:headerReference w:type="default" r:id="rId9"/>
      <w:footerReference w:type="default" r:id="rId10"/>
      <w:pgSz w:w="11910" w:h="16840"/>
      <w:pgMar w:top="1701" w:right="1134" w:bottom="1134" w:left="1701" w:header="453" w:footer="14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8537" w14:textId="77777777" w:rsidR="00B41F07" w:rsidRDefault="00B41F07">
      <w:r>
        <w:separator/>
      </w:r>
    </w:p>
  </w:endnote>
  <w:endnote w:type="continuationSeparator" w:id="0">
    <w:p w14:paraId="6A1DC877" w14:textId="77777777" w:rsidR="00B41F07" w:rsidRDefault="00B4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EBB7" w14:textId="77777777" w:rsidR="00A76056" w:rsidRDefault="00A7605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60D7" w14:textId="77777777" w:rsidR="00B41F07" w:rsidRDefault="00B41F07">
      <w:r>
        <w:separator/>
      </w:r>
    </w:p>
  </w:footnote>
  <w:footnote w:type="continuationSeparator" w:id="0">
    <w:p w14:paraId="600C1FE2" w14:textId="77777777" w:rsidR="00B41F07" w:rsidRDefault="00B4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7CB0" w14:textId="77777777" w:rsidR="00A76056" w:rsidRDefault="00000000">
    <w:pPr>
      <w:pBdr>
        <w:top w:val="nil"/>
        <w:left w:val="nil"/>
        <w:bottom w:val="nil"/>
        <w:right w:val="nil"/>
        <w:between w:val="nil"/>
      </w:pBdr>
      <w:spacing w:line="14" w:lineRule="auto"/>
      <w:jc w:val="center"/>
      <w:rPr>
        <w:sz w:val="20"/>
        <w:szCs w:val="20"/>
      </w:rPr>
    </w:pPr>
    <w:r>
      <w:rPr>
        <w:noProof/>
        <w:sz w:val="20"/>
        <w:szCs w:val="20"/>
      </w:rPr>
      <w:drawing>
        <wp:inline distT="114300" distB="114300" distL="114300" distR="114300" wp14:anchorId="13A3A33D" wp14:editId="07BA1169">
          <wp:extent cx="4479135" cy="169725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3383" r="23867"/>
                  <a:stretch>
                    <a:fillRect/>
                  </a:stretch>
                </pic:blipFill>
                <pic:spPr>
                  <a:xfrm>
                    <a:off x="0" y="0"/>
                    <a:ext cx="4479135" cy="1697251"/>
                  </a:xfrm>
                  <a:prstGeom prst="rect">
                    <a:avLst/>
                  </a:prstGeom>
                  <a:ln/>
                </pic:spPr>
              </pic:pic>
            </a:graphicData>
          </a:graphic>
        </wp:inline>
      </w:drawing>
    </w:r>
  </w:p>
  <w:p w14:paraId="54DE470D" w14:textId="77777777" w:rsidR="00A76056" w:rsidRDefault="00A76056">
    <w:pPr>
      <w:pBdr>
        <w:top w:val="nil"/>
        <w:left w:val="nil"/>
        <w:bottom w:val="nil"/>
        <w:right w:val="nil"/>
        <w:between w:val="nil"/>
      </w:pBdr>
      <w:spacing w:line="14" w:lineRule="auto"/>
      <w:rPr>
        <w:sz w:val="20"/>
        <w:szCs w:val="20"/>
      </w:rPr>
    </w:pPr>
  </w:p>
  <w:p w14:paraId="6E5892C4" w14:textId="77777777" w:rsidR="00A76056" w:rsidRDefault="00A76056">
    <w:pPr>
      <w:pBdr>
        <w:top w:val="nil"/>
        <w:left w:val="nil"/>
        <w:bottom w:val="nil"/>
        <w:right w:val="nil"/>
        <w:between w:val="nil"/>
      </w:pBdr>
      <w:spacing w:line="14" w:lineRule="auto"/>
      <w:rPr>
        <w:sz w:val="20"/>
        <w:szCs w:val="20"/>
      </w:rPr>
    </w:pPr>
  </w:p>
  <w:p w14:paraId="57034943" w14:textId="77777777" w:rsidR="00A76056" w:rsidRDefault="00A76056">
    <w:pPr>
      <w:pBdr>
        <w:top w:val="nil"/>
        <w:left w:val="nil"/>
        <w:bottom w:val="nil"/>
        <w:right w:val="nil"/>
        <w:between w:val="nil"/>
      </w:pBdr>
      <w:spacing w:line="14" w:lineRule="auto"/>
      <w:rPr>
        <w:sz w:val="20"/>
        <w:szCs w:val="20"/>
      </w:rPr>
    </w:pPr>
  </w:p>
  <w:p w14:paraId="341E6416" w14:textId="77777777" w:rsidR="00A76056" w:rsidRDefault="00A76056">
    <w:pPr>
      <w:pBdr>
        <w:top w:val="nil"/>
        <w:left w:val="nil"/>
        <w:bottom w:val="nil"/>
        <w:right w:val="nil"/>
        <w:between w:val="nil"/>
      </w:pBdr>
      <w:spacing w:line="14" w:lineRule="auto"/>
      <w:rPr>
        <w:sz w:val="20"/>
        <w:szCs w:val="20"/>
      </w:rPr>
    </w:pPr>
  </w:p>
  <w:p w14:paraId="0CF2642E" w14:textId="77777777" w:rsidR="00A76056" w:rsidRDefault="00A76056">
    <w:pPr>
      <w:pBdr>
        <w:top w:val="nil"/>
        <w:left w:val="nil"/>
        <w:bottom w:val="nil"/>
        <w:right w:val="nil"/>
        <w:between w:val="nil"/>
      </w:pBdr>
      <w:spacing w:line="14" w:lineRule="auto"/>
      <w:jc w:val="center"/>
      <w:rPr>
        <w:rFonts w:ascii="Oswald" w:eastAsia="Oswald" w:hAnsi="Oswald" w:cs="Oswald"/>
        <w:b/>
        <w:color w:val="3D6D38"/>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941D8"/>
    <w:multiLevelType w:val="multilevel"/>
    <w:tmpl w:val="5DDADC0C"/>
    <w:lvl w:ilvl="0">
      <w:start w:val="1"/>
      <w:numFmt w:val="bullet"/>
      <w:lvlText w:val="●"/>
      <w:lvlJc w:val="left"/>
      <w:pPr>
        <w:ind w:left="1429" w:hanging="360"/>
      </w:pPr>
      <w:rPr>
        <w:u w:val="none"/>
      </w:rPr>
    </w:lvl>
    <w:lvl w:ilvl="1">
      <w:start w:val="1"/>
      <w:numFmt w:val="bullet"/>
      <w:lvlText w:val="o"/>
      <w:lvlJc w:val="left"/>
      <w:pPr>
        <w:ind w:left="2149" w:hanging="360"/>
      </w:pPr>
      <w:rPr>
        <w:u w:val="none"/>
      </w:rPr>
    </w:lvl>
    <w:lvl w:ilvl="2">
      <w:start w:val="1"/>
      <w:numFmt w:val="bullet"/>
      <w:lvlText w:val="▪"/>
      <w:lvlJc w:val="left"/>
      <w:pPr>
        <w:ind w:left="2869" w:hanging="360"/>
      </w:pPr>
      <w:rPr>
        <w:u w:val="none"/>
      </w:rPr>
    </w:lvl>
    <w:lvl w:ilvl="3">
      <w:start w:val="1"/>
      <w:numFmt w:val="bullet"/>
      <w:lvlText w:val="●"/>
      <w:lvlJc w:val="left"/>
      <w:pPr>
        <w:ind w:left="3589" w:hanging="360"/>
      </w:pPr>
      <w:rPr>
        <w:u w:val="none"/>
      </w:rPr>
    </w:lvl>
    <w:lvl w:ilvl="4">
      <w:start w:val="1"/>
      <w:numFmt w:val="bullet"/>
      <w:lvlText w:val="o"/>
      <w:lvlJc w:val="left"/>
      <w:pPr>
        <w:ind w:left="4309" w:hanging="360"/>
      </w:pPr>
      <w:rPr>
        <w:u w:val="none"/>
      </w:rPr>
    </w:lvl>
    <w:lvl w:ilvl="5">
      <w:start w:val="1"/>
      <w:numFmt w:val="bullet"/>
      <w:lvlText w:val="▪"/>
      <w:lvlJc w:val="left"/>
      <w:pPr>
        <w:ind w:left="5029" w:hanging="360"/>
      </w:pPr>
      <w:rPr>
        <w:u w:val="none"/>
      </w:rPr>
    </w:lvl>
    <w:lvl w:ilvl="6">
      <w:start w:val="1"/>
      <w:numFmt w:val="bullet"/>
      <w:lvlText w:val="●"/>
      <w:lvlJc w:val="left"/>
      <w:pPr>
        <w:ind w:left="5749" w:hanging="360"/>
      </w:pPr>
      <w:rPr>
        <w:u w:val="none"/>
      </w:rPr>
    </w:lvl>
    <w:lvl w:ilvl="7">
      <w:start w:val="1"/>
      <w:numFmt w:val="bullet"/>
      <w:lvlText w:val="o"/>
      <w:lvlJc w:val="left"/>
      <w:pPr>
        <w:ind w:left="6469" w:hanging="360"/>
      </w:pPr>
      <w:rPr>
        <w:u w:val="none"/>
      </w:rPr>
    </w:lvl>
    <w:lvl w:ilvl="8">
      <w:start w:val="1"/>
      <w:numFmt w:val="bullet"/>
      <w:lvlText w:val="▪"/>
      <w:lvlJc w:val="left"/>
      <w:pPr>
        <w:ind w:left="7189" w:hanging="360"/>
      </w:pPr>
      <w:rPr>
        <w:u w:val="none"/>
      </w:rPr>
    </w:lvl>
  </w:abstractNum>
  <w:num w:numId="1" w16cid:durableId="115791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56"/>
    <w:rsid w:val="00001A3F"/>
    <w:rsid w:val="000A2878"/>
    <w:rsid w:val="000A28E6"/>
    <w:rsid w:val="000D4CB8"/>
    <w:rsid w:val="000E53FA"/>
    <w:rsid w:val="00115A52"/>
    <w:rsid w:val="0014544C"/>
    <w:rsid w:val="00174379"/>
    <w:rsid w:val="001926C3"/>
    <w:rsid w:val="001956E8"/>
    <w:rsid w:val="00196182"/>
    <w:rsid w:val="001A3659"/>
    <w:rsid w:val="00215C4D"/>
    <w:rsid w:val="003E3E20"/>
    <w:rsid w:val="00400DAD"/>
    <w:rsid w:val="00433B13"/>
    <w:rsid w:val="0046588D"/>
    <w:rsid w:val="0054267A"/>
    <w:rsid w:val="00605414"/>
    <w:rsid w:val="006871AC"/>
    <w:rsid w:val="006C74A6"/>
    <w:rsid w:val="006F0238"/>
    <w:rsid w:val="0078429F"/>
    <w:rsid w:val="007A63EF"/>
    <w:rsid w:val="007B28D7"/>
    <w:rsid w:val="0082711C"/>
    <w:rsid w:val="00897ACC"/>
    <w:rsid w:val="008D406C"/>
    <w:rsid w:val="008D4C31"/>
    <w:rsid w:val="009622B1"/>
    <w:rsid w:val="009A79A5"/>
    <w:rsid w:val="009B0C58"/>
    <w:rsid w:val="009C7EF9"/>
    <w:rsid w:val="009D23E1"/>
    <w:rsid w:val="009F1F80"/>
    <w:rsid w:val="009F3851"/>
    <w:rsid w:val="00A76056"/>
    <w:rsid w:val="00B35DEC"/>
    <w:rsid w:val="00B41F07"/>
    <w:rsid w:val="00BA2C99"/>
    <w:rsid w:val="00BF261C"/>
    <w:rsid w:val="00BF2D5A"/>
    <w:rsid w:val="00C33E4C"/>
    <w:rsid w:val="00C61C13"/>
    <w:rsid w:val="00CF1D87"/>
    <w:rsid w:val="00D069DF"/>
    <w:rsid w:val="00D63895"/>
    <w:rsid w:val="00DB4546"/>
    <w:rsid w:val="00DD4727"/>
    <w:rsid w:val="00DE1B1D"/>
    <w:rsid w:val="00E575FE"/>
    <w:rsid w:val="00E831D5"/>
    <w:rsid w:val="00F37EFF"/>
    <w:rsid w:val="00F4573D"/>
    <w:rsid w:val="00F5617E"/>
    <w:rsid w:val="00F758B5"/>
    <w:rsid w:val="00FF04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AFCF"/>
  <w15:docId w15:val="{EF69BEF6-1F3E-4DED-8124-7BD19686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7E"/>
  </w:style>
  <w:style w:type="paragraph" w:styleId="Ttulo1">
    <w:name w:val="heading 1"/>
    <w:basedOn w:val="Normal"/>
    <w:next w:val="Normal"/>
    <w:uiPriority w:val="9"/>
    <w:qFormat/>
    <w:pPr>
      <w:spacing w:before="18"/>
      <w:ind w:left="107"/>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Hiperligao">
    <w:name w:val="Hyperlink"/>
    <w:basedOn w:val="Tipodeletrapredefinidodopargrafo"/>
    <w:uiPriority w:val="99"/>
    <w:unhideWhenUsed/>
    <w:rsid w:val="00115A52"/>
    <w:rPr>
      <w:color w:val="0000FF" w:themeColor="hyperlink"/>
      <w:u w:val="single"/>
    </w:rPr>
  </w:style>
  <w:style w:type="character" w:styleId="MenoNoResolvida">
    <w:name w:val="Unresolved Mention"/>
    <w:basedOn w:val="Tipodeletrapredefinidodopargrafo"/>
    <w:uiPriority w:val="99"/>
    <w:semiHidden/>
    <w:unhideWhenUsed/>
    <w:rsid w:val="00115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5351">
      <w:bodyDiv w:val="1"/>
      <w:marLeft w:val="0"/>
      <w:marRight w:val="0"/>
      <w:marTop w:val="0"/>
      <w:marBottom w:val="0"/>
      <w:divBdr>
        <w:top w:val="none" w:sz="0" w:space="0" w:color="auto"/>
        <w:left w:val="none" w:sz="0" w:space="0" w:color="auto"/>
        <w:bottom w:val="none" w:sz="0" w:space="0" w:color="auto"/>
        <w:right w:val="none" w:sz="0" w:space="0" w:color="auto"/>
      </w:divBdr>
    </w:div>
    <w:div w:id="640886250">
      <w:bodyDiv w:val="1"/>
      <w:marLeft w:val="0"/>
      <w:marRight w:val="0"/>
      <w:marTop w:val="0"/>
      <w:marBottom w:val="0"/>
      <w:divBdr>
        <w:top w:val="none" w:sz="0" w:space="0" w:color="auto"/>
        <w:left w:val="none" w:sz="0" w:space="0" w:color="auto"/>
        <w:bottom w:val="none" w:sz="0" w:space="0" w:color="auto"/>
        <w:right w:val="none" w:sz="0" w:space="0" w:color="auto"/>
      </w:divBdr>
    </w:div>
    <w:div w:id="774667947">
      <w:bodyDiv w:val="1"/>
      <w:marLeft w:val="0"/>
      <w:marRight w:val="0"/>
      <w:marTop w:val="0"/>
      <w:marBottom w:val="0"/>
      <w:divBdr>
        <w:top w:val="none" w:sz="0" w:space="0" w:color="auto"/>
        <w:left w:val="none" w:sz="0" w:space="0" w:color="auto"/>
        <w:bottom w:val="none" w:sz="0" w:space="0" w:color="auto"/>
        <w:right w:val="none" w:sz="0" w:space="0" w:color="auto"/>
      </w:divBdr>
    </w:div>
    <w:div w:id="834035629">
      <w:bodyDiv w:val="1"/>
      <w:marLeft w:val="0"/>
      <w:marRight w:val="0"/>
      <w:marTop w:val="0"/>
      <w:marBottom w:val="0"/>
      <w:divBdr>
        <w:top w:val="none" w:sz="0" w:space="0" w:color="auto"/>
        <w:left w:val="none" w:sz="0" w:space="0" w:color="auto"/>
        <w:bottom w:val="none" w:sz="0" w:space="0" w:color="auto"/>
        <w:right w:val="none" w:sz="0" w:space="0" w:color="auto"/>
      </w:divBdr>
    </w:div>
    <w:div w:id="1045832721">
      <w:bodyDiv w:val="1"/>
      <w:marLeft w:val="0"/>
      <w:marRight w:val="0"/>
      <w:marTop w:val="0"/>
      <w:marBottom w:val="0"/>
      <w:divBdr>
        <w:top w:val="none" w:sz="0" w:space="0" w:color="auto"/>
        <w:left w:val="none" w:sz="0" w:space="0" w:color="auto"/>
        <w:bottom w:val="none" w:sz="0" w:space="0" w:color="auto"/>
        <w:right w:val="none" w:sz="0" w:space="0" w:color="auto"/>
      </w:divBdr>
    </w:div>
    <w:div w:id="1155293782">
      <w:bodyDiv w:val="1"/>
      <w:marLeft w:val="0"/>
      <w:marRight w:val="0"/>
      <w:marTop w:val="0"/>
      <w:marBottom w:val="0"/>
      <w:divBdr>
        <w:top w:val="none" w:sz="0" w:space="0" w:color="auto"/>
        <w:left w:val="none" w:sz="0" w:space="0" w:color="auto"/>
        <w:bottom w:val="none" w:sz="0" w:space="0" w:color="auto"/>
        <w:right w:val="none" w:sz="0" w:space="0" w:color="auto"/>
      </w:divBdr>
    </w:div>
    <w:div w:id="1221090417">
      <w:bodyDiv w:val="1"/>
      <w:marLeft w:val="0"/>
      <w:marRight w:val="0"/>
      <w:marTop w:val="0"/>
      <w:marBottom w:val="0"/>
      <w:divBdr>
        <w:top w:val="none" w:sz="0" w:space="0" w:color="auto"/>
        <w:left w:val="none" w:sz="0" w:space="0" w:color="auto"/>
        <w:bottom w:val="none" w:sz="0" w:space="0" w:color="auto"/>
        <w:right w:val="none" w:sz="0" w:space="0" w:color="auto"/>
      </w:divBdr>
    </w:div>
    <w:div w:id="1337997258">
      <w:bodyDiv w:val="1"/>
      <w:marLeft w:val="0"/>
      <w:marRight w:val="0"/>
      <w:marTop w:val="0"/>
      <w:marBottom w:val="0"/>
      <w:divBdr>
        <w:top w:val="none" w:sz="0" w:space="0" w:color="auto"/>
        <w:left w:val="none" w:sz="0" w:space="0" w:color="auto"/>
        <w:bottom w:val="none" w:sz="0" w:space="0" w:color="auto"/>
        <w:right w:val="none" w:sz="0" w:space="0" w:color="auto"/>
      </w:divBdr>
    </w:div>
    <w:div w:id="2049523435">
      <w:bodyDiv w:val="1"/>
      <w:marLeft w:val="0"/>
      <w:marRight w:val="0"/>
      <w:marTop w:val="0"/>
      <w:marBottom w:val="0"/>
      <w:divBdr>
        <w:top w:val="none" w:sz="0" w:space="0" w:color="auto"/>
        <w:left w:val="none" w:sz="0" w:space="0" w:color="auto"/>
        <w:bottom w:val="none" w:sz="0" w:space="0" w:color="auto"/>
        <w:right w:val="none" w:sz="0" w:space="0" w:color="auto"/>
      </w:divBdr>
    </w:div>
    <w:div w:id="2106613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baiano.edu.br/portal/mestrado-ciencias-ambientais-serrinha/wp-content/uploads/sites/84/2024/08/Adson-Oliveir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2543D-99ED-4B7E-86EC-AC61C1A5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2276</Words>
  <Characters>12294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Fábio Figueredo</dc:creator>
  <cp:lastModifiedBy>Rafaella Rodrigues</cp:lastModifiedBy>
  <cp:revision>20</cp:revision>
  <dcterms:created xsi:type="dcterms:W3CDTF">2025-05-29T20:36:00Z</dcterms:created>
  <dcterms:modified xsi:type="dcterms:W3CDTF">2025-05-30T00:23:00Z</dcterms:modified>
</cp:coreProperties>
</file>