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F011F" w14:textId="29FC0010" w:rsidR="00601064" w:rsidRDefault="00000000" w:rsidP="00237F0B">
      <w:pPr>
        <w:pStyle w:val="NormalWeb"/>
        <w:shd w:val="clear" w:color="auto" w:fill="FFFFFF"/>
        <w:spacing w:beforeAutospacing="0" w:line="240" w:lineRule="auto"/>
        <w:jc w:val="center"/>
        <w:rPr>
          <w:b/>
          <w:bCs/>
          <w:color w:val="000000"/>
          <w:sz w:val="24"/>
          <w:shd w:val="clear" w:color="auto" w:fill="FFFFFF"/>
          <w:lang w:val="pt-BR"/>
        </w:rPr>
      </w:pPr>
      <w:r>
        <w:rPr>
          <w:b/>
          <w:bCs/>
          <w:color w:val="000000"/>
          <w:sz w:val="24"/>
          <w:shd w:val="clear" w:color="auto" w:fill="FFFFFF"/>
          <w:lang w:val="pt-BR"/>
        </w:rPr>
        <w:t>ANÁLISE DA SUSTENTABILIDADE NA GESTÃO DE BACIAS HIDROGRÁFICAS: POTENCIAL PARA EXPANSÃO DE AGÊNCIAS DE BACIAS NO ESTADO DO PARÁ</w:t>
      </w:r>
    </w:p>
    <w:p w14:paraId="20B1B823" w14:textId="77777777" w:rsidR="00237F0B" w:rsidRDefault="00237F0B" w:rsidP="00237F0B">
      <w:pPr>
        <w:pStyle w:val="NormalWeb"/>
        <w:shd w:val="clear" w:color="auto" w:fill="FFFFFF"/>
        <w:spacing w:beforeAutospacing="0" w:line="240" w:lineRule="auto"/>
        <w:jc w:val="center"/>
        <w:rPr>
          <w:b/>
          <w:bCs/>
          <w:color w:val="000000"/>
          <w:sz w:val="24"/>
          <w:shd w:val="clear" w:color="auto" w:fill="FFFFFF"/>
          <w:lang w:val="pt-BR"/>
        </w:rPr>
      </w:pPr>
    </w:p>
    <w:p w14:paraId="68AB022A" w14:textId="77777777" w:rsidR="00601064" w:rsidRDefault="00000000" w:rsidP="00237F0B">
      <w:pPr>
        <w:pStyle w:val="NormalWeb"/>
        <w:shd w:val="clear" w:color="auto" w:fill="FFFFFF"/>
        <w:spacing w:beforeAutospacing="0" w:line="240" w:lineRule="auto"/>
        <w:jc w:val="center"/>
        <w:rPr>
          <w:lang w:val="pt-BR"/>
        </w:rPr>
      </w:pPr>
      <w:r>
        <w:rPr>
          <w:sz w:val="24"/>
          <w:lang w:val="pt-BR"/>
        </w:rPr>
        <w:t>Wylfredo Pragana de Oliveira</w:t>
      </w:r>
      <w:r>
        <w:rPr>
          <w:sz w:val="24"/>
          <w:vertAlign w:val="superscript"/>
          <w:lang w:val="pt-BR"/>
        </w:rPr>
        <w:t>1</w:t>
      </w:r>
      <w:r>
        <w:rPr>
          <w:sz w:val="24"/>
          <w:lang w:val="pt-BR"/>
        </w:rPr>
        <w:t>; José Willame da Costa Medeiros</w:t>
      </w:r>
      <w:r>
        <w:rPr>
          <w:sz w:val="24"/>
          <w:vertAlign w:val="superscript"/>
          <w:lang w:val="pt-BR"/>
        </w:rPr>
        <w:t>2</w:t>
      </w:r>
      <w:r>
        <w:rPr>
          <w:sz w:val="24"/>
          <w:lang w:val="pt-BR"/>
        </w:rPr>
        <w:t>; Valéria de Figueiredo Botelho</w:t>
      </w:r>
      <w:r>
        <w:rPr>
          <w:sz w:val="24"/>
          <w:vertAlign w:val="superscript"/>
          <w:lang w:val="pt-BR"/>
        </w:rPr>
        <w:t>3</w:t>
      </w:r>
      <w:r>
        <w:rPr>
          <w:sz w:val="24"/>
          <w:lang w:val="pt-BR"/>
        </w:rPr>
        <w:t xml:space="preserve">; </w:t>
      </w:r>
      <w:r>
        <w:rPr>
          <w:color w:val="000000"/>
          <w:sz w:val="24"/>
          <w:shd w:val="clear" w:color="auto" w:fill="FFFFFF"/>
          <w:lang w:val="pt-BR"/>
        </w:rPr>
        <w:t>Altem Nascimento Pontes</w:t>
      </w:r>
      <w:r>
        <w:rPr>
          <w:color w:val="000000"/>
          <w:sz w:val="24"/>
          <w:shd w:val="clear" w:color="auto" w:fill="FFFFFF"/>
          <w:vertAlign w:val="superscript"/>
          <w:lang w:val="pt-BR"/>
        </w:rPr>
        <w:t>4</w:t>
      </w:r>
    </w:p>
    <w:p w14:paraId="037EE16C" w14:textId="77777777" w:rsidR="00601064" w:rsidRDefault="00601064" w:rsidP="00237F0B">
      <w:pPr>
        <w:pStyle w:val="NormalWeb"/>
        <w:spacing w:beforeAutospacing="0" w:line="240" w:lineRule="auto"/>
        <w:jc w:val="both"/>
        <w:rPr>
          <w:sz w:val="24"/>
          <w:vertAlign w:val="superscript"/>
          <w:lang w:val="pt-BR"/>
        </w:rPr>
      </w:pPr>
    </w:p>
    <w:p w14:paraId="359AAFBF" w14:textId="77777777" w:rsidR="00601064" w:rsidRDefault="00000000" w:rsidP="00237F0B">
      <w:pPr>
        <w:pStyle w:val="NormalWeb"/>
        <w:spacing w:beforeAutospacing="0" w:line="240" w:lineRule="auto"/>
        <w:jc w:val="center"/>
        <w:rPr>
          <w:sz w:val="24"/>
          <w:lang w:val="pt-BR"/>
        </w:rPr>
      </w:pPr>
      <w:r>
        <w:rPr>
          <w:sz w:val="24"/>
          <w:vertAlign w:val="superscript"/>
          <w:lang w:val="pt-BR"/>
        </w:rPr>
        <w:t>1</w:t>
      </w:r>
      <w:r>
        <w:rPr>
          <w:sz w:val="24"/>
          <w:lang w:val="pt-BR"/>
        </w:rPr>
        <w:t xml:space="preserve"> Mestre em Neurociência e Biologia Celular. Secretaria de Estado de Meio Ambiente e Sustentabilidade. wylpragana@yahoo.com.br</w:t>
      </w:r>
    </w:p>
    <w:p w14:paraId="0A54FF1E" w14:textId="5CF1EADC" w:rsidR="00601064" w:rsidRDefault="00000000" w:rsidP="00237F0B">
      <w:pPr>
        <w:pStyle w:val="NormalWeb"/>
        <w:spacing w:beforeAutospacing="0" w:line="240" w:lineRule="auto"/>
        <w:jc w:val="center"/>
        <w:rPr>
          <w:sz w:val="24"/>
        </w:rPr>
      </w:pPr>
      <w:r>
        <w:rPr>
          <w:sz w:val="24"/>
          <w:vertAlign w:val="superscript"/>
          <w:lang w:val="pt-BR"/>
        </w:rPr>
        <w:t xml:space="preserve">2 </w:t>
      </w:r>
      <w:r>
        <w:rPr>
          <w:sz w:val="24"/>
          <w:lang w:val="pt-BR"/>
        </w:rPr>
        <w:t>Engenheiro Agrônomo.</w:t>
      </w:r>
      <w:r w:rsidR="00237F0B">
        <w:rPr>
          <w:sz w:val="24"/>
          <w:lang w:val="pt-BR"/>
        </w:rPr>
        <w:t xml:space="preserve"> </w:t>
      </w:r>
      <w:r>
        <w:rPr>
          <w:sz w:val="24"/>
          <w:lang w:val="pt-BR"/>
        </w:rPr>
        <w:t>Secretaria de Estado de Meio Ambiente e Sustentabilidade.</w:t>
      </w:r>
    </w:p>
    <w:p w14:paraId="79CBD55F" w14:textId="77777777" w:rsidR="00601064" w:rsidRDefault="00000000" w:rsidP="00237F0B">
      <w:pPr>
        <w:pStyle w:val="NormalWeb"/>
        <w:spacing w:beforeAutospacing="0" w:line="240" w:lineRule="auto"/>
        <w:jc w:val="center"/>
        <w:rPr>
          <w:sz w:val="24"/>
          <w:lang w:val="pt-BR"/>
        </w:rPr>
      </w:pPr>
      <w:r>
        <w:rPr>
          <w:sz w:val="24"/>
          <w:vertAlign w:val="superscript"/>
          <w:lang w:val="pt-BR"/>
        </w:rPr>
        <w:t>3</w:t>
      </w:r>
      <w:r>
        <w:rPr>
          <w:sz w:val="24"/>
          <w:lang w:val="pt-BR"/>
        </w:rPr>
        <w:t xml:space="preserve"> Mestra em Ciências Ambientais. Secretaria de Estado de Meio Ambiente e Sustentabilidade.</w:t>
      </w:r>
    </w:p>
    <w:p w14:paraId="1BC5958D" w14:textId="77777777" w:rsidR="00601064" w:rsidRDefault="00000000" w:rsidP="00237F0B">
      <w:pPr>
        <w:pStyle w:val="NormalWeb"/>
        <w:shd w:val="clear" w:color="auto" w:fill="FFFFFF"/>
        <w:spacing w:beforeAutospacing="0" w:line="240" w:lineRule="auto"/>
        <w:jc w:val="center"/>
        <w:rPr>
          <w:color w:val="000000"/>
          <w:sz w:val="24"/>
          <w:shd w:val="clear" w:color="auto" w:fill="FFFFFF"/>
          <w:lang w:val="pt-BR"/>
        </w:rPr>
      </w:pPr>
      <w:r>
        <w:rPr>
          <w:sz w:val="24"/>
          <w:vertAlign w:val="superscript"/>
          <w:lang w:val="pt-BR"/>
        </w:rPr>
        <w:t xml:space="preserve">4 </w:t>
      </w:r>
      <w:r>
        <w:rPr>
          <w:color w:val="000000"/>
          <w:sz w:val="24"/>
          <w:shd w:val="clear" w:color="auto" w:fill="FFFFFF"/>
          <w:lang w:val="pt-BR"/>
        </w:rPr>
        <w:t>Doutor em Ciências Físicas. Professor e Pesquisador do Programa de Pós-Graduação em Ciências Ambientais da Universidade do Estado do Pará. Professor da Universidade Federal do Pará.</w:t>
      </w:r>
    </w:p>
    <w:p w14:paraId="0606F567" w14:textId="77777777" w:rsidR="00601064" w:rsidRDefault="00601064" w:rsidP="00237F0B">
      <w:pPr>
        <w:pStyle w:val="NormalWeb"/>
        <w:shd w:val="clear" w:color="auto" w:fill="FFFFFF"/>
        <w:spacing w:beforeAutospacing="0" w:line="240" w:lineRule="auto"/>
        <w:jc w:val="center"/>
        <w:rPr>
          <w:color w:val="000000"/>
          <w:sz w:val="24"/>
          <w:shd w:val="clear" w:color="auto" w:fill="FFFFFF"/>
          <w:lang w:val="pt-BR"/>
        </w:rPr>
      </w:pPr>
    </w:p>
    <w:p w14:paraId="54012637" w14:textId="77777777" w:rsidR="00601064" w:rsidRDefault="00000000" w:rsidP="00237F0B">
      <w:pPr>
        <w:pStyle w:val="NormalWeb"/>
        <w:shd w:val="clear" w:color="auto" w:fill="FFFFFF"/>
        <w:spacing w:beforeAutospacing="0" w:line="240" w:lineRule="auto"/>
        <w:jc w:val="center"/>
        <w:rPr>
          <w:b/>
          <w:bCs/>
          <w:color w:val="000000"/>
          <w:sz w:val="24"/>
          <w:shd w:val="clear" w:color="auto" w:fill="FFFFFF"/>
          <w:lang w:val="pt-BR"/>
        </w:rPr>
      </w:pPr>
      <w:r>
        <w:rPr>
          <w:b/>
          <w:bCs/>
          <w:color w:val="000000"/>
          <w:sz w:val="24"/>
          <w:shd w:val="clear" w:color="auto" w:fill="FFFFFF"/>
          <w:lang w:val="pt-BR"/>
        </w:rPr>
        <w:t>RESUMO</w:t>
      </w:r>
    </w:p>
    <w:p w14:paraId="46F1DE27" w14:textId="77777777" w:rsidR="00237F0B" w:rsidRDefault="00237F0B" w:rsidP="00237F0B">
      <w:pPr>
        <w:pStyle w:val="NormalWeb"/>
        <w:shd w:val="clear" w:color="auto" w:fill="FFFFFF"/>
        <w:spacing w:beforeAutospacing="0" w:line="240" w:lineRule="auto"/>
        <w:jc w:val="center"/>
        <w:rPr>
          <w:sz w:val="24"/>
        </w:rPr>
      </w:pPr>
    </w:p>
    <w:p w14:paraId="4B23F5DB" w14:textId="5F5D64E6" w:rsidR="00601064" w:rsidRDefault="00000000" w:rsidP="00237F0B">
      <w:pPr>
        <w:pStyle w:val="NormalWeb"/>
        <w:shd w:val="clear" w:color="auto" w:fill="FFFFFF"/>
        <w:spacing w:beforeAutospacing="0" w:line="240" w:lineRule="auto"/>
        <w:jc w:val="both"/>
        <w:rPr>
          <w:color w:val="000000"/>
          <w:sz w:val="24"/>
          <w:shd w:val="clear" w:color="auto" w:fill="FFFFFF"/>
          <w:lang w:val="pt-BR"/>
        </w:rPr>
      </w:pPr>
      <w:r>
        <w:rPr>
          <w:sz w:val="24"/>
          <w:lang w:val="pt-BR"/>
        </w:rPr>
        <w:t xml:space="preserve">A partir da década de 1990 a política de gestão de recursos hídricos passou a prever uma maior parceria do Estado com a sociedade, propondo a descentralização e a atuação subsidiária da gestão dos recursos hídricos nas bacias hidrográficas, por intermédio da criação de Comitês de Bacia, atuando como colegiados participativos e pelas Agências de Bacia, como braço executor das ações. Porém, é comum que estes organismos, quando presentes, tenham poucos resultados efetivos diante da problemática sobre a qual atuam. Uma das causas se deve </w:t>
      </w:r>
      <w:r w:rsidR="00237F0B">
        <w:rPr>
          <w:sz w:val="24"/>
          <w:lang w:val="pt-BR"/>
        </w:rPr>
        <w:t>à</w:t>
      </w:r>
      <w:r>
        <w:rPr>
          <w:sz w:val="24"/>
          <w:lang w:val="pt-BR"/>
        </w:rPr>
        <w:t xml:space="preserve"> ausência de estudo prévio sobre a viabilidade financeira para a criação e manutenção desses entes. O estudo pretende demonstrar através da geoespacialização e concentração dos atos autorizativos (outorgas) o potencial que determinadas bacias hidrográficas do estado do Pará possuem em avançar para uma gestão regionalizada, por meio de Comitês e Agências de Bacias. A concentração de outorgas numa determinada bacia indica a criticidade do uso, bem como o potencial arrecadatório, já que os valores arrecadados, com a regulamentação da cobrança pelo uso de recursos hídricos, devem ser aplicados prioritariamente na bacia hidrográfica em que forem gerados, fomentando</w:t>
      </w:r>
      <w:r w:rsidR="00237F0B">
        <w:rPr>
          <w:sz w:val="24"/>
          <w:lang w:val="pt-BR"/>
        </w:rPr>
        <w:t>:</w:t>
      </w:r>
      <w:r>
        <w:rPr>
          <w:sz w:val="24"/>
          <w:lang w:val="pt-BR"/>
        </w:rPr>
        <w:t xml:space="preserve"> o monitoramento dos corpos de água, a fiscalização do uso dos recursos hídricos, o financiamento de estudos, programas, projetos, obras etc. Assim, objetivou-se constatar, quais são as cinco principais macrobacias onde estão concentradas o maior uso quantitativo de recursos hídricos no estado do Pará, indicando por extensão, o potencial que determinadas bacias hidrográficas possuem em avançar para uma gestão regionalizada. Os dados foram obtidos de fonte aberta no sítio eletrônico da Secretaria de Meio Ambiente e Sustentabilidade do Pará (SEMAS-PA). O estudo envolveu o cruzamento de arquivos </w:t>
      </w:r>
      <w:r>
        <w:rPr>
          <w:i/>
          <w:iCs/>
          <w:sz w:val="24"/>
          <w:lang w:val="pt-BR"/>
        </w:rPr>
        <w:t>shapefile</w:t>
      </w:r>
      <w:r>
        <w:rPr>
          <w:sz w:val="24"/>
          <w:lang w:val="pt-BR"/>
        </w:rPr>
        <w:t xml:space="preserve"> das outorgas de captação superficial e subterrânea e lançamento de efluentes vigentes até agosto de 2024, padronizadas para expressar o volume autorizado em (m</w:t>
      </w:r>
      <w:r>
        <w:rPr>
          <w:sz w:val="24"/>
          <w:vertAlign w:val="superscript"/>
          <w:lang w:val="pt-BR"/>
        </w:rPr>
        <w:t>3</w:t>
      </w:r>
      <w:r>
        <w:rPr>
          <w:sz w:val="24"/>
          <w:lang w:val="pt-BR"/>
        </w:rPr>
        <w:t>/dia). As outorgas foram geoespacializadas através do software ArcGis®, e o somatório dos volumes outorgados foram quantificados em planilhas eletrônicas e posteriormente conectados ao PowerBI Desktop®. Após a análise de dados, pode-se observar que as cinco principais macrobacias com potencial arrecadatório, considerando todas as vazões outorgadas, são em ordem decrescentes as bacias do: Itacaiúnas com 31.718.286 (m</w:t>
      </w:r>
      <w:r>
        <w:rPr>
          <w:sz w:val="24"/>
          <w:vertAlign w:val="superscript"/>
          <w:lang w:val="pt-BR"/>
        </w:rPr>
        <w:t>3</w:t>
      </w:r>
      <w:r>
        <w:rPr>
          <w:sz w:val="24"/>
          <w:lang w:val="pt-BR"/>
        </w:rPr>
        <w:t>/dia); Costa Atlântico Nordeste 8.857.968,3</w:t>
      </w:r>
      <w:r w:rsidR="00237F0B">
        <w:rPr>
          <w:sz w:val="24"/>
          <w:lang w:val="pt-BR"/>
        </w:rPr>
        <w:t xml:space="preserve"> </w:t>
      </w:r>
      <w:r>
        <w:rPr>
          <w:sz w:val="24"/>
          <w:lang w:val="pt-BR"/>
        </w:rPr>
        <w:t>(m</w:t>
      </w:r>
      <w:r>
        <w:rPr>
          <w:sz w:val="24"/>
          <w:vertAlign w:val="superscript"/>
          <w:lang w:val="pt-BR"/>
        </w:rPr>
        <w:t>3</w:t>
      </w:r>
      <w:r>
        <w:rPr>
          <w:sz w:val="24"/>
          <w:lang w:val="pt-BR"/>
        </w:rPr>
        <w:t>/dia); Alto Tapajós 2.082.127,3 (m</w:t>
      </w:r>
      <w:r>
        <w:rPr>
          <w:sz w:val="24"/>
          <w:vertAlign w:val="superscript"/>
          <w:lang w:val="pt-BR"/>
        </w:rPr>
        <w:t>3</w:t>
      </w:r>
      <w:r>
        <w:rPr>
          <w:sz w:val="24"/>
          <w:lang w:val="pt-BR"/>
        </w:rPr>
        <w:t>/dia); Guamá 734.435,1 (m</w:t>
      </w:r>
      <w:r>
        <w:rPr>
          <w:sz w:val="24"/>
          <w:vertAlign w:val="superscript"/>
          <w:lang w:val="pt-BR"/>
        </w:rPr>
        <w:t>3</w:t>
      </w:r>
      <w:r>
        <w:rPr>
          <w:sz w:val="24"/>
          <w:lang w:val="pt-BR"/>
        </w:rPr>
        <w:t>/dia) e Capim 518.075,4 (m</w:t>
      </w:r>
      <w:r>
        <w:rPr>
          <w:sz w:val="24"/>
          <w:vertAlign w:val="superscript"/>
          <w:lang w:val="pt-BR"/>
        </w:rPr>
        <w:t>3</w:t>
      </w:r>
      <w:r>
        <w:rPr>
          <w:sz w:val="24"/>
          <w:lang w:val="pt-BR"/>
        </w:rPr>
        <w:t xml:space="preserve">/dia). O potencial arrecadatório </w:t>
      </w:r>
      <w:r>
        <w:rPr>
          <w:sz w:val="24"/>
          <w:lang w:val="pt-BR"/>
        </w:rPr>
        <w:lastRenderedPageBreak/>
        <w:t>dessas bacias, proveniente de sua respectiva cobrança pelo uso dos recursos hídricos podem viabilizar a criação de Comitês e Agências de Bacias nas referidas Bacias, promovendo a descentralização e a autonomia administrativa, fatores fundamentais para a conservação mais eficiente dos recursos hídricos no estado do Pará, e c</w:t>
      </w:r>
      <w:r>
        <w:rPr>
          <w:color w:val="000000"/>
          <w:sz w:val="24"/>
          <w:shd w:val="clear" w:color="auto" w:fill="FFFFFF"/>
          <w:lang w:val="pt-BR"/>
        </w:rPr>
        <w:t>onsiderando sua extensão geográfica importante, é oportuno fomentar organismos sensíveis a identificação e solução de possíveis conflitos pelo uso da água em escala local, já que, estes, possuem um potencial de resposta proporcionalmente muito mais célere frente a estrutura administrativa centralizada. A descentralização na tomada de decisão pode retardar os vetores de pressão antrópica, mantendo a sustentabilidade dos ecossistemas que indiretamente influenciam o equilíbrio ecológico e climátic</w:t>
      </w:r>
      <w:r w:rsidR="00237F0B">
        <w:rPr>
          <w:color w:val="000000"/>
          <w:sz w:val="24"/>
          <w:shd w:val="clear" w:color="auto" w:fill="FFFFFF"/>
          <w:lang w:val="pt-BR"/>
        </w:rPr>
        <w:t>o</w:t>
      </w:r>
      <w:r>
        <w:rPr>
          <w:color w:val="000000"/>
          <w:sz w:val="24"/>
          <w:shd w:val="clear" w:color="auto" w:fill="FFFFFF"/>
          <w:lang w:val="pt-BR"/>
        </w:rPr>
        <w:t xml:space="preserve"> do planeta.</w:t>
      </w:r>
    </w:p>
    <w:p w14:paraId="0ABBDE7E" w14:textId="77777777" w:rsidR="00237F0B" w:rsidRDefault="00237F0B" w:rsidP="00237F0B">
      <w:pPr>
        <w:pStyle w:val="NormalWeb"/>
        <w:shd w:val="clear" w:color="auto" w:fill="FFFFFF"/>
        <w:spacing w:beforeAutospacing="0" w:line="240" w:lineRule="auto"/>
        <w:jc w:val="both"/>
        <w:rPr>
          <w:b/>
          <w:bCs/>
          <w:color w:val="000000"/>
          <w:sz w:val="24"/>
          <w:shd w:val="clear" w:color="auto" w:fill="FFFFFF"/>
          <w:lang w:val="pt-BR"/>
        </w:rPr>
      </w:pPr>
    </w:p>
    <w:p w14:paraId="3D9B9F49" w14:textId="2346ED0B" w:rsidR="00601064" w:rsidRDefault="00000000" w:rsidP="00237F0B">
      <w:pPr>
        <w:pStyle w:val="NormalWeb"/>
        <w:shd w:val="clear" w:color="auto" w:fill="FFFFFF"/>
        <w:spacing w:beforeAutospacing="0" w:line="240" w:lineRule="auto"/>
        <w:jc w:val="both"/>
      </w:pPr>
      <w:r>
        <w:rPr>
          <w:b/>
          <w:bCs/>
          <w:color w:val="000000"/>
          <w:sz w:val="24"/>
          <w:shd w:val="clear" w:color="auto" w:fill="FFFFFF"/>
          <w:lang w:val="pt-BR"/>
        </w:rPr>
        <w:t xml:space="preserve">Palavras-chave: </w:t>
      </w:r>
      <w:r w:rsidR="00237F0B">
        <w:rPr>
          <w:sz w:val="24"/>
          <w:lang w:val="pt-BR"/>
        </w:rPr>
        <w:t>Monitoramento dos corpos de água</w:t>
      </w:r>
      <w:r>
        <w:rPr>
          <w:color w:val="000000"/>
          <w:sz w:val="24"/>
          <w:shd w:val="clear" w:color="auto" w:fill="FFFFFF"/>
          <w:lang w:val="pt-BR"/>
        </w:rPr>
        <w:t xml:space="preserve">. </w:t>
      </w:r>
      <w:r w:rsidR="002B4879">
        <w:rPr>
          <w:sz w:val="24"/>
          <w:shd w:val="clear" w:color="auto" w:fill="FFFFFF"/>
          <w:lang w:val="pt-BR"/>
        </w:rPr>
        <w:t>Recursos hídricos.</w:t>
      </w:r>
      <w:r w:rsidR="002B4879">
        <w:rPr>
          <w:b/>
          <w:bCs/>
          <w:color w:val="000000"/>
          <w:sz w:val="24"/>
          <w:shd w:val="clear" w:color="auto" w:fill="FFFFFF"/>
          <w:lang w:val="pt-BR"/>
        </w:rPr>
        <w:t xml:space="preserve"> </w:t>
      </w:r>
      <w:r>
        <w:rPr>
          <w:color w:val="000000"/>
          <w:sz w:val="24"/>
          <w:shd w:val="clear" w:color="auto" w:fill="FFFFFF"/>
          <w:lang w:val="pt-BR"/>
        </w:rPr>
        <w:t xml:space="preserve">Sustentabilidade. </w:t>
      </w:r>
    </w:p>
    <w:p w14:paraId="66E145C2" w14:textId="77777777" w:rsidR="00237F0B" w:rsidRDefault="00237F0B" w:rsidP="00237F0B">
      <w:pPr>
        <w:pStyle w:val="NormalWeb"/>
        <w:shd w:val="clear" w:color="auto" w:fill="FFFFFF"/>
        <w:spacing w:beforeAutospacing="0" w:line="240" w:lineRule="auto"/>
        <w:jc w:val="both"/>
        <w:rPr>
          <w:b/>
          <w:bCs/>
          <w:color w:val="000000"/>
          <w:sz w:val="24"/>
          <w:shd w:val="clear" w:color="auto" w:fill="FFFFFF"/>
          <w:lang w:val="pt-BR"/>
        </w:rPr>
      </w:pPr>
    </w:p>
    <w:p w14:paraId="5F4DD418" w14:textId="63B6B141" w:rsidR="00601064" w:rsidRDefault="00000000" w:rsidP="005A6FD7">
      <w:pPr>
        <w:pStyle w:val="NormalWeb"/>
        <w:shd w:val="clear" w:color="auto" w:fill="FFFFFF"/>
        <w:spacing w:beforeAutospacing="0" w:line="240" w:lineRule="auto"/>
        <w:jc w:val="both"/>
      </w:pPr>
      <w:r>
        <w:rPr>
          <w:b/>
          <w:bCs/>
          <w:color w:val="000000"/>
          <w:sz w:val="24"/>
          <w:shd w:val="clear" w:color="auto" w:fill="FFFFFF"/>
          <w:lang w:val="pt-BR"/>
        </w:rPr>
        <w:t>Escolha a Área de Interesse do Simpósio</w:t>
      </w:r>
      <w:r>
        <w:rPr>
          <w:color w:val="000000"/>
          <w:sz w:val="24"/>
          <w:shd w:val="clear" w:color="auto" w:fill="FFFFFF"/>
          <w:lang w:val="pt-BR"/>
        </w:rPr>
        <w:t xml:space="preserve">: </w:t>
      </w:r>
      <w:r w:rsidR="005A6FD7" w:rsidRPr="005A6FD7">
        <w:rPr>
          <w:color w:val="000000"/>
          <w:sz w:val="24"/>
          <w:shd w:val="clear" w:color="auto" w:fill="FFFFFF"/>
          <w:lang w:val="pt-BR"/>
        </w:rPr>
        <w:t>Políticas Públicas, Legislação, Governança e Gestão Ambiental</w:t>
      </w:r>
      <w:r w:rsidR="005A6FD7">
        <w:rPr>
          <w:color w:val="000000"/>
          <w:sz w:val="24"/>
          <w:shd w:val="clear" w:color="auto" w:fill="FFFFFF"/>
          <w:lang w:val="pt-BR"/>
        </w:rPr>
        <w:t>.</w:t>
      </w:r>
      <w:r>
        <w:rPr>
          <w:lang w:val="pt-BR"/>
        </w:rPr>
        <w:br w:type="page"/>
      </w:r>
    </w:p>
    <w:sectPr w:rsidR="00601064">
      <w:headerReference w:type="default" r:id="rId7"/>
      <w:footerReference w:type="default" r:id="rId8"/>
      <w:pgSz w:w="11906" w:h="16838"/>
      <w:pgMar w:top="1701" w:right="1134" w:bottom="1134" w:left="1701" w:header="0" w:footer="6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3D05EF" w14:textId="77777777" w:rsidR="00EE5B40" w:rsidRDefault="00EE5B40">
      <w:r>
        <w:separator/>
      </w:r>
    </w:p>
  </w:endnote>
  <w:endnote w:type="continuationSeparator" w:id="0">
    <w:p w14:paraId="4525C061" w14:textId="77777777" w:rsidR="00EE5B40" w:rsidRDefault="00EE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0938C" w14:textId="77777777" w:rsidR="00601064" w:rsidRDefault="00000000">
    <w:pPr>
      <w:widowControl/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C054640" wp14:editId="2165035B">
              <wp:simplePos x="0" y="0"/>
              <wp:positionH relativeFrom="column">
                <wp:posOffset>-279400</wp:posOffset>
              </wp:positionH>
              <wp:positionV relativeFrom="paragraph">
                <wp:posOffset>-38100</wp:posOffset>
              </wp:positionV>
              <wp:extent cx="914400" cy="40005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5939F6" w14:textId="77777777" w:rsidR="00601064" w:rsidRDefault="00000000">
                          <w:pPr>
                            <w:jc w:val="center"/>
                            <w:rPr>
                              <w:b/>
                              <w:bCs/>
                              <w:color w:val="C0504D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C0504D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054640" id="Retângulo 2" o:spid="_x0000_s1026" style="position:absolute;margin-left:-22pt;margin-top:-3pt;width:1in;height:31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" fillcolor="white [3201]" stroked="f" strokeweight="2pt">
              <v:textbox>
                <w:txbxContent>
                  <w:p w14:paraId="255939F6" w14:textId="77777777" w:rsidR="00601064" w:rsidRDefault="00000000">
                    <w:pPr>
                      <w:jc w:val="center"/>
                      <w:rPr>
                        <w:b/>
                        <w:bCs/>
                        <w:color w:val="C0504D" w:themeColor="accent2"/>
                      </w:rPr>
                    </w:pPr>
                    <w:r>
                      <w:rPr>
                        <w:b/>
                        <w:bCs/>
                        <w:color w:val="C0504D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 wp14:anchorId="3B3E8882" wp14:editId="6907C3E2">
          <wp:simplePos x="0" y="0"/>
          <wp:positionH relativeFrom="column">
            <wp:posOffset>1986915</wp:posOffset>
          </wp:positionH>
          <wp:positionV relativeFrom="paragraph">
            <wp:posOffset>-31750</wp:posOffset>
          </wp:positionV>
          <wp:extent cx="443230" cy="467995"/>
          <wp:effectExtent l="0" t="0" r="0" b="0"/>
          <wp:wrapSquare wrapText="bothSides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69F29B14" wp14:editId="1B343046">
          <wp:simplePos x="0" y="0"/>
          <wp:positionH relativeFrom="column">
            <wp:posOffset>716915</wp:posOffset>
          </wp:positionH>
          <wp:positionV relativeFrom="paragraph">
            <wp:posOffset>-33655</wp:posOffset>
          </wp:positionV>
          <wp:extent cx="1231900" cy="381000"/>
          <wp:effectExtent l="0" t="0" r="0" b="0"/>
          <wp:wrapSquare wrapText="bothSides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C2CB762" wp14:editId="1A840F28">
              <wp:simplePos x="0" y="0"/>
              <wp:positionH relativeFrom="column">
                <wp:posOffset>2346325</wp:posOffset>
              </wp:positionH>
              <wp:positionV relativeFrom="paragraph">
                <wp:posOffset>-28575</wp:posOffset>
              </wp:positionV>
              <wp:extent cx="914400" cy="40005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E4A7CC" w14:textId="77777777" w:rsidR="00601064" w:rsidRDefault="00000000">
                          <w:pPr>
                            <w:jc w:val="center"/>
                            <w:rPr>
                              <w:b/>
                              <w:bCs/>
                              <w:color w:val="C0504D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C0504D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2CB762" id="Retângulo 1" o:spid="_x0000_s1027" style="position:absolute;margin-left:184.75pt;margin-top:-2.25pt;width:1in;height:31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" fillcolor="window" stroked="f" strokeweight="1pt">
              <v:textbox>
                <w:txbxContent>
                  <w:p w14:paraId="12E4A7CC" w14:textId="77777777" w:rsidR="00601064" w:rsidRDefault="00000000">
                    <w:pPr>
                      <w:jc w:val="center"/>
                      <w:rPr>
                        <w:b/>
                        <w:bCs/>
                        <w:color w:val="C0504D" w:themeColor="accent2"/>
                      </w:rPr>
                    </w:pPr>
                    <w:r>
                      <w:rPr>
                        <w:b/>
                        <w:bCs/>
                        <w:color w:val="C0504D" w:themeColor="accent2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5746423A" wp14:editId="3D679CF6">
          <wp:simplePos x="0" y="0"/>
          <wp:positionH relativeFrom="column">
            <wp:posOffset>3117215</wp:posOffset>
          </wp:positionH>
          <wp:positionV relativeFrom="paragraph">
            <wp:posOffset>-120650</wp:posOffset>
          </wp:positionV>
          <wp:extent cx="860425" cy="467995"/>
          <wp:effectExtent l="0" t="0" r="0" b="0"/>
          <wp:wrapSquare wrapText="bothSides"/>
          <wp:docPr id="5" name="image3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PROPIT - Unifesspa é contemplada com 68 cotas de bolsas da Fapespa para ..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AFD66CD" wp14:editId="765DB3B7">
          <wp:simplePos x="0" y="0"/>
          <wp:positionH relativeFrom="column">
            <wp:posOffset>3933190</wp:posOffset>
          </wp:positionH>
          <wp:positionV relativeFrom="paragraph">
            <wp:posOffset>-14605</wp:posOffset>
          </wp:positionV>
          <wp:extent cx="542925" cy="387350"/>
          <wp:effectExtent l="0" t="0" r="0" b="0"/>
          <wp:wrapSquare wrapText="bothSides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3C46D3E" wp14:editId="219F9D72">
          <wp:simplePos x="0" y="0"/>
          <wp:positionH relativeFrom="column">
            <wp:posOffset>4450715</wp:posOffset>
          </wp:positionH>
          <wp:positionV relativeFrom="paragraph">
            <wp:posOffset>-5715</wp:posOffset>
          </wp:positionV>
          <wp:extent cx="914400" cy="353060"/>
          <wp:effectExtent l="0" t="0" r="0" b="0"/>
          <wp:wrapSquare wrapText="bothSides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0367E18E" wp14:editId="4344AE79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/>
          <wp:docPr id="1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0.png"/>
                  <pic:cNvPicPr preferRelativeResize="0"/>
                </pic:nvPicPr>
                <pic:blipFill>
                  <a:blip r:embed="rId6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3CE6200A" wp14:editId="6367EF6E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9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C91809" w14:textId="77777777" w:rsidR="00601064" w:rsidRDefault="00601064">
    <w:pPr>
      <w:widowControl/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7EF35E" w14:textId="77777777" w:rsidR="00EE5B40" w:rsidRDefault="00EE5B40">
      <w:r>
        <w:separator/>
      </w:r>
    </w:p>
  </w:footnote>
  <w:footnote w:type="continuationSeparator" w:id="0">
    <w:p w14:paraId="6280B9F8" w14:textId="77777777" w:rsidR="00EE5B40" w:rsidRDefault="00EE5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155A5" w14:textId="77777777" w:rsidR="00601064" w:rsidRDefault="00601064">
    <w:pPr>
      <w:widowControl/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7D8F9273" w14:textId="77777777" w:rsidR="00601064" w:rsidRDefault="00000000">
    <w:pPr>
      <w:widowControl/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B631D95" wp14:editId="74729D31">
          <wp:extent cx="2356485" cy="1518285"/>
          <wp:effectExtent l="0" t="0" r="0" b="0"/>
          <wp:docPr id="8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7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F23B1E" w14:textId="77777777" w:rsidR="00601064" w:rsidRDefault="00601064">
    <w:pPr>
      <w:widowControl/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064"/>
    <w:rsid w:val="0008576E"/>
    <w:rsid w:val="00237F0B"/>
    <w:rsid w:val="002B4879"/>
    <w:rsid w:val="003A75FA"/>
    <w:rsid w:val="005A6FD7"/>
    <w:rsid w:val="00601064"/>
    <w:rsid w:val="00852ED4"/>
    <w:rsid w:val="00EE5B40"/>
    <w:rsid w:val="2D19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58180A"/>
  <w15:docId w15:val="{0A5835D8-8DBA-4FA1-83AC-341A9986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pPr>
      <w:spacing w:beforeAutospacing="1" w:line="276" w:lineRule="auto"/>
    </w:pPr>
    <w:rPr>
      <w:szCs w:val="24"/>
      <w:lang w:val="en-US" w:eastAsia="zh-CN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678</Words>
  <Characters>3665</Characters>
  <Application>Microsoft Office Word</Application>
  <DocSecurity>0</DocSecurity>
  <Lines>30</Lines>
  <Paragraphs>8</Paragraphs>
  <ScaleCrop>false</ScaleCrop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valeria.botelho</dc:creator>
  <cp:lastModifiedBy>Marcos Vinicius Afonso Cabral</cp:lastModifiedBy>
  <cp:revision>4</cp:revision>
  <dcterms:created xsi:type="dcterms:W3CDTF">2024-10-29T13:09:00Z</dcterms:created>
  <dcterms:modified xsi:type="dcterms:W3CDTF">2024-11-06T21:44:00Z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1046-12.2.0.18586</vt:lpwstr>
  </property>
  <property fmtid="{D5CDD505-2E9C-101B-9397-08002B2CF9AE}" pid="3" name="ICV">
    <vt:lpwstr>6BBB10C979734931B453B68FB89DFB35_13</vt:lpwstr>
  </property>
</Properties>
</file>