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113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7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object w:dxaOrig="2700" w:dyaOrig="2865">
          <v:rect xmlns:o="urn:schemas-microsoft-com:office:office" xmlns:v="urn:schemas-microsoft-com:vml" id="rectole0000000000" style="width:135.000000pt;height:14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Abordagem Diagnóstica e Manejo do Bloqueio Atrioventricular  de Alto Grau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90" w:after="0" w:line="240"/>
        <w:ind w:right="287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Carlos Cesar Barbosa 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carlos.barbosa@prof.fae.br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Centro  Universitário das Faculdades Associadas -FAE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Viviane  Chicourel Hipólito Rodrigues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Orcid : 0009-0002-9697-927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viviane_chicourel@hotmail.com</w:t>
        <w:br/>
        <w:t xml:space="preserve">Unidompedro</w:t>
        <w:br/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Marcel Guedes Pinto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marcel_gp@hotmail.com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ORCID: 0009-0000-5797-2685</w:t>
        <w:br/>
        <w:t xml:space="preserve">Unidompedro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Rafael Xavier França 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Orci: 0009-0002-2687-5377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Rafaelxavierfranca@outlook.com</w:t>
        <w:br/>
        <w:t xml:space="preserve">Unidompedro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Flávia Santos Pinheiro 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orcid: 0009-0000-4654-9662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flaviaxique@yahoo.com </w:t>
        <w:br/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Unidompedro </w:t>
        <w:br/>
        <w:br/>
        <w:t xml:space="preserve">Sirleila Dantas Canário 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Orcid :0009-0008-6604-9583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Sirleila@hotmail.com</w:t>
        <w:br/>
        <w:t xml:space="preserve">Unidompedro</w:t>
        <w:br/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Cícero Fontenelle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000900027354030X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cicerofontenelle@gmail.com</w:t>
        <w:br/>
        <w:t xml:space="preserve">Unidompedro</w:t>
        <w:br/>
        <w:br/>
        <w:t xml:space="preserve">Alana Tavares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alanatavares@hotmail.com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ORCID: 0000-0002-1367-0404</w:t>
        <w:br/>
        <w:t xml:space="preserve">Unidompedro</w:t>
        <w:br/>
        <w:br/>
        <w:t xml:space="preserve"> Dramilly RUSCiolelli fourny andrade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 dramillymedica@gmail.com</w:t>
        <w:br/>
        <w:t xml:space="preserve">Unidompedro</w:t>
        <w:br/>
        <w:br/>
        <w:t xml:space="preserve">Fernanda Vendramini Rosal 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fernandavrosal13@gmail.com 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9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Afya Palmas</w:t>
        <w:br/>
        <w:br/>
      </w:r>
    </w:p>
    <w:p>
      <w:pPr>
        <w:spacing w:before="54" w:after="0" w:line="240"/>
        <w:ind w:right="2862" w:left="2863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RESUMO</w:t>
      </w:r>
    </w:p>
    <w:p>
      <w:pPr>
        <w:spacing w:before="154" w:after="0" w:line="276"/>
        <w:ind w:right="1130" w:left="1133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Objetivo: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 bloqueio atrioventricular de alto grau (BAVAG) surge como um distúrbio cardíaco complexo e desafiador, interrompendo a comunicação elétrica entre átrios e ventrículos, afetando o ritmo cardíaco e a função ventricular. Nesta jornada médica, desvendaremos os mistérios do BAVAG, explorando suas causas, diagnóstico preciso, estratégias de manejo abrangentes e o papel crucial da terapia de ressincronização ventricular na restauração do ritmo cardíaco e na melhora da qualidade de vida.associadas. Além disso, recomenda-se ao paciente a abstenção de atividades físicas e o acompanhamento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cardiologista.O BAVAG se caracteriza por uma obstrução significativa ou completa da condução do impulso elétrico dos átrios para os ventrículos, alterando o ritmo cardíaco e podendo levar à bradicardia grave (frequência cardíaca baixa) e insuficiência cardíaca.Terapia de ressincronização ventricular (TRV): Uma técnica avançada que utiliza dois dispositivos implantados para estimular os ventrículos de forma sincronizada, restaurando o ritmo cardíaco natural e melhorando a função cardíaca.</w:t>
      </w:r>
    </w:p>
    <w:p>
      <w:pPr>
        <w:spacing w:before="119" w:after="0" w:line="240"/>
        <w:ind w:right="0" w:left="1133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Palavras-chave: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Miocardite,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Emergência,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Cardiologia.</w:t>
      </w:r>
    </w:p>
    <w:p>
      <w:pPr>
        <w:spacing w:before="1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7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6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5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7"/>
          <w:shd w:fill="auto" w:val="clear"/>
        </w:rPr>
      </w:pPr>
    </w:p>
    <w:p>
      <w:pPr>
        <w:spacing w:before="93" w:after="0" w:line="240"/>
        <w:ind w:right="0" w:left="1133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INTRODUÇÃO</w:t>
      </w:r>
    </w:p>
    <w:p>
      <w:pPr>
        <w:spacing w:before="121" w:after="0" w:line="276"/>
        <w:ind w:right="1134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 inflamação aguda do coração, também conhecida como miocardite aguda (MA), é uma condição que pode se desenvolver como resultado de infecções, exposição a substâncias prejudiciais e ativação do sistema imunológico. Classificada como uma das cardiomiopatias secundárias pela Organização Mundial da Saúde em 1996, a MA é caracterizada por sintomas cardíacos com duração inferior a um mês, frequentemente acompanhados por dor torácica e aumento dos níveis de troponina de alta sensibilidade. Geralmente, a miocardite apresenta uma variedade de manifestações clínicas e cursos, com a maioria dos casos se resolvendo espontaneamente. </w:t>
      </w:r>
    </w:p>
    <w:p>
      <w:pPr>
        <w:spacing w:before="121" w:after="0" w:line="276"/>
        <w:ind w:right="1134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Estima-se que a incidência dessa condição seja de 22 casos a cada 100.000 habitantes, correspondendo a cerca de 1,5 milhão de indivíduos em todo o mundo, com uma contribuição significativa para as mortes cardíacas súbitas em jovens. As principais causas incluem infecções virais (como os enterovírus), bacterianas, fúngicas e parasitárias. Sabe-se que os vírus podem desencadear a miocardite, seja por danos diretos no músculo cardíaco ou por desencadear uma resposta imunológica anormal contra o coração. A recente pandemia de Covid-19 trouxe à tona a importância da miocardite viral, destacando a necessidade de mais estudos e atenção para essa condição.</w:t>
      </w:r>
    </w:p>
    <w:p>
      <w:pPr>
        <w:spacing w:before="121" w:after="0" w:line="276"/>
        <w:ind w:right="1134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diagnóstico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aguda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pode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ser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desafiador,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pois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requer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exclusão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vários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outros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distúrbios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cardíacos, em particular doença arterial coronariana ou doença valvular. A expressão clínica da MA é muito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variada. O quadro pode ser paucisintomático manifestado por febre, dor torácica e pode evoluir para choque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cardiogênico refratário através de trovoada rítmica ou até mesmo morte súbita. Pode simular síndrome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coronariana aguda (SCA) e morte súbita pode ocorrer em qualquer estágio da doença. O diagnóstico deve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ser evocado em princípio diante do novo aparecimento dos sinais de insuficiência cardíaca ou arritmias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supraventriculares ou ventriculares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(ANIT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 al.,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2019;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DEGIOVANNI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 al.,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2021).</w:t>
      </w:r>
    </w:p>
    <w:p>
      <w:pPr>
        <w:spacing w:before="0" w:after="0" w:line="276"/>
        <w:ind w:right="0" w:left="0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93" w:after="0" w:line="240"/>
        <w:ind w:right="0" w:left="1133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REVISÃO</w:t>
      </w:r>
      <w:r>
        <w:rPr>
          <w:rFonts w:ascii="Arial" w:hAnsi="Arial" w:cs="Arial" w:eastAsia="Arial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BILIOGRÁFICA</w:t>
      </w:r>
    </w:p>
    <w:p>
      <w:pPr>
        <w:spacing w:before="156" w:after="0" w:line="240"/>
        <w:ind w:right="0" w:left="1133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Definição e</w:t>
      </w:r>
      <w:r>
        <w:rPr>
          <w:rFonts w:ascii="Arial" w:hAnsi="Arial" w:cs="Arial" w:eastAsia="Arial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epidemiologia</w:t>
      </w:r>
    </w:p>
    <w:p>
      <w:pPr>
        <w:spacing w:before="157" w:after="0" w:line="276"/>
        <w:ind w:right="1134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 músculo do coração, chamado de miocárdio, é composto por células musculares cardíacas (miócitos cardíacos) que são responsáveis pela contração do coração. Esta camada é revestida internamente pelo endocárdio e externamente pelo epicárdio. A miocardite aguda se caracteriza por uma inflamação do coração que se inicia recentemente, geralmente em menos de 1 mês. Pode ter diversas causas, tais como infecções, exposição a drogas ou substâncias tóxicas e reações imunológicas anormais. Os sintomas variam desde nenhuma manifestação até complicações graves, como insuficiência cardíaca, arritmias resistentes, choque cardiogênico e morte súbita.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(AMMIRATI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 2021;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LAMPEJO T,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2021).</w:t>
      </w:r>
    </w:p>
    <w:p>
      <w:pPr>
        <w:spacing w:before="119" w:after="0" w:line="276"/>
        <w:ind w:right="1135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 miocardite fulminante se apresenta como uma forma séria e de progressão rápida da miocardite aguda, com choque cardiogênico acompanhante que necessita de inotrópicos ou suporte circulatório mecânico. A miocardite subaguda se caracteriza por lesão contínua do miocárdio devido a um estímulo persistente/recorrente para inflamação do coração, podendo também ser considerada como miocardite curada caso haja evidências de inflamação ativa pregressa. Além disso, a miocardite subaguda é definida como um intervalo superior a 1 a 3 meses entre o início dos sintomas e o diagnóstico. Quando os sintomas persistem por um tempo prolongado (mais de 1 mês), o curso da doença é classificado como cardiomiopatia inflamatória crônica (havendo, assim, uma sobreposição com a definição de miocardite subaguda).(LAMPEJO T,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2021).</w:t>
      </w:r>
    </w:p>
    <w:p>
      <w:pPr>
        <w:spacing w:before="121" w:after="0" w:line="276"/>
        <w:ind w:right="1138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 estudo Global Burden of Disease relatou uma incidência de 22 casos de miocardite por 100.000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pacientes com base nos códigos da Classificação Internacional de Doenças (CID) na documentação de alta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hospitalar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entre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1990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2013.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 um estudo realizado na França, foi identificado que a Angina Microvascular foi a segunda causa mais frequente de dor no peito entre os pacientes atendidos no pronto-socorro, representando 3% dos casos. Além disso, aproximadamente 33% dos pacientes inicialmente diagnosticados com infarto do miocárdio, mas sem obstrução das artérias coronárias, receberam posteriormente o diagnóstico de AM. (LAMPEJO T, et al., 2021; AMMIRATI E, et al.,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2020).</w:t>
      </w:r>
    </w:p>
    <w:p>
      <w:pPr>
        <w:spacing w:before="117" w:after="0" w:line="240"/>
        <w:ind w:right="0" w:left="1133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Etiologia</w:t>
      </w:r>
    </w:p>
    <w:p>
      <w:pPr>
        <w:spacing w:before="159" w:after="0" w:line="276"/>
        <w:ind w:right="1131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Infecções virais e respostas imunomediadas pós-virais são comumente implicadas na inflamação do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músculo cardíaco. As técnicas moleculares, principalmente a amplificação da reação em</w:t>
      </w:r>
      <w:r>
        <w:rPr>
          <w:rFonts w:ascii="Arial MT" w:hAnsi="Arial MT" w:cs="Arial MT" w:eastAsia="Arial MT"/>
          <w:color w:val="auto"/>
          <w:spacing w:val="5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cadeia da polimerase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por transcrição reversa (RT-PCR), sugerem que o espectro dos vírus mais frequentemente detectados é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constituído por: enterovírus, adenovírus, vírus influenza, herpesvírus humano-6 (HHV-6), Epstein-Barr vírus,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citomegalovírus, vírus da hepatite C, parvovírus B19 e Coronavírus. Cerca de 20 vírus foram associados na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humana.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Brasil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maior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prevalência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adenovírus,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parvovírus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herpes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aproximadamente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30%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das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miocardites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desencadeadas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vírus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foi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constada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infecção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mais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-5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tipo de vírus. Além disso, a inflamação cardíaca pode ser desencadeada por infecções não virais, como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Borrelia burgdorferi (doença de Lyme), Corynebacterium diphtheriae ou Trypanosoma cruzi (doença de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Chagas)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(LIGUORI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2021;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SILVA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LB,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 2019).</w:t>
      </w:r>
    </w:p>
    <w:p>
      <w:pPr>
        <w:spacing w:before="11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6"/>
          <w:shd w:fill="auto" w:val="clear"/>
        </w:rPr>
      </w:pPr>
    </w:p>
    <w:p>
      <w:pPr>
        <w:spacing w:before="115" w:after="0" w:line="240"/>
        <w:ind w:right="0" w:left="1133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Quadro</w:t>
      </w:r>
      <w:r>
        <w:rPr>
          <w:rFonts w:ascii="Arial" w:hAnsi="Arial" w:cs="Arial" w:eastAsia="Arial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clínico</w:t>
      </w:r>
      <w:r>
        <w:rPr>
          <w:rFonts w:ascii="Arial" w:hAnsi="Arial" w:cs="Arial" w:eastAsia="Arial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diagnóstico</w:t>
      </w:r>
    </w:p>
    <w:p>
      <w:pPr>
        <w:spacing w:before="160" w:after="0" w:line="276"/>
        <w:ind w:right="1131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 apresentação clínica da miocardite é heterogênea e os possíveis quadros clínicos incluem (a) evolução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assintomática, (b) apresentação com dor torácica simulando infarto do miocárdio (IM), também conhecida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como miocardite semelhante à síndrome coronariana aguda (SCA), (c) apresentação com sintomas e sinais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 insuficiência cardíaca (IC) tipicamente com função sistólica prejudicada e (d) apresentação com risco de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vida com choque cardiogênico e/ou arritmias malignas, também conhecida como miocardite fulminante (FM)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(BUTTÀ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2020).</w:t>
      </w:r>
    </w:p>
    <w:p>
      <w:pPr>
        <w:spacing w:before="119" w:after="0" w:line="276"/>
        <w:ind w:right="1132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Embora possa não apresentar sintomas, as principais manifestações são dores no peito (em 85-95% dos casos), febre (em cerca de 65%) e dificuldade para respirar (entre 19-49% dos casos). Outros sintomas da miocardite incluem sensação de palpitações, desmaios e cansaço. Até 80% dos pacientes com miocardite aguda têm sintomas prévios, o que significa que podem ter tido problemas respiratórios, gastrointestinais e/ou outros sintomas antes.(LAMPEJO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2021;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BUTTÀ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2020).</w:t>
      </w:r>
    </w:p>
    <w:p>
      <w:pPr>
        <w:spacing w:before="120" w:after="0" w:line="276"/>
        <w:ind w:right="1128" w:left="1133" w:firstLine="283"/>
        <w:jc w:val="both"/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exame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físico,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não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há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achados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sejam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específicos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miocardite.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exames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complementares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detecção da doença incluem eletrocardiograma, biomarcadores cardíacos, além da radiografia de tórax. 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proteína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c-reativa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pode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estar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elevada,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sendo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positiva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 80%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95%,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apesar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ser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achado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inespecífico.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Recomenda-se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avaliação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peptídeo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natriurético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cerebral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suspeita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associação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insuficiência cardíaca. Níveis sanguíneos elevados de troponina cardíaca são encontrados corriqueiramente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 pacientes com miocardite, em particular naqueles com sintomas de curta duração. No entanto, a não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elevação da troponina não exclui miocardite. A medição dos níveis séricos de peptídeo natriurético cerebral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(BNP)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também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geralmente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recomendada,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mas,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novamente,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valor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normal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não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exclui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(FRADE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GLF,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2022;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LAMPEJO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2021;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AMMIRATI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2020).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</w:p>
    <w:p>
      <w:pPr>
        <w:spacing w:before="120" w:after="0" w:line="276"/>
        <w:ind w:right="1128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 velocidade de sedimentação de hemácias costuma ser elevada, porém geralmente não é medida no pronto-socorro. Um aumento persistente na taxa de sedimentação de eritrócitos pode indicar a presença de um distúrbio autoimune. Além disso, um exame diferencial de leucócitos pode revelar eosinofilia, o que sugere a existência de miocardite eosinofílica.(AMMIRATI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2020).</w:t>
      </w:r>
    </w:p>
    <w:p>
      <w:pPr>
        <w:spacing w:before="122" w:after="0" w:line="276"/>
        <w:ind w:right="1129" w:left="1133" w:firstLine="283"/>
        <w:jc w:val="both"/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 RMC tornou-se o método de imagem de escolha para o diagnóstico de miocardite, pois oferece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informações morfológicas e funcionais, bem como a caracterização tecidual de forma não invasiva. Os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achados adquirem maior sensibilidade a partir do </w:t>
      </w:r>
      <w:r>
        <w:rPr>
          <w:rFonts w:ascii="Arial MT" w:hAnsi="Arial MT" w:cs="Arial MT" w:eastAsia="Arial MT"/>
          <w:color w:val="auto"/>
          <w:spacing w:val="0"/>
          <w:position w:val="6"/>
          <w:sz w:val="13"/>
          <w:shd w:fill="auto" w:val="clear"/>
        </w:rPr>
        <w:t xml:space="preserve">7º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dia de evolução da doença. A RM cardiovascular pode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detectar edema como intensidade aumentada em T2, um achado que pode ser focal ou difuso. A hiperemia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é demonstrada como captação precoce de gadolínio aumentada por T1; e a necrose e fibrose miocárdica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criam um padrão de realce tardio em retalhos sem respeitar o território vascular, o que altera o subepicárdio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sem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modificar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subendocárdio. Essas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características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permitem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diferenciação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envolvimento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isquêmico. O diagnóstico confirmado por ressonância magnética cardíaca é baseado nos critérios de Lake e Louise, sendo considerado positivo quando pelo menos dois dos critérios a seguir são identificados: aumento do sinal focal ou difuso em imagens ponderadas em T2; aumento precoce com gadolínio após a obtenção do realce miocárdico total absoluto ou relativo; e presença de pelo menos uma área de realce tardio não relacionado à isquemia. A detecção de dois desses critérios apresenta uma precisão diagnóstica de 78%.(SANTAMARÍA-NARANJO G e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AMORES-ARELLANO</w:t>
      </w:r>
      <w:r>
        <w:rPr>
          <w:rFonts w:ascii="Arial MT" w:hAnsi="Arial MT" w:cs="Arial MT" w:eastAsia="Arial MT"/>
          <w:color w:val="auto"/>
          <w:spacing w:val="-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NE,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2020;</w:t>
      </w:r>
      <w:r>
        <w:rPr>
          <w:rFonts w:ascii="Arial MT" w:hAnsi="Arial MT" w:cs="Arial MT" w:eastAsia="Arial MT"/>
          <w:color w:val="auto"/>
          <w:spacing w:val="-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FERREIRA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VM, et</w:t>
      </w:r>
      <w:r>
        <w:rPr>
          <w:rFonts w:ascii="Arial MT" w:hAnsi="Arial MT" w:cs="Arial MT" w:eastAsia="Arial MT"/>
          <w:color w:val="auto"/>
          <w:spacing w:val="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"/>
          <w:position w:val="6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6"/>
          <w:sz w:val="20"/>
          <w:shd w:fill="auto" w:val="clear"/>
        </w:rPr>
        <w:t xml:space="preserve">2018).</w:t>
      </w:r>
    </w:p>
    <w:p>
      <w:pPr>
        <w:spacing w:before="122" w:after="0" w:line="276"/>
        <w:ind w:right="1141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 diagnóstico final de miocardite só é possível através da EMB, que ainda é o padrão ouro diagnóstico,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mas devido ao seu caráter invasivo, baixa disponibilidade e pequeno número de equipes multidisciplinares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 competências complementares no procedimento de EMB, extremamente limitado na prática clínica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(WIECZORKIEWICZ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2022).</w:t>
      </w:r>
    </w:p>
    <w:p>
      <w:pPr>
        <w:spacing w:before="116" w:after="0" w:line="240"/>
        <w:ind w:right="0" w:left="113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Tratamento</w:t>
      </w:r>
      <w:r>
        <w:rPr>
          <w:rFonts w:ascii="Arial" w:hAnsi="Arial" w:cs="Arial" w:eastAsia="Arial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" w:hAnsi="Arial" w:cs="Arial" w:eastAsia="Arial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acompanhamento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da</w:t>
      </w:r>
      <w:r>
        <w:rPr>
          <w:rFonts w:ascii="Arial" w:hAnsi="Arial" w:cs="Arial" w:eastAsia="Arial"/>
          <w:b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miocardite</w:t>
      </w:r>
      <w:r>
        <w:rPr>
          <w:rFonts w:ascii="Arial" w:hAnsi="Arial" w:cs="Arial" w:eastAsia="Arial"/>
          <w:b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aguda</w:t>
      </w:r>
    </w:p>
    <w:p>
      <w:pPr>
        <w:spacing w:before="159" w:after="0" w:line="276"/>
        <w:ind w:right="1130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 consulta em várias especialidades (como cardiolgia, doenças infecciosas, reumatologia, imunologia e/ou medicina respiratória) é frequentemente necessária para identificar a causa e orientar o tratamento quando suspeita-se de miocardite. Caso seja encontrada uma causa específica, o tratamento (se disponível) é direcionado para tratar a condição subjacente, como uso de medicamentos anti-infecciosos para infecções tratáveis ou corticosteroides/outros imunossupressores para doenças autoimunes. As evidências mais fortes para a terapia imunossupressora estão na sarcoidose cardíaca, miocardite de células gigantes e doença autoimune reumática.(AMMIRATI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 al.,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2020;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LAMPEJO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 2021).</w:t>
      </w:r>
    </w:p>
    <w:p>
      <w:pPr>
        <w:spacing w:before="120" w:after="0" w:line="276"/>
        <w:ind w:right="1134" w:left="1133" w:firstLine="338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etiologia,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no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entanto,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muitas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vezes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não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identificada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ou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comumente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uma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etiologia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viral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qual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não há tratamento específico e/ou tratamento específico não é necessário. O tratamento desses casos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geralmente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é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suporte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manejo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quaisquer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complicações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associadas,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arritmias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ou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insuficiência cardíaca, e casos graves podem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exigir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internação em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unidade de terapia intensiva (UTI)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(LAMPEJO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2021).</w:t>
      </w:r>
    </w:p>
    <w:p>
      <w:pPr>
        <w:spacing w:before="120" w:after="0" w:line="276"/>
        <w:ind w:right="1132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Uma abordagem terapêutica abrangente pode ser realizada através da utilização de Inibidores da Enzima Conversora de Angiotensina e Bloqueadores de receptores de angiotensina, os quais contribuem para a redução da evolução da disfunção dos ventrículos. Adicionalmente, é possível realizar o uso de bloqueadores beta-adrenérgicos, conhecidos como Betabloqueadores, com o intuito de diminuir a atividade do sistema simpático e os níveis de noradrenalina, que poderiam auxiliar na progressão da disfunção cardíaca.(SILVA LB, et al., 2019). Dentro de 3 meses após a alta, os pacientes devem ser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acompanhados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cardiologista. Após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diagnóstico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miocardite,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recomenda-se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abster-se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participação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esportes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competitivos/exercícios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vigorosos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3 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6 meses (para reduzir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 risco de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remodelação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cardíaca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morte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súbita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cardíaca)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(LAMPEJO T,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2021).</w:t>
      </w:r>
    </w:p>
    <w:p>
      <w:pPr>
        <w:spacing w:before="117" w:after="0" w:line="240"/>
        <w:ind w:right="0" w:left="113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Miocardite</w:t>
      </w:r>
      <w:r>
        <w:rPr>
          <w:rFonts w:ascii="Arial" w:hAnsi="Arial" w:cs="Arial" w:eastAsia="Arial"/>
          <w:b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aguda</w:t>
      </w:r>
      <w:r>
        <w:rPr>
          <w:rFonts w:ascii="Arial" w:hAnsi="Arial" w:cs="Arial" w:eastAsia="Arial"/>
          <w:b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associada</w:t>
      </w:r>
      <w:r>
        <w:rPr>
          <w:rFonts w:ascii="Arial" w:hAnsi="Arial" w:cs="Arial" w:eastAsia="Arial"/>
          <w:b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ao coronavírus</w:t>
      </w:r>
      <w:r>
        <w:rPr>
          <w:rFonts w:ascii="Arial" w:hAnsi="Arial" w:cs="Arial" w:eastAsia="Arial"/>
          <w:b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2019</w:t>
      </w:r>
    </w:p>
    <w:p>
      <w:pPr>
        <w:spacing w:before="116" w:after="0" w:line="276"/>
        <w:ind w:right="1128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Atualmente, vários mecanismos foram propostos para explicar a fisiopatologia subjacente da miocardite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aguda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relacionada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ao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COVID-19.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Tem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sido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sugerido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que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contato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viral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direto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através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das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vias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sinalização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da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enzima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conversora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angiotensina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(ECA-2)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pode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ter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papel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na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lesão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miocárdica.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Além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disso,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lesão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cardíaca pode ser mediada por mecanismos indiretos, como isquemia, febre, hiperatividade adrenérgica ou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inflamação secundária à tempestade de citocinas e reação hiperinflamatória da COVID-19.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Um estudo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recente em pacientes com COVID-19 complicada por síndrome do desconforto respiratório agudo demonstrou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que, em muitos casos, a lesão cardíaca está associada a comorbidades basais e disfunção multissistêmica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subjacente de órgãos durante doenças críticas. A síndrome de liberação de citocinas foi proposta como 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principal fisiopatologia da miocardite fulminante aguda induzida por COVID-19 (ÇINAR T, et al., 2020;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AMMIRATI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2022).</w:t>
      </w:r>
    </w:p>
    <w:p>
      <w:pPr>
        <w:spacing w:before="120" w:after="0" w:line="276"/>
        <w:ind w:right="1135" w:left="1133" w:firstLine="283"/>
        <w:jc w:val="both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Os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achados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eletrocardiograma</w:t>
      </w:r>
      <w:r>
        <w:rPr>
          <w:rFonts w:ascii="Arial MT" w:hAnsi="Arial MT" w:cs="Arial MT" w:eastAsia="Arial MT"/>
          <w:color w:val="auto"/>
          <w:spacing w:val="-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foram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variáveis</w:t>
      </w:r>
      <w:r>
        <w:rPr>
          <w:rFonts w:ascii="Arial MT" w:hAnsi="Arial MT" w:cs="Arial MT" w:eastAsia="Arial MT"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incluíram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elevação</w:t>
      </w:r>
      <w:r>
        <w:rPr>
          <w:rFonts w:ascii="Arial MT" w:hAnsi="Arial MT" w:cs="Arial MT" w:eastAsia="Arial MT"/>
          <w:color w:val="auto"/>
          <w:spacing w:val="-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difusa</w:t>
      </w:r>
      <w:r>
        <w:rPr>
          <w:rFonts w:ascii="Arial MT" w:hAnsi="Arial MT" w:cs="Arial MT" w:eastAsia="Arial MT"/>
          <w:color w:val="auto"/>
          <w:spacing w:val="-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do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segmento</w:t>
      </w:r>
      <w:r>
        <w:rPr>
          <w:rFonts w:ascii="Arial MT" w:hAnsi="Arial MT" w:cs="Arial MT" w:eastAsia="Arial MT"/>
          <w:color w:val="auto"/>
          <w:spacing w:val="-1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ST,</w:t>
      </w:r>
      <w:r>
        <w:rPr>
          <w:rFonts w:ascii="Arial MT" w:hAnsi="Arial MT" w:cs="Arial MT" w:eastAsia="Arial MT"/>
          <w:color w:val="auto"/>
          <w:spacing w:val="-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depressão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do segmento ST e inversão da onda T ocorrendo igualmente em 25% cada. A troponina estava elevada em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91% dos casos, enquanto a CK-MB e o pró-peptídeo natriurético cerebral (pró-BNP) foram verificados com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menos</w:t>
      </w:r>
      <w:r>
        <w:rPr>
          <w:rFonts w:ascii="Arial MT" w:hAnsi="Arial MT" w:cs="Arial MT" w:eastAsia="Arial MT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frequência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(HAUSSNER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2022).</w:t>
      </w:r>
    </w:p>
    <w:p>
      <w:pPr>
        <w:spacing w:before="0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2"/>
          <w:shd w:fill="auto" w:val="clear"/>
        </w:rPr>
      </w:pPr>
    </w:p>
    <w:p>
      <w:pPr>
        <w:spacing w:before="129" w:after="0" w:line="240"/>
        <w:ind w:right="0" w:left="1133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CONSIDERAÇÕES</w:t>
      </w:r>
      <w:r>
        <w:rPr>
          <w:rFonts w:ascii="Arial" w:hAnsi="Arial" w:cs="Arial" w:eastAsia="Arial"/>
          <w:b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FINAIS</w:t>
      </w:r>
    </w:p>
    <w:p>
      <w:pPr>
        <w:spacing w:before="129" w:after="0" w:line="240"/>
        <w:ind w:right="0" w:left="1133" w:firstLine="0"/>
        <w:jc w:val="both"/>
        <w:rPr>
          <w:rFonts w:ascii="Arial MT" w:hAnsi="Arial MT" w:cs="Arial MT" w:eastAsia="Arial MT"/>
          <w:color w:val="auto"/>
          <w:spacing w:val="0"/>
          <w:position w:val="0"/>
          <w:sz w:val="13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      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 inflamação súbita do músculo cardíaco, conhecida como miocardite aguda, pode ser difícil de diagnosticar devido à falta de sintomas ou à semelhança com outras doenças cardíacas, como ataques cardíacos. O diagnóstico geralmente é feito por meio de ressonância magnética cardíaca e biópsia endocárdica. O tratamento inicial da miocardite aguda envolve identificar a causa subjacente, seguido por medidas de suporte e o tratamento de possíveis complicações. Os pacientes são aconselhados a evitar atividades físicas e a acompanharem regularmente um cardiologista.</w:t>
      </w:r>
    </w:p>
    <w:p>
      <w:pPr>
        <w:spacing w:before="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19"/>
          <w:shd w:fill="auto" w:val="clear"/>
        </w:rPr>
      </w:pPr>
    </w:p>
    <w:p>
      <w:pPr>
        <w:spacing w:before="93" w:after="0" w:line="240"/>
        <w:ind w:right="0" w:left="1133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REFERÊNCIAS</w:t>
      </w:r>
    </w:p>
    <w:p>
      <w:pPr>
        <w:numPr>
          <w:ilvl w:val="0"/>
          <w:numId w:val="48"/>
        </w:numPr>
        <w:tabs>
          <w:tab w:val="left" w:pos="1559" w:leader="none"/>
        </w:tabs>
        <w:spacing w:before="58" w:after="0" w:line="276"/>
        <w:ind w:right="1134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AIT-ALI</w:t>
      </w:r>
      <w:r>
        <w:rPr>
          <w:rFonts w:ascii="Arial MT" w:hAnsi="Arial MT" w:cs="Arial MT" w:eastAsia="Arial MT"/>
          <w:color w:val="auto"/>
          <w:spacing w:val="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L,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Cardiac</w:t>
      </w:r>
      <w:r>
        <w:rPr>
          <w:rFonts w:ascii="Arial MT" w:hAnsi="Arial MT" w:cs="Arial MT" w:eastAsia="Arial MT"/>
          <w:color w:val="auto"/>
          <w:spacing w:val="1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MRI</w:t>
      </w:r>
      <w:r>
        <w:rPr>
          <w:rFonts w:ascii="Arial MT" w:hAnsi="Arial MT" w:cs="Arial MT" w:eastAsia="Arial MT"/>
          <w:color w:val="auto"/>
          <w:spacing w:val="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Prediction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Recovery</w:t>
      </w:r>
      <w:r>
        <w:rPr>
          <w:rFonts w:ascii="Arial MT" w:hAnsi="Arial MT" w:cs="Arial MT" w:eastAsia="Arial MT"/>
          <w:color w:val="auto"/>
          <w:spacing w:val="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</w:t>
      </w:r>
      <w:r>
        <w:rPr>
          <w:rFonts w:ascii="Arial MT" w:hAnsi="Arial MT" w:cs="Arial MT" w:eastAsia="Arial MT"/>
          <w:color w:val="auto"/>
          <w:spacing w:val="2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Children</w:t>
      </w:r>
      <w:r>
        <w:rPr>
          <w:rFonts w:ascii="Arial MT" w:hAnsi="Arial MT" w:cs="Arial MT" w:eastAsia="Arial MT"/>
          <w:color w:val="auto"/>
          <w:spacing w:val="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With</w:t>
      </w:r>
      <w:r>
        <w:rPr>
          <w:rFonts w:ascii="Arial MT" w:hAnsi="Arial MT" w:cs="Arial MT" w:eastAsia="Arial MT"/>
          <w:color w:val="auto"/>
          <w:spacing w:val="2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Myocarditis.</w:t>
      </w:r>
      <w:r>
        <w:rPr>
          <w:rFonts w:ascii="Arial MT" w:hAnsi="Arial MT" w:cs="Arial MT" w:eastAsia="Arial MT"/>
          <w:color w:val="auto"/>
          <w:spacing w:val="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JACC</w:t>
      </w:r>
      <w:r>
        <w:rPr>
          <w:rFonts w:ascii="Arial MT" w:hAnsi="Arial MT" w:cs="Arial MT" w:eastAsia="Arial MT"/>
          <w:color w:val="auto"/>
          <w:spacing w:val="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Cardiovasc</w:t>
      </w:r>
      <w:r>
        <w:rPr>
          <w:rFonts w:ascii="Arial MT" w:hAnsi="Arial MT" w:cs="Arial MT" w:eastAsia="Arial MT"/>
          <w:color w:val="auto"/>
          <w:spacing w:val="-5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Imaging,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2021;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14(3):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693-695.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1" w:after="0" w:line="276"/>
        <w:ind w:right="1137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AMMIRATI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Clinical Presentation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Outcome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Contemporary</w:t>
      </w:r>
      <w:r>
        <w:rPr>
          <w:rFonts w:ascii="Arial MT" w:hAnsi="Arial MT" w:cs="Arial MT" w:eastAsia="Arial MT"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Cohort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 Patients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With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Myocarditis: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Multicenter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Lombardy</w:t>
      </w:r>
      <w:r>
        <w:rPr>
          <w:rFonts w:ascii="Arial MT" w:hAnsi="Arial MT" w:cs="Arial MT" w:eastAsia="Arial MT"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Registry.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Circulation,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2018;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138(11):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1088-1099.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0" w:after="0" w:line="276"/>
        <w:ind w:right="1134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AMMIRATI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Management</w:t>
      </w:r>
      <w:r>
        <w:rPr>
          <w:rFonts w:ascii="Arial MT" w:hAnsi="Arial MT" w:cs="Arial MT" w:eastAsia="Arial MT"/>
          <w:color w:val="auto"/>
          <w:spacing w:val="1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16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Chronic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Inflammatory</w:t>
      </w:r>
      <w:r>
        <w:rPr>
          <w:rFonts w:ascii="Arial MT" w:hAnsi="Arial MT" w:cs="Arial MT" w:eastAsia="Arial MT"/>
          <w:color w:val="auto"/>
          <w:spacing w:val="1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Cardiomyopathy:</w:t>
      </w:r>
      <w:r>
        <w:rPr>
          <w:rFonts w:ascii="Arial MT" w:hAnsi="Arial MT" w:cs="Arial MT" w:eastAsia="Arial MT"/>
          <w:color w:val="auto"/>
          <w:spacing w:val="1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Expert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Consensus Document.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Circ Heart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Fail, 2020;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13(11):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e007405.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0" w:after="0" w:line="240"/>
        <w:ind w:right="0" w:left="1558" w:hanging="359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AMMIRATI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 et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Update on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myocarditis.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Trends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Cardiovasc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Med,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2021; 31(6):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370-379.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36" w:after="0" w:line="276"/>
        <w:ind w:right="1134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AMMIRATI</w:t>
      </w:r>
      <w:r>
        <w:rPr>
          <w:rFonts w:ascii="Arial MT" w:hAnsi="Arial MT" w:cs="Arial MT" w:eastAsia="Arial MT"/>
          <w:color w:val="auto"/>
          <w:spacing w:val="2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2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2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2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Prevalence,</w:t>
      </w:r>
      <w:r>
        <w:rPr>
          <w:rFonts w:ascii="Arial MT" w:hAnsi="Arial MT" w:cs="Arial MT" w:eastAsia="Arial MT"/>
          <w:color w:val="auto"/>
          <w:spacing w:val="2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Characteristics,</w:t>
      </w:r>
      <w:r>
        <w:rPr>
          <w:rFonts w:ascii="Arial MT" w:hAnsi="Arial MT" w:cs="Arial MT" w:eastAsia="Arial MT"/>
          <w:color w:val="auto"/>
          <w:spacing w:val="2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2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Outcomes</w:t>
      </w:r>
      <w:r>
        <w:rPr>
          <w:rFonts w:ascii="Arial MT" w:hAnsi="Arial MT" w:cs="Arial MT" w:eastAsia="Arial MT"/>
          <w:color w:val="auto"/>
          <w:spacing w:val="2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2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COVID-19-Associated</w:t>
      </w:r>
      <w:r>
        <w:rPr>
          <w:rFonts w:ascii="Arial MT" w:hAnsi="Arial MT" w:cs="Arial MT" w:eastAsia="Arial MT"/>
          <w:color w:val="auto"/>
          <w:spacing w:val="2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Myocarditis.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Circulation,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2022;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145(15):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1123-1139.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0" w:after="0" w:line="276"/>
        <w:ind w:right="1141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AMMIRATI</w:t>
      </w:r>
      <w:r>
        <w:rPr>
          <w:rFonts w:ascii="Arial MT" w:hAnsi="Arial MT" w:cs="Arial MT" w:eastAsia="Arial MT"/>
          <w:color w:val="auto"/>
          <w:spacing w:val="5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E,</w:t>
      </w:r>
      <w:r>
        <w:rPr>
          <w:rFonts w:ascii="Arial MT" w:hAnsi="Arial MT" w:cs="Arial MT" w:eastAsia="Arial MT"/>
          <w:color w:val="auto"/>
          <w:spacing w:val="55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5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State-of-the-Art</w:t>
      </w:r>
      <w:r>
        <w:rPr>
          <w:rFonts w:ascii="Arial MT" w:hAnsi="Arial MT" w:cs="Arial MT" w:eastAsia="Arial MT"/>
          <w:color w:val="auto"/>
          <w:spacing w:val="5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5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Endomyocardial</w:t>
      </w:r>
      <w:r>
        <w:rPr>
          <w:rFonts w:ascii="Arial MT" w:hAnsi="Arial MT" w:cs="Arial MT" w:eastAsia="Arial MT"/>
          <w:color w:val="auto"/>
          <w:spacing w:val="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Biopsy</w:t>
      </w:r>
      <w:r>
        <w:rPr>
          <w:rFonts w:ascii="Arial MT" w:hAnsi="Arial MT" w:cs="Arial MT" w:eastAsia="Arial MT"/>
          <w:color w:val="auto"/>
          <w:spacing w:val="5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on</w:t>
      </w:r>
      <w:r>
        <w:rPr>
          <w:rFonts w:ascii="Arial MT" w:hAnsi="Arial MT" w:cs="Arial MT" w:eastAsia="Arial MT"/>
          <w:color w:val="auto"/>
          <w:spacing w:val="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5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</w:t>
      </w:r>
      <w:r>
        <w:rPr>
          <w:rFonts w:ascii="Arial MT" w:hAnsi="Arial MT" w:cs="Arial MT" w:eastAsia="Arial MT"/>
          <w:color w:val="auto"/>
          <w:spacing w:val="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5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Chronic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Inflammatory</w:t>
      </w:r>
      <w:r>
        <w:rPr>
          <w:rFonts w:ascii="Arial MT" w:hAnsi="Arial MT" w:cs="Arial MT" w:eastAsia="Arial MT"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Cardiomyopathy.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Curr Cardiol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Rep,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2022;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24(5):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597-609.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0" w:after="0" w:line="240"/>
        <w:ind w:right="0" w:left="1558" w:hanging="359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ANIT S,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Diagnostic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characteristics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 acute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myocarditis.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Tunis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Med,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2019;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97(6):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789-794.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36" w:after="0" w:line="276"/>
        <w:ind w:right="1140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BUTTÀ</w:t>
      </w:r>
      <w:r>
        <w:rPr>
          <w:rFonts w:ascii="Arial MT" w:hAnsi="Arial MT" w:cs="Arial MT" w:eastAsia="Arial MT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C,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Diagnostic</w:t>
      </w:r>
      <w:r>
        <w:rPr>
          <w:rFonts w:ascii="Arial MT" w:hAnsi="Arial MT" w:cs="Arial MT" w:eastAsia="Arial MT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prognostic</w:t>
      </w:r>
      <w:r>
        <w:rPr>
          <w:rFonts w:ascii="Arial MT" w:hAnsi="Arial MT" w:cs="Arial MT" w:eastAsia="Arial MT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role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electrocardiogram</w:t>
      </w:r>
      <w:r>
        <w:rPr>
          <w:rFonts w:ascii="Arial MT" w:hAnsi="Arial MT" w:cs="Arial MT" w:eastAsia="Arial MT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2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myocarditis: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comprehensive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review. Ann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Noninvasive Electrocardiol,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25(3):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e12726.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0" w:after="0" w:line="276"/>
        <w:ind w:right="1139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ÇINAR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T,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-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COVID-19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myocarditis: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current</w:t>
      </w:r>
      <w:r>
        <w:rPr>
          <w:rFonts w:ascii="Arial MT" w:hAnsi="Arial MT" w:cs="Arial MT" w:eastAsia="Arial MT"/>
          <w:color w:val="auto"/>
          <w:spacing w:val="-1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literature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review</w:t>
      </w:r>
      <w:r>
        <w:rPr>
          <w:rFonts w:ascii="Arial MT" w:hAnsi="Arial MT" w:cs="Arial MT" w:eastAsia="Arial MT"/>
          <w:color w:val="auto"/>
          <w:spacing w:val="-1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and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diagnostic</w:t>
      </w:r>
      <w:r>
        <w:rPr>
          <w:rFonts w:ascii="Arial MT" w:hAnsi="Arial MT" w:cs="Arial MT" w:eastAsia="Arial MT"/>
          <w:color w:val="auto"/>
          <w:spacing w:val="-1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challenges.</w:t>
      </w:r>
      <w:r>
        <w:rPr>
          <w:rFonts w:ascii="Arial MT" w:hAnsi="Arial MT" w:cs="Arial MT" w:eastAsia="Arial MT"/>
          <w:color w:val="auto"/>
          <w:spacing w:val="-1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Rev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Assoc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Med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Bras (1992),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2020;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66(2):48-54.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0" w:after="0" w:line="278"/>
        <w:ind w:right="1141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DEGIOVANNI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A,</w:t>
      </w:r>
      <w:r>
        <w:rPr>
          <w:rFonts w:ascii="Arial MT" w:hAnsi="Arial MT" w:cs="Arial MT" w:eastAsia="Arial MT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4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Usefulness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multiparametric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evaluation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including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global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longitudinal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strain for</w:t>
      </w:r>
      <w:r>
        <w:rPr>
          <w:rFonts w:ascii="Arial MT" w:hAnsi="Arial MT" w:cs="Arial MT" w:eastAsia="Arial MT"/>
          <w:color w:val="auto"/>
          <w:spacing w:val="-5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an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early</w:t>
      </w:r>
      <w:r>
        <w:rPr>
          <w:rFonts w:ascii="Arial MT" w:hAnsi="Arial MT" w:cs="Arial MT" w:eastAsia="Arial MT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diagnosis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of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acute</w:t>
      </w:r>
      <w:r>
        <w:rPr>
          <w:rFonts w:ascii="Arial MT" w:hAnsi="Arial MT" w:cs="Arial MT" w:eastAsia="Arial MT"/>
          <w:color w:val="auto"/>
          <w:spacing w:val="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myocarditis.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Int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Cardiovasc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Imaging,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2021;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37(11): 3203-3211.</w:t>
      </w:r>
    </w:p>
    <w:p>
      <w:pPr>
        <w:numPr>
          <w:ilvl w:val="0"/>
          <w:numId w:val="48"/>
        </w:numPr>
        <w:tabs>
          <w:tab w:val="left" w:pos="1559" w:leader="none"/>
        </w:tabs>
        <w:spacing w:before="0" w:after="0" w:line="276"/>
        <w:ind w:right="1132" w:left="1558" w:hanging="358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FERREIRA</w:t>
      </w:r>
      <w:r>
        <w:rPr>
          <w:rFonts w:ascii="Arial MT" w:hAnsi="Arial MT" w:cs="Arial MT" w:eastAsia="Arial MT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VM,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et</w:t>
      </w:r>
      <w:r>
        <w:rPr>
          <w:rFonts w:ascii="Arial MT" w:hAnsi="Arial MT" w:cs="Arial MT" w:eastAsia="Arial MT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al.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Cardiovascular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Magnetic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Resonance</w:t>
      </w:r>
      <w:r>
        <w:rPr>
          <w:rFonts w:ascii="Arial MT" w:hAnsi="Arial MT" w:cs="Arial MT" w:eastAsia="Arial MT"/>
          <w:color w:val="auto"/>
          <w:spacing w:val="29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</w:t>
      </w:r>
      <w:r>
        <w:rPr>
          <w:rFonts w:ascii="Arial MT" w:hAnsi="Arial MT" w:cs="Arial MT" w:eastAsia="Arial MT"/>
          <w:color w:val="auto"/>
          <w:spacing w:val="28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Nonischemic</w:t>
      </w:r>
      <w:r>
        <w:rPr>
          <w:rFonts w:ascii="Arial MT" w:hAnsi="Arial MT" w:cs="Arial MT" w:eastAsia="Arial MT"/>
          <w:color w:val="auto"/>
          <w:spacing w:val="7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Myocardial</w:t>
      </w:r>
      <w:r>
        <w:rPr>
          <w:rFonts w:ascii="Arial MT" w:hAnsi="Arial MT" w:cs="Arial MT" w:eastAsia="Arial MT"/>
          <w:color w:val="auto"/>
          <w:spacing w:val="30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Inflammation:</w:t>
      </w:r>
      <w:r>
        <w:rPr>
          <w:rFonts w:ascii="Arial MT" w:hAnsi="Arial MT" w:cs="Arial MT" w:eastAsia="Arial MT"/>
          <w:color w:val="auto"/>
          <w:spacing w:val="-5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Expert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Recommendations.</w:t>
      </w:r>
      <w:r>
        <w:rPr>
          <w:rFonts w:ascii="Arial MT" w:hAnsi="Arial MT" w:cs="Arial MT" w:eastAsia="Arial MT"/>
          <w:color w:val="auto"/>
          <w:spacing w:val="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J Am</w:t>
      </w:r>
      <w:r>
        <w:rPr>
          <w:rFonts w:ascii="Arial MT" w:hAnsi="Arial MT" w:cs="Arial MT" w:eastAsia="Arial MT"/>
          <w:color w:val="auto"/>
          <w:spacing w:val="3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Coll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Cardiol,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2018;</w:t>
      </w:r>
      <w:r>
        <w:rPr>
          <w:rFonts w:ascii="Arial MT" w:hAnsi="Arial MT" w:cs="Arial MT" w:eastAsia="Arial MT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72(24):</w:t>
      </w:r>
      <w:r>
        <w:rPr>
          <w:rFonts w:ascii="Arial MT" w:hAnsi="Arial MT" w:cs="Arial MT" w:eastAsia="Arial MT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  <w:t xml:space="preserve">3158-3176.</w:t>
      </w:r>
    </w:p>
    <w:p>
      <w:pPr>
        <w:spacing w:before="0" w:after="0" w:line="276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7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Arial MT" w:hAnsi="Arial MT" w:cs="Arial MT" w:eastAsia="Arial MT"/>
          <w:color w:val="auto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