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TRATAMENTO CLÍNICO DA ASMA BRÔNQUICA EM PACIENTES PEDIÁTRICOS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Florencio¹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 Carolina Prioste de Oliveira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Gabriel de Oliveira Pereira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B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Ilmo Bernardes Godinho Filho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8" w:lineRule="auto"/>
        <w:ind w:right="108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Jordana Clara Gomes Pedreira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asma brônquica em pacientes pediátricos é uma condição crônica que afeta significativamente a qualidade de vida dessas crianças e suas famílias. O tratamento clínico da asma brônquica em pacientes pediátricos é um tema de grande relevância, dada a prevalência da doença nesta população. O manejo adequado da asma pode reduzir a morbidade e mortalidade associadas à doença, melhorando assim a qualidade de vida dos pacientes.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Identificar e analisar os estudos publicados nos últimos dez anos que abordam o tratamento clínico da asma brônquica em pacientes pediátricos.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sz w:val="24"/>
          <w:szCs w:val="24"/>
          <w:rtl w:val="0"/>
        </w:rPr>
        <w:t xml:space="preserve">A metodologia adotada para esta revisão sistemática de literatura seguiu o checklist PRISMA. As bases de dados utilizadas para a busca de artigos foram PubMed, Scielo e Web of Science. Os critérios de inclusão foram: artigos publicados nos últimos dez anos, artigos que abordam especificamente o tratamento clínico da asma brônquica em pacientes pediátricos e artigos publicados em português. Os critérios de exclusão foram: artigos que não abordam o tratamento clínico da asma brônquica em pacientes pediátricos, artigos publicados há mais de dez anos e artigos não disponíveis em português.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sz w:val="24"/>
          <w:szCs w:val="24"/>
          <w:rtl w:val="0"/>
        </w:rPr>
        <w:t xml:space="preserve">Foram selecionados 12 estudos. O tratamento clínico da asma brônquica em pacientes pediátricos envolve uma combinação de terapias farmacológicas e não farmacológicas. As terapias farmacológicas incluem o uso de corticosteroides e fármacos beta-agonistas. As terapias não farmacológicas incluem a educação do paciente e da família sobre a doença e seu manejo, bem como a redução da exposição a alérgenos e irritantes.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 tratamento clínico da asma brônquica em pacientes pediátricos é multifacetado e requer uma abordagem individualizada. A combinação de terapias farmacológicas e não farmacológicas parece ser a mais eficaz no manejo da doença. No entanto, mais pesquisas são necessárias para identificar as melhores práticas de tratamento para esta população.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Asma brônquica; Pediátrica;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FAMENE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aflorencioalvessilva@gmail.com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¹; Centro Universitário Claretiano, anacprioste@gmail.com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Universidade Evangélica de Goiás,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gabriel@hoa.med.br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UNIVALLE,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ilmo_godinho@hotmail.com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pedreirajordana@gmail.com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sectPr>
      <w:headerReference r:id="rId11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pedreirajordana@gmail.com" TargetMode="External"/><Relationship Id="rId9" Type="http://schemas.openxmlformats.org/officeDocument/2006/relationships/hyperlink" Target="mailto:ilmo_godinho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florencioalvessilva@gmail.com" TargetMode="External"/><Relationship Id="rId8" Type="http://schemas.openxmlformats.org/officeDocument/2006/relationships/hyperlink" Target="mailto:gabriel@hoa.med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4Sa+iiTAJPirvcg7shbZ/nUXQ==">CgMxLjA4AHIhMW5tb1plUkRqOUM4UWNVMUFtX2JTdi1EZ2FrNmNHYXFW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