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D6" w:rsidRDefault="00A229E9">
      <w:pPr>
        <w:spacing w:after="160" w:line="240" w:lineRule="auto"/>
      </w:pPr>
      <w:r>
        <w:rPr>
          <w:b/>
        </w:rPr>
        <w:t>O PERFIL EPIDEMIOLÓGICO DAS INTERNAÇÕES POR ESTRABISMO EM ALAGOAS, DE 2017 A 2021</w:t>
      </w:r>
    </w:p>
    <w:p w:rsidR="008B67D6" w:rsidRPr="00AB73B9" w:rsidRDefault="00A229E9">
      <w:pPr>
        <w:spacing w:after="160" w:line="240" w:lineRule="auto"/>
        <w:rPr>
          <w:vertAlign w:val="superscript"/>
        </w:rPr>
      </w:pPr>
      <w:r>
        <w:t>Ana Clara Acioli Salgueiro</w:t>
      </w:r>
      <w:r>
        <w:rPr>
          <w:vertAlign w:val="superscript"/>
        </w:rPr>
        <w:t>1</w:t>
      </w:r>
      <w:r>
        <w:t>; Gabrielle Elvira Ferreira Carvalho</w:t>
      </w:r>
      <w:r>
        <w:rPr>
          <w:vertAlign w:val="superscript"/>
        </w:rPr>
        <w:t>1</w:t>
      </w:r>
      <w:r>
        <w:t>; Luciano Oliveira Moitinho Filho</w:t>
      </w:r>
      <w:r w:rsidR="00AB73B9">
        <w:rPr>
          <w:vertAlign w:val="superscript"/>
        </w:rPr>
        <w:t>2</w:t>
      </w:r>
      <w:r>
        <w:t>; Maria Eduarda França Melo</w:t>
      </w:r>
      <w:r w:rsidR="00AB73B9">
        <w:rPr>
          <w:vertAlign w:val="superscript"/>
        </w:rPr>
        <w:t>3</w:t>
      </w:r>
      <w:r w:rsidR="00AB73B9">
        <w:t>; Bruno Nobre Lins Coronado</w:t>
      </w:r>
      <w:r w:rsidR="00AB73B9">
        <w:rPr>
          <w:vertAlign w:val="superscript"/>
        </w:rPr>
        <w:t>4</w:t>
      </w:r>
      <w:r w:rsidR="00AB73B9">
        <w:t xml:space="preserve">; Nicolaas Stefan </w:t>
      </w:r>
      <w:proofErr w:type="spellStart"/>
      <w:r w:rsidR="00AB73B9">
        <w:t>Gosse</w:t>
      </w:r>
      <w:proofErr w:type="spellEnd"/>
      <w:r w:rsidR="00AB73B9">
        <w:t xml:space="preserve"> Vale</w:t>
      </w:r>
      <w:r w:rsidR="00AB73B9">
        <w:rPr>
          <w:vertAlign w:val="superscript"/>
        </w:rPr>
        <w:t>4</w:t>
      </w:r>
      <w:r>
        <w:t xml:space="preserve">; </w:t>
      </w:r>
      <w:r w:rsidR="00AB73B9">
        <w:t>Daniela Sampaio Silva Gonçalves</w:t>
      </w:r>
      <w:r w:rsidR="00AB73B9">
        <w:rPr>
          <w:vertAlign w:val="superscript"/>
        </w:rPr>
        <w:t>4</w:t>
      </w:r>
    </w:p>
    <w:p w:rsidR="008B67D6" w:rsidRDefault="00A229E9">
      <w:pPr>
        <w:spacing w:line="240" w:lineRule="auto"/>
      </w:pPr>
      <w:r>
        <w:rPr>
          <w:vertAlign w:val="superscript"/>
        </w:rPr>
        <w:t>1</w:t>
      </w:r>
      <w:r w:rsidR="000147D2">
        <w:t xml:space="preserve">Discente </w:t>
      </w:r>
      <w:r>
        <w:t xml:space="preserve">do Centro Universitário </w:t>
      </w:r>
      <w:proofErr w:type="spellStart"/>
      <w:r>
        <w:t>Cesmac</w:t>
      </w:r>
      <w:proofErr w:type="spellEnd"/>
      <w:r>
        <w:br/>
      </w:r>
      <w:r>
        <w:rPr>
          <w:vertAlign w:val="superscript"/>
        </w:rPr>
        <w:t>2</w:t>
      </w:r>
      <w:r w:rsidR="00AB73B9">
        <w:t>Discente da</w:t>
      </w:r>
      <w:r w:rsidR="00AB73B9">
        <w:t xml:space="preserve"> Universidade Federal de Alagoas</w:t>
      </w:r>
    </w:p>
    <w:p w:rsidR="00AB73B9" w:rsidRDefault="00A229E9">
      <w:pPr>
        <w:spacing w:line="240" w:lineRule="auto"/>
      </w:pPr>
      <w:r>
        <w:t>³</w:t>
      </w:r>
      <w:r w:rsidR="00AB73B9">
        <w:t>Discente do Centro Universitário Tiradentes</w:t>
      </w:r>
      <w:bookmarkStart w:id="0" w:name="_GoBack"/>
      <w:bookmarkEnd w:id="0"/>
    </w:p>
    <w:p w:rsidR="008B67D6" w:rsidRDefault="00AB73B9">
      <w:pPr>
        <w:spacing w:line="240" w:lineRule="auto"/>
      </w:pPr>
      <w:r>
        <w:rPr>
          <w:vertAlign w:val="superscript"/>
        </w:rPr>
        <w:t>4</w:t>
      </w:r>
      <w:r w:rsidR="00A229E9">
        <w:t xml:space="preserve">Docente do Centro Universitário </w:t>
      </w:r>
      <w:proofErr w:type="spellStart"/>
      <w:r w:rsidR="00A229E9">
        <w:t>Cesmac</w:t>
      </w:r>
      <w:proofErr w:type="spellEnd"/>
    </w:p>
    <w:p w:rsidR="008B67D6" w:rsidRDefault="00A229E9">
      <w:pPr>
        <w:spacing w:line="240" w:lineRule="auto"/>
      </w:pPr>
      <w:r>
        <w:t>anaclaraasalgueiro@hotmail.com; bruno.</w:t>
      </w:r>
      <w:r>
        <w:t>coronado@cesmac.edu.br</w:t>
      </w:r>
    </w:p>
    <w:p w:rsidR="008B67D6" w:rsidRDefault="008B67D6">
      <w:pPr>
        <w:spacing w:line="240" w:lineRule="auto"/>
      </w:pPr>
    </w:p>
    <w:p w:rsidR="008B67D6" w:rsidRDefault="00A229E9">
      <w:pPr>
        <w:spacing w:after="160" w:line="240" w:lineRule="auto"/>
      </w:pPr>
      <w:r>
        <w:rPr>
          <w:b/>
          <w:u w:val="single"/>
        </w:rPr>
        <w:t>Introdução:</w:t>
      </w:r>
      <w:r>
        <w:t xml:space="preserve"> O estrabismo é um distúrbio que apresenta diversas manifestações oculares, sendo a mais comum o desalinhamento dos olhos, e atinge cerca de 4% da populaçã</w:t>
      </w:r>
      <w:r w:rsidR="000147D2">
        <w:t xml:space="preserve">o. Seu surgimento pode ser nos </w:t>
      </w:r>
      <w:r>
        <w:t xml:space="preserve">primeiros meses de vida </w:t>
      </w:r>
      <w:r w:rsidR="000147D2">
        <w:t xml:space="preserve">ou </w:t>
      </w:r>
      <w:r>
        <w:t xml:space="preserve">até mesmo </w:t>
      </w:r>
      <w:r>
        <w:t xml:space="preserve">na idade adulta por diversas razões. </w:t>
      </w:r>
      <w:r>
        <w:rPr>
          <w:b/>
          <w:u w:val="single"/>
        </w:rPr>
        <w:t>Objetivo:</w:t>
      </w:r>
      <w:r>
        <w:rPr>
          <w:b/>
        </w:rPr>
        <w:t xml:space="preserve"> </w:t>
      </w:r>
      <w:r>
        <w:t xml:space="preserve">Traçar um perfil epidemiológico das internações dos portadores de estrabismo em Alagoas. </w:t>
      </w:r>
      <w:r>
        <w:rPr>
          <w:b/>
          <w:u w:val="single"/>
        </w:rPr>
        <w:t>Metodologia:</w:t>
      </w:r>
      <w:r>
        <w:t xml:space="preserve"> Trata-se de um estudo epidemiológico descritivo, cujos dados foram obtidos por meio de consulta à base de d</w:t>
      </w:r>
      <w:r>
        <w:t>ados do Sistema de Informações Hospitalares do SUS (SIH/SUS), disponibilizados pelo Departamento de Informática do Sistema Único de Saúde (DATASUS), no endereço eletrônico http://www.datasus.gov.br, referentes ao período de 2017 a 2021. A população em estu</w:t>
      </w:r>
      <w:r>
        <w:t xml:space="preserve">do foi constituída por indivíduos internados com estrabismo (CID-10: H49 e H50). Os dados obtidos foram organizados em novas tabelas e analisados estatisticamente. </w:t>
      </w:r>
      <w:r>
        <w:rPr>
          <w:b/>
          <w:u w:val="single"/>
        </w:rPr>
        <w:t>Resultados:</w:t>
      </w:r>
      <w:r>
        <w:t xml:space="preserve"> Os dados referentes ao total de internações por estrabismo no estado de Alagoas </w:t>
      </w:r>
      <w:r>
        <w:t>relativos ao período de 2017 a 2021 totalizaram 58 pacientes. Destes, 98,27% do número total de casos entraram como caráter eletivo de atendimento, e 1,72% encaixou-se como atendimento de urgência. Dessas internações, 51,72% foram de pessoas do sexo mascul</w:t>
      </w:r>
      <w:r>
        <w:t xml:space="preserve">ino, e 48,27% delas, foram do sexo feminino. </w:t>
      </w:r>
      <w:r>
        <w:rPr>
          <w:b/>
          <w:u w:val="single"/>
        </w:rPr>
        <w:t>Conclusões:</w:t>
      </w:r>
      <w:r>
        <w:t xml:space="preserve"> O estrabismo segue sendo um dos mais notórios problemas de saúde púb</w:t>
      </w:r>
      <w:r w:rsidR="000147D2">
        <w:t xml:space="preserve">lica em Alagoas, por isso que se </w:t>
      </w:r>
      <w:proofErr w:type="gramStart"/>
      <w:r>
        <w:t>é</w:t>
      </w:r>
      <w:proofErr w:type="gramEnd"/>
      <w:r>
        <w:t xml:space="preserve"> tão importante o diagnóstico e o tratamento precoce. Além disso, é nítido a subnotificação dos c</w:t>
      </w:r>
      <w:r>
        <w:t>asos e a falha no programa de controle ao estrabismo. Espera-se que os dados desse estudo possam contribuir no planejamento de ações de saúde efetivas para melhorar a assistência à população.</w:t>
      </w:r>
    </w:p>
    <w:p w:rsidR="008B67D6" w:rsidRDefault="00A229E9">
      <w:pPr>
        <w:spacing w:after="160" w:line="240" w:lineRule="auto"/>
        <w:rPr>
          <w:b/>
        </w:rPr>
      </w:pPr>
      <w:r>
        <w:rPr>
          <w:b/>
        </w:rPr>
        <w:t xml:space="preserve">Palavras-chave: </w:t>
      </w:r>
      <w:r>
        <w:t>Estrabismo. Epidemiologia. Oftalmologia.</w:t>
      </w:r>
    </w:p>
    <w:p w:rsidR="008B67D6" w:rsidRDefault="008B67D6">
      <w:pPr>
        <w:spacing w:after="160" w:line="240" w:lineRule="auto"/>
        <w:rPr>
          <w:b/>
        </w:rPr>
      </w:pPr>
    </w:p>
    <w:p w:rsidR="008B67D6" w:rsidRDefault="008B67D6">
      <w:pPr>
        <w:spacing w:after="160" w:line="240" w:lineRule="auto"/>
        <w:rPr>
          <w:b/>
        </w:rPr>
      </w:pPr>
    </w:p>
    <w:p w:rsidR="008B67D6" w:rsidRDefault="008B67D6">
      <w:pPr>
        <w:spacing w:after="160" w:line="240" w:lineRule="auto"/>
        <w:rPr>
          <w:b/>
        </w:rPr>
      </w:pPr>
    </w:p>
    <w:p w:rsidR="008B67D6" w:rsidRDefault="008B67D6">
      <w:pPr>
        <w:spacing w:after="160" w:line="240" w:lineRule="auto"/>
        <w:rPr>
          <w:b/>
        </w:rPr>
      </w:pPr>
    </w:p>
    <w:p w:rsidR="008B67D6" w:rsidRDefault="008B67D6">
      <w:pPr>
        <w:spacing w:after="160" w:line="240" w:lineRule="auto"/>
        <w:rPr>
          <w:b/>
        </w:rPr>
      </w:pPr>
    </w:p>
    <w:p w:rsidR="008B67D6" w:rsidRDefault="008B67D6">
      <w:pPr>
        <w:spacing w:after="160" w:line="240" w:lineRule="auto"/>
        <w:rPr>
          <w:b/>
        </w:rPr>
      </w:pPr>
    </w:p>
    <w:p w:rsidR="008B67D6" w:rsidRDefault="008B67D6">
      <w:pPr>
        <w:spacing w:after="160" w:line="240" w:lineRule="auto"/>
        <w:rPr>
          <w:b/>
        </w:rPr>
      </w:pPr>
    </w:p>
    <w:p w:rsidR="008B67D6" w:rsidRDefault="008B67D6">
      <w:pPr>
        <w:spacing w:after="160" w:line="240" w:lineRule="auto"/>
        <w:rPr>
          <w:b/>
        </w:rPr>
      </w:pPr>
    </w:p>
    <w:p w:rsidR="008B67D6" w:rsidRDefault="008B67D6">
      <w:pPr>
        <w:spacing w:after="160" w:line="240" w:lineRule="auto"/>
        <w:rPr>
          <w:b/>
        </w:rPr>
      </w:pPr>
    </w:p>
    <w:p w:rsidR="008B67D6" w:rsidRDefault="008B67D6">
      <w:pPr>
        <w:spacing w:after="160" w:line="240" w:lineRule="auto"/>
        <w:rPr>
          <w:b/>
        </w:rPr>
      </w:pPr>
    </w:p>
    <w:p w:rsidR="008B67D6" w:rsidRDefault="00A229E9">
      <w:pPr>
        <w:spacing w:after="160" w:line="240" w:lineRule="auto"/>
        <w:rPr>
          <w:b/>
        </w:rPr>
      </w:pPr>
      <w:r>
        <w:rPr>
          <w:b/>
        </w:rPr>
        <w:t>REFERÊNCIAS BIBLIOGRÁFICAS</w:t>
      </w:r>
    </w:p>
    <w:p w:rsidR="008B67D6" w:rsidRDefault="00A229E9">
      <w:pPr>
        <w:numPr>
          <w:ilvl w:val="0"/>
          <w:numId w:val="1"/>
        </w:numPr>
        <w:spacing w:line="240" w:lineRule="auto"/>
        <w:rPr>
          <w:color w:val="222222"/>
          <w:highlight w:val="white"/>
        </w:rPr>
      </w:pPr>
      <w:r>
        <w:rPr>
          <w:highlight w:val="white"/>
        </w:rPr>
        <w:t>IBGE – INSTITUTO BRASILEIRO DE GEOGRAFIA E ESTATÍSTICA.</w:t>
      </w:r>
      <w:r>
        <w:rPr>
          <w:b/>
          <w:highlight w:val="white"/>
        </w:rPr>
        <w:t xml:space="preserve"> Censo Brasileiro de 2010.</w:t>
      </w:r>
      <w:r>
        <w:rPr>
          <w:highlight w:val="white"/>
        </w:rPr>
        <w:t xml:space="preserve"> Rio de Janeiro: IBGE, 2012.</w:t>
      </w:r>
    </w:p>
    <w:p w:rsidR="008B67D6" w:rsidRDefault="00A229E9">
      <w:pPr>
        <w:numPr>
          <w:ilvl w:val="0"/>
          <w:numId w:val="1"/>
        </w:numPr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OLIVEIRA, Bráulio </w:t>
      </w:r>
      <w:proofErr w:type="spellStart"/>
      <w:r>
        <w:rPr>
          <w:color w:val="222222"/>
          <w:highlight w:val="white"/>
        </w:rPr>
        <w:t>Folco</w:t>
      </w:r>
      <w:proofErr w:type="spellEnd"/>
      <w:r>
        <w:rPr>
          <w:color w:val="222222"/>
          <w:highlight w:val="white"/>
        </w:rPr>
        <w:t xml:space="preserve"> Telles de et al. Estrabismo sensorial: estudo de 191 casos. </w:t>
      </w:r>
      <w:r>
        <w:rPr>
          <w:b/>
          <w:color w:val="222222"/>
          <w:highlight w:val="white"/>
        </w:rPr>
        <w:t>Arquivos Brasileiros de Oftalmol</w:t>
      </w:r>
      <w:r>
        <w:rPr>
          <w:b/>
          <w:color w:val="222222"/>
          <w:highlight w:val="white"/>
        </w:rPr>
        <w:t>ogia</w:t>
      </w:r>
      <w:r>
        <w:rPr>
          <w:color w:val="222222"/>
          <w:highlight w:val="white"/>
        </w:rPr>
        <w:t>, v. 69, p. 71-74, 2006.</w:t>
      </w:r>
    </w:p>
    <w:p w:rsidR="008B67D6" w:rsidRDefault="00A229E9">
      <w:pPr>
        <w:numPr>
          <w:ilvl w:val="0"/>
          <w:numId w:val="1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BARBOSA, Márcia Cartaxo </w:t>
      </w:r>
      <w:r>
        <w:rPr>
          <w:i/>
        </w:rPr>
        <w:t>et al</w:t>
      </w:r>
      <w:r>
        <w:rPr>
          <w:highlight w:val="white"/>
        </w:rPr>
        <w:t xml:space="preserve">, </w:t>
      </w:r>
      <w:proofErr w:type="spellStart"/>
      <w:r>
        <w:rPr>
          <w:highlight w:val="white"/>
        </w:rPr>
        <w:t>Strabismic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amblyopia</w:t>
      </w:r>
      <w:proofErr w:type="spellEnd"/>
      <w:r>
        <w:rPr>
          <w:highlight w:val="white"/>
        </w:rPr>
        <w:t xml:space="preserve">: </w:t>
      </w:r>
      <w:proofErr w:type="spellStart"/>
      <w:r>
        <w:rPr>
          <w:highlight w:val="white"/>
        </w:rPr>
        <w:t>compliance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with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occlusion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treatment</w:t>
      </w:r>
      <w:proofErr w:type="spellEnd"/>
      <w:r>
        <w:rPr>
          <w:highlight w:val="white"/>
        </w:rPr>
        <w:t xml:space="preserve"> in a </w:t>
      </w:r>
      <w:proofErr w:type="spellStart"/>
      <w:r>
        <w:rPr>
          <w:highlight w:val="white"/>
        </w:rPr>
        <w:t>tertiary</w:t>
      </w:r>
      <w:proofErr w:type="spellEnd"/>
      <w:r>
        <w:rPr>
          <w:highlight w:val="white"/>
        </w:rPr>
        <w:t xml:space="preserve"> hospital in </w:t>
      </w:r>
      <w:proofErr w:type="spellStart"/>
      <w:r>
        <w:rPr>
          <w:highlight w:val="white"/>
        </w:rPr>
        <w:t>Midwestern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Brazil</w:t>
      </w:r>
      <w:proofErr w:type="spellEnd"/>
      <w:r>
        <w:rPr>
          <w:highlight w:val="white"/>
        </w:rPr>
        <w:t xml:space="preserve">. </w:t>
      </w:r>
      <w:r>
        <w:rPr>
          <w:b/>
        </w:rPr>
        <w:t>Revista Brasileira de Oftalmologia</w:t>
      </w:r>
      <w:r>
        <w:rPr>
          <w:b/>
          <w:highlight w:val="white"/>
        </w:rPr>
        <w:t>.</w:t>
      </w:r>
      <w:r>
        <w:rPr>
          <w:highlight w:val="white"/>
        </w:rPr>
        <w:t xml:space="preserve"> v. 79, n. 5, 2020.</w:t>
      </w:r>
    </w:p>
    <w:p w:rsidR="008B67D6" w:rsidRDefault="00A229E9">
      <w:pPr>
        <w:numPr>
          <w:ilvl w:val="0"/>
          <w:numId w:val="1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GARCIA, Carlos Alexandre de Amorim </w:t>
      </w:r>
      <w:r>
        <w:rPr>
          <w:i/>
        </w:rPr>
        <w:t xml:space="preserve">et </w:t>
      </w:r>
      <w:r>
        <w:rPr>
          <w:i/>
        </w:rPr>
        <w:t>al</w:t>
      </w:r>
      <w:r>
        <w:rPr>
          <w:highlight w:val="white"/>
        </w:rPr>
        <w:t xml:space="preserve">, </w:t>
      </w:r>
      <w:proofErr w:type="spellStart"/>
      <w:r>
        <w:rPr>
          <w:highlight w:val="white"/>
        </w:rPr>
        <w:t>Prevalence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strabismus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among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students</w:t>
      </w:r>
      <w:proofErr w:type="spellEnd"/>
      <w:r>
        <w:rPr>
          <w:highlight w:val="white"/>
        </w:rPr>
        <w:t xml:space="preserve"> in Natal/RN - </w:t>
      </w:r>
      <w:proofErr w:type="spellStart"/>
      <w:r>
        <w:rPr>
          <w:highlight w:val="white"/>
        </w:rPr>
        <w:t>Brazil</w:t>
      </w:r>
      <w:proofErr w:type="spellEnd"/>
      <w:r>
        <w:rPr>
          <w:highlight w:val="white"/>
        </w:rPr>
        <w:t xml:space="preserve">. </w:t>
      </w:r>
      <w:r>
        <w:rPr>
          <w:b/>
        </w:rPr>
        <w:t>Arquivos Brasileiros de Oftalmologia</w:t>
      </w:r>
      <w:r>
        <w:rPr>
          <w:b/>
          <w:highlight w:val="white"/>
        </w:rPr>
        <w:t>.</w:t>
      </w:r>
      <w:r>
        <w:rPr>
          <w:highlight w:val="white"/>
        </w:rPr>
        <w:t xml:space="preserve"> v. 67, n. 5, p. 791–794, 2004.</w:t>
      </w:r>
    </w:p>
    <w:p w:rsidR="008B67D6" w:rsidRDefault="00A229E9">
      <w:pPr>
        <w:numPr>
          <w:ilvl w:val="0"/>
          <w:numId w:val="1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CHRISTOFF, Remote </w:t>
      </w:r>
      <w:proofErr w:type="spellStart"/>
      <w:r>
        <w:rPr>
          <w:highlight w:val="white"/>
        </w:rPr>
        <w:t>Pediatric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Ophthalmology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Adult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Strabismus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during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COVID-19 </w:t>
      </w:r>
      <w:proofErr w:type="spellStart"/>
      <w:r>
        <w:rPr>
          <w:highlight w:val="white"/>
        </w:rPr>
        <w:t>Pandemic</w:t>
      </w:r>
      <w:proofErr w:type="spellEnd"/>
      <w:r>
        <w:rPr>
          <w:highlight w:val="white"/>
        </w:rPr>
        <w:t xml:space="preserve">, </w:t>
      </w:r>
      <w:proofErr w:type="spellStart"/>
      <w:r>
        <w:rPr>
          <w:b/>
        </w:rPr>
        <w:t>Journal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binocular </w:t>
      </w:r>
      <w:proofErr w:type="spellStart"/>
      <w:r>
        <w:rPr>
          <w:b/>
        </w:rPr>
        <w:t>vision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ocular </w:t>
      </w:r>
      <w:proofErr w:type="spellStart"/>
      <w:r>
        <w:rPr>
          <w:b/>
        </w:rPr>
        <w:t>motility</w:t>
      </w:r>
      <w:proofErr w:type="spellEnd"/>
      <w:r>
        <w:rPr>
          <w:highlight w:val="white"/>
        </w:rPr>
        <w:t>, v. 71, n. 3, 2021.</w:t>
      </w:r>
    </w:p>
    <w:p w:rsidR="008B67D6" w:rsidRDefault="00A229E9">
      <w:pPr>
        <w:numPr>
          <w:ilvl w:val="0"/>
          <w:numId w:val="1"/>
        </w:numPr>
        <w:spacing w:after="160" w:line="240" w:lineRule="auto"/>
        <w:rPr>
          <w:highlight w:val="white"/>
        </w:rPr>
      </w:pPr>
      <w:r>
        <w:rPr>
          <w:highlight w:val="white"/>
        </w:rPr>
        <w:t xml:space="preserve">KIM, </w:t>
      </w:r>
      <w:proofErr w:type="spellStart"/>
      <w:r>
        <w:rPr>
          <w:highlight w:val="white"/>
        </w:rPr>
        <w:t>Dae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Hee</w:t>
      </w:r>
      <w:proofErr w:type="spellEnd"/>
      <w:r>
        <w:rPr>
          <w:highlight w:val="white"/>
        </w:rPr>
        <w:t xml:space="preserve"> </w:t>
      </w:r>
      <w:r>
        <w:rPr>
          <w:i/>
          <w:highlight w:val="white"/>
        </w:rPr>
        <w:t>et al</w:t>
      </w:r>
      <w:r>
        <w:rPr>
          <w:highlight w:val="white"/>
        </w:rPr>
        <w:t xml:space="preserve">, </w:t>
      </w:r>
      <w:proofErr w:type="spellStart"/>
      <w:r>
        <w:rPr>
          <w:highlight w:val="white"/>
        </w:rPr>
        <w:t>An</w:t>
      </w:r>
      <w:proofErr w:type="spellEnd"/>
      <w:r>
        <w:rPr>
          <w:highlight w:val="white"/>
        </w:rPr>
        <w:t xml:space="preserve"> Overview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Korean </w:t>
      </w:r>
      <w:proofErr w:type="spellStart"/>
      <w:r>
        <w:rPr>
          <w:highlight w:val="white"/>
        </w:rPr>
        <w:t>Intermittent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Exotropia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Multicenter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Study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Korean </w:t>
      </w:r>
      <w:proofErr w:type="spellStart"/>
      <w:r>
        <w:rPr>
          <w:highlight w:val="white"/>
        </w:rPr>
        <w:t>Association</w:t>
      </w:r>
      <w:proofErr w:type="spellEnd"/>
      <w:r>
        <w:rPr>
          <w:highlight w:val="white"/>
        </w:rPr>
        <w:t xml:space="preserve"> for </w:t>
      </w:r>
      <w:proofErr w:type="spellStart"/>
      <w:r>
        <w:rPr>
          <w:highlight w:val="white"/>
        </w:rPr>
        <w:t>Pediatric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Ophthalmology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Strabismus</w:t>
      </w:r>
      <w:proofErr w:type="spellEnd"/>
      <w:r>
        <w:rPr>
          <w:highlight w:val="white"/>
        </w:rPr>
        <w:t xml:space="preserve">, </w:t>
      </w:r>
      <w:r>
        <w:rPr>
          <w:b/>
          <w:highlight w:val="white"/>
        </w:rPr>
        <w:t xml:space="preserve">Korean </w:t>
      </w:r>
      <w:proofErr w:type="spellStart"/>
      <w:r>
        <w:rPr>
          <w:b/>
          <w:highlight w:val="white"/>
        </w:rPr>
        <w:t>Journal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of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Ophthalmology</w:t>
      </w:r>
      <w:proofErr w:type="spellEnd"/>
      <w:r>
        <w:rPr>
          <w:highlight w:val="white"/>
        </w:rPr>
        <w:t>, v. 35, n. 5, p. 355–359, 2</w:t>
      </w:r>
      <w:r>
        <w:rPr>
          <w:highlight w:val="white"/>
        </w:rPr>
        <w:t>021.</w:t>
      </w:r>
    </w:p>
    <w:p w:rsidR="008B67D6" w:rsidRDefault="008B67D6">
      <w:pPr>
        <w:spacing w:after="160" w:line="240" w:lineRule="auto"/>
        <w:rPr>
          <w:b/>
        </w:rPr>
      </w:pPr>
    </w:p>
    <w:sectPr w:rsidR="008B67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133" w:bottom="1133" w:left="170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E9" w:rsidRDefault="00A229E9">
      <w:pPr>
        <w:spacing w:line="240" w:lineRule="auto"/>
      </w:pPr>
      <w:r>
        <w:separator/>
      </w:r>
    </w:p>
  </w:endnote>
  <w:endnote w:type="continuationSeparator" w:id="0">
    <w:p w:rsidR="00A229E9" w:rsidRDefault="00A22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  <w:font w:name="BookmanITC Lt B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Rotis SemiSans St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panose1 w:val="00000000000000000000"/>
    <w:charset w:val="00"/>
    <w:family w:val="roman"/>
    <w:notTrueType/>
    <w:pitch w:val="default"/>
  </w:font>
  <w:font w:name="News Gothic St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panose1 w:val="00000000000000000000"/>
    <w:charset w:val="00"/>
    <w:family w:val="roman"/>
    <w:notTrueType/>
    <w:pitch w:val="default"/>
  </w:font>
  <w:font w:name="Garamond BookCondensed"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D6" w:rsidRDefault="00A229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04585" cy="78105"/>
              <wp:effectExtent l="0" t="0" r="0" b="0"/>
              <wp:wrapNone/>
              <wp:docPr id="746732728" name="Retângulo 7467327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8B67D6" w:rsidRDefault="008B67D6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04585" cy="78105"/>
              <wp:effectExtent b="0" l="0" r="0" t="0"/>
              <wp:wrapNone/>
              <wp:docPr id="7467327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4585" cy="78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B67D6" w:rsidRDefault="008B6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D6" w:rsidRDefault="00A229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:rsidR="008B67D6" w:rsidRDefault="008B6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E9" w:rsidRDefault="00A229E9">
      <w:pPr>
        <w:spacing w:line="240" w:lineRule="auto"/>
      </w:pPr>
      <w:r>
        <w:separator/>
      </w:r>
    </w:p>
  </w:footnote>
  <w:footnote w:type="continuationSeparator" w:id="0">
    <w:p w:rsidR="00A229E9" w:rsidRDefault="00A229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D6" w:rsidRDefault="008B67D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2"/>
        <w:szCs w:val="12"/>
      </w:rPr>
    </w:pP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8B67D6">
      <w:tc>
        <w:tcPr>
          <w:tcW w:w="2235" w:type="dxa"/>
        </w:tcPr>
        <w:p w:rsidR="008B67D6" w:rsidRDefault="008B67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:rsidR="008B67D6" w:rsidRDefault="00A229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/>
              <w:color w:val="000000"/>
            </w:rPr>
          </w:pPr>
          <w:r>
            <w:rPr>
              <w:rFonts w:eastAsia="Arial"/>
              <w:noProof/>
              <w:color w:val="000000"/>
            </w:rPr>
            <w:drawing>
              <wp:inline distT="0" distB="0" distL="0" distR="0">
                <wp:extent cx="798404" cy="537700"/>
                <wp:effectExtent l="0" t="0" r="0" b="0"/>
                <wp:docPr id="7467327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:rsidR="008B67D6" w:rsidRDefault="008B67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rFonts w:eastAsia="Arial"/>
              <w:color w:val="000000"/>
            </w:rPr>
          </w:pPr>
        </w:p>
      </w:tc>
    </w:tr>
  </w:tbl>
  <w:p w:rsidR="008B67D6" w:rsidRDefault="008B6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D6" w:rsidRDefault="00A229E9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36097"/>
    <w:multiLevelType w:val="multilevel"/>
    <w:tmpl w:val="B734D3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D6"/>
    <w:rsid w:val="000147D2"/>
    <w:rsid w:val="008B67D6"/>
    <w:rsid w:val="00A229E9"/>
    <w:rsid w:val="00A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1535C-0758-494B-AA9C-90159D54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xpoUTBpSk25CvePNvafOLiZl2A==">AMUW2mVT+eB15XOA7dMWTMTct5snTr+V8ReYXgV73iDVq0DncZyQB9DCn5zxK/V4sPkaOXpqCCGXuprEayq1bFWzt+BaXaZ53gshfdNGSaJRzzGuojYekCQ=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Ana Clara Acioli</cp:lastModifiedBy>
  <cp:revision>2</cp:revision>
  <dcterms:created xsi:type="dcterms:W3CDTF">2022-10-19T23:59:00Z</dcterms:created>
  <dcterms:modified xsi:type="dcterms:W3CDTF">2022-10-19T23:59:00Z</dcterms:modified>
</cp:coreProperties>
</file>