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F22D76" w14:textId="77777777" w:rsidR="00A42A79" w:rsidRPr="0006372B" w:rsidRDefault="005259CE" w:rsidP="00A42A79">
      <w:pPr>
        <w:pStyle w:val="Corpodetexto"/>
        <w:jc w:val="center"/>
      </w:pPr>
      <w:bookmarkStart w:id="0" w:name="_GoBack"/>
      <w:bookmarkEnd w:id="0"/>
      <w:r w:rsidRPr="0006372B">
        <w:rPr>
          <w:noProof/>
          <w:sz w:val="24"/>
          <w:szCs w:val="24"/>
          <w:lang w:val="pt-BR" w:eastAsia="pt-BR"/>
        </w:rPr>
        <w:drawing>
          <wp:anchor distT="0" distB="0" distL="0" distR="0" simplePos="0" relativeHeight="251658752" behindDoc="0" locked="0" layoutInCell="1" allowOverlap="1" wp14:anchorId="654466DD" wp14:editId="0721AFF5">
            <wp:simplePos x="0" y="0"/>
            <wp:positionH relativeFrom="page">
              <wp:posOffset>0</wp:posOffset>
            </wp:positionH>
            <wp:positionV relativeFrom="page">
              <wp:posOffset>9525</wp:posOffset>
            </wp:positionV>
            <wp:extent cx="7553325" cy="1057275"/>
            <wp:effectExtent l="0" t="0" r="9525" b="9525"/>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36422" cy="1082904"/>
                    </a:xfrm>
                    <a:prstGeom prst="rect">
                      <a:avLst/>
                    </a:prstGeom>
                  </pic:spPr>
                </pic:pic>
              </a:graphicData>
            </a:graphic>
            <wp14:sizeRelH relativeFrom="margin">
              <wp14:pctWidth>0</wp14:pctWidth>
            </wp14:sizeRelH>
            <wp14:sizeRelV relativeFrom="margin">
              <wp14:pctHeight>0</wp14:pctHeight>
            </wp14:sizeRelV>
          </wp:anchor>
        </w:drawing>
      </w:r>
    </w:p>
    <w:p w14:paraId="356A1965" w14:textId="77777777" w:rsidR="00846B02" w:rsidRPr="005D75C3" w:rsidRDefault="00846B02" w:rsidP="00541E47">
      <w:pPr>
        <w:pStyle w:val="Ttulo1"/>
        <w:spacing w:before="251" w:line="242" w:lineRule="auto"/>
        <w:ind w:left="75" w:right="214"/>
        <w:jc w:val="center"/>
        <w:rPr>
          <w:bCs w:val="0"/>
          <w:sz w:val="32"/>
          <w:szCs w:val="32"/>
        </w:rPr>
      </w:pPr>
      <w:bookmarkStart w:id="1" w:name="1Primeiro_Autor_com_nome_completo,_2Segu"/>
      <w:bookmarkEnd w:id="1"/>
      <w:r w:rsidRPr="005D75C3">
        <w:rPr>
          <w:bCs w:val="0"/>
          <w:sz w:val="32"/>
          <w:szCs w:val="32"/>
        </w:rPr>
        <w:t>TECNOLOGIAS VERDES PARA ADUBAÇÃO FOSFATADA - EFEITOS NA QUALIDADE NUTRICIONAL DO BRÓCOLIS CULTIVADO NO CERRADO</w:t>
      </w:r>
    </w:p>
    <w:p w14:paraId="3C760178" w14:textId="44DCFFEB" w:rsidR="00541E47" w:rsidRPr="00B832DA" w:rsidRDefault="00541E47" w:rsidP="00541E47">
      <w:pPr>
        <w:pStyle w:val="Ttulo1"/>
        <w:spacing w:before="251" w:line="242" w:lineRule="auto"/>
        <w:ind w:left="75" w:right="214"/>
        <w:jc w:val="center"/>
        <w:rPr>
          <w:spacing w:val="-2"/>
          <w:sz w:val="24"/>
          <w:szCs w:val="24"/>
        </w:rPr>
      </w:pPr>
      <w:r w:rsidRPr="00B832DA">
        <w:rPr>
          <w:sz w:val="24"/>
          <w:szCs w:val="24"/>
          <w:vertAlign w:val="superscript"/>
        </w:rPr>
        <w:t>1</w:t>
      </w:r>
      <w:r w:rsidRPr="00B832DA">
        <w:rPr>
          <w:sz w:val="24"/>
          <w:szCs w:val="24"/>
        </w:rPr>
        <w:t>Dinamar Márcia da Silva Vieira,</w:t>
      </w:r>
      <w:r w:rsidR="007D44DE" w:rsidRPr="00B832DA">
        <w:rPr>
          <w:sz w:val="24"/>
          <w:szCs w:val="24"/>
          <w:vertAlign w:val="superscript"/>
        </w:rPr>
        <w:t xml:space="preserve"> </w:t>
      </w:r>
      <w:r w:rsidR="00B832DA" w:rsidRPr="00B832DA">
        <w:rPr>
          <w:sz w:val="24"/>
          <w:szCs w:val="24"/>
          <w:vertAlign w:val="superscript"/>
        </w:rPr>
        <w:t>1</w:t>
      </w:r>
      <w:r w:rsidR="00B832DA" w:rsidRPr="00B832DA">
        <w:rPr>
          <w:sz w:val="24"/>
          <w:szCs w:val="24"/>
        </w:rPr>
        <w:t xml:space="preserve">Lucas Eduardo de Oliveira, </w:t>
      </w:r>
      <w:r w:rsidR="00A801A9" w:rsidRPr="00B832DA">
        <w:rPr>
          <w:sz w:val="24"/>
          <w:szCs w:val="24"/>
          <w:vertAlign w:val="superscript"/>
        </w:rPr>
        <w:t>1</w:t>
      </w:r>
      <w:r w:rsidR="00A801A9" w:rsidRPr="00B832DA">
        <w:rPr>
          <w:sz w:val="24"/>
          <w:szCs w:val="24"/>
        </w:rPr>
        <w:t>Kárita Aparecida da Silva Carmo</w:t>
      </w:r>
      <w:r w:rsidR="007D44DE" w:rsidRPr="00B832DA">
        <w:rPr>
          <w:sz w:val="24"/>
          <w:szCs w:val="24"/>
        </w:rPr>
        <w:t xml:space="preserve">, </w:t>
      </w:r>
      <w:r w:rsidRPr="00B832DA">
        <w:rPr>
          <w:sz w:val="24"/>
          <w:szCs w:val="24"/>
        </w:rPr>
        <w:t xml:space="preserve"> </w:t>
      </w:r>
      <w:r w:rsidR="00B832DA" w:rsidRPr="00B832DA">
        <w:rPr>
          <w:sz w:val="24"/>
          <w:szCs w:val="24"/>
          <w:vertAlign w:val="superscript"/>
        </w:rPr>
        <w:t>1</w:t>
      </w:r>
      <w:r w:rsidR="00B832DA" w:rsidRPr="00B832DA">
        <w:rPr>
          <w:sz w:val="24"/>
          <w:szCs w:val="24"/>
        </w:rPr>
        <w:t>João Pedro Andrade Silva</w:t>
      </w:r>
      <w:r w:rsidRPr="00B832DA">
        <w:rPr>
          <w:sz w:val="24"/>
          <w:szCs w:val="24"/>
        </w:rPr>
        <w:t xml:space="preserve">, </w:t>
      </w:r>
      <w:r w:rsidRPr="00B832DA">
        <w:rPr>
          <w:sz w:val="24"/>
          <w:szCs w:val="24"/>
          <w:vertAlign w:val="superscript"/>
        </w:rPr>
        <w:t xml:space="preserve"> 1</w:t>
      </w:r>
      <w:r w:rsidR="00B04EF3" w:rsidRPr="00B832DA">
        <w:rPr>
          <w:sz w:val="24"/>
          <w:szCs w:val="24"/>
        </w:rPr>
        <w:t>Ana Luiza Caldono Paredes</w:t>
      </w:r>
      <w:r w:rsidRPr="00B832DA">
        <w:rPr>
          <w:sz w:val="24"/>
          <w:szCs w:val="24"/>
        </w:rPr>
        <w:t xml:space="preserve">, </w:t>
      </w:r>
      <w:r w:rsidRPr="00B832DA">
        <w:rPr>
          <w:sz w:val="24"/>
          <w:szCs w:val="24"/>
          <w:vertAlign w:val="superscript"/>
        </w:rPr>
        <w:t>1</w:t>
      </w:r>
      <w:r w:rsidRPr="00B832DA">
        <w:rPr>
          <w:sz w:val="24"/>
          <w:szCs w:val="24"/>
        </w:rPr>
        <w:t xml:space="preserve">José Luiz Rodrigues Torres </w:t>
      </w:r>
      <w:r w:rsidRPr="00B832DA">
        <w:rPr>
          <w:spacing w:val="-2"/>
          <w:sz w:val="24"/>
          <w:szCs w:val="24"/>
        </w:rPr>
        <w:t xml:space="preserve"> </w:t>
      </w:r>
    </w:p>
    <w:p w14:paraId="4F121106" w14:textId="0323F39E" w:rsidR="00541E47" w:rsidRPr="00B832DA" w:rsidRDefault="00541E47" w:rsidP="00541E47">
      <w:pPr>
        <w:spacing w:line="228" w:lineRule="exact"/>
        <w:ind w:left="77" w:right="209"/>
        <w:jc w:val="center"/>
        <w:rPr>
          <w:i/>
          <w:spacing w:val="-3"/>
          <w:sz w:val="24"/>
          <w:szCs w:val="24"/>
        </w:rPr>
      </w:pPr>
      <w:r w:rsidRPr="00B832DA">
        <w:rPr>
          <w:i/>
          <w:sz w:val="24"/>
          <w:szCs w:val="24"/>
        </w:rPr>
        <w:t xml:space="preserve"> </w:t>
      </w:r>
      <w:r w:rsidRPr="00B832DA">
        <w:rPr>
          <w:i/>
          <w:spacing w:val="-3"/>
          <w:sz w:val="24"/>
          <w:szCs w:val="24"/>
        </w:rPr>
        <w:t xml:space="preserve"> </w:t>
      </w:r>
      <w:r w:rsidRPr="00B832DA">
        <w:rPr>
          <w:i/>
          <w:sz w:val="24"/>
          <w:szCs w:val="24"/>
          <w:vertAlign w:val="superscript"/>
        </w:rPr>
        <w:t>2</w:t>
      </w:r>
      <w:r w:rsidRPr="00B832DA">
        <w:rPr>
          <w:i/>
          <w:sz w:val="24"/>
          <w:szCs w:val="24"/>
        </w:rPr>
        <w:t>Universidade Federal de Uberlândia,</w:t>
      </w:r>
      <w:r w:rsidRPr="00B832DA">
        <w:rPr>
          <w:i/>
          <w:spacing w:val="-1"/>
          <w:sz w:val="24"/>
          <w:szCs w:val="24"/>
        </w:rPr>
        <w:t xml:space="preserve"> </w:t>
      </w:r>
      <w:r w:rsidRPr="00B832DA">
        <w:rPr>
          <w:i/>
          <w:sz w:val="24"/>
          <w:szCs w:val="24"/>
        </w:rPr>
        <w:t>e-mail:</w:t>
      </w:r>
      <w:r w:rsidRPr="00B832DA">
        <w:rPr>
          <w:i/>
          <w:spacing w:val="-3"/>
          <w:sz w:val="24"/>
          <w:szCs w:val="24"/>
        </w:rPr>
        <w:t xml:space="preserve"> marcinha_0202@hotmail.com</w:t>
      </w:r>
    </w:p>
    <w:p w14:paraId="162332E3" w14:textId="7D4B6C66" w:rsidR="00541E47" w:rsidRPr="00B832DA" w:rsidRDefault="00541E47" w:rsidP="00541E47">
      <w:pPr>
        <w:spacing w:line="228" w:lineRule="exact"/>
        <w:ind w:left="77" w:right="209"/>
        <w:jc w:val="center"/>
        <w:rPr>
          <w:i/>
          <w:spacing w:val="-2"/>
          <w:sz w:val="24"/>
          <w:szCs w:val="24"/>
        </w:rPr>
      </w:pPr>
      <w:r w:rsidRPr="00B832DA">
        <w:rPr>
          <w:i/>
          <w:sz w:val="24"/>
          <w:szCs w:val="24"/>
          <w:vertAlign w:val="superscript"/>
        </w:rPr>
        <w:t>1</w:t>
      </w:r>
      <w:r w:rsidRPr="00B832DA">
        <w:rPr>
          <w:i/>
          <w:sz w:val="24"/>
          <w:szCs w:val="24"/>
        </w:rPr>
        <w:t>Instituto Federal do Triângulo Mineiro Campus Uberaba, e-mail:</w:t>
      </w:r>
      <w:r w:rsidRPr="00B832DA">
        <w:rPr>
          <w:i/>
          <w:spacing w:val="-4"/>
          <w:sz w:val="24"/>
          <w:szCs w:val="24"/>
        </w:rPr>
        <w:t xml:space="preserve"> </w:t>
      </w:r>
      <w:r w:rsidR="00B832DA" w:rsidRPr="00B832DA">
        <w:rPr>
          <w:i/>
          <w:sz w:val="24"/>
          <w:szCs w:val="24"/>
        </w:rPr>
        <w:t xml:space="preserve">lucas.eo@estudante.iftm.edu.br; </w:t>
      </w:r>
      <w:hyperlink r:id="rId8" w:history="1">
        <w:r w:rsidR="00A801A9" w:rsidRPr="00B832DA">
          <w:rPr>
            <w:rStyle w:val="Hyperlink"/>
            <w:i/>
            <w:color w:val="auto"/>
            <w:sz w:val="24"/>
            <w:szCs w:val="24"/>
            <w:u w:val="none"/>
          </w:rPr>
          <w:t>karita.carmo@estudante.iftm.edu.br</w:t>
        </w:r>
      </w:hyperlink>
      <w:r w:rsidR="00A801A9" w:rsidRPr="00B832DA">
        <w:rPr>
          <w:i/>
          <w:sz w:val="24"/>
          <w:szCs w:val="24"/>
        </w:rPr>
        <w:t>;</w:t>
      </w:r>
      <w:r w:rsidR="00013182" w:rsidRPr="00B832DA">
        <w:rPr>
          <w:i/>
          <w:sz w:val="24"/>
          <w:szCs w:val="24"/>
        </w:rPr>
        <w:t xml:space="preserve"> </w:t>
      </w:r>
      <w:r w:rsidR="00B832DA" w:rsidRPr="00B832DA">
        <w:rPr>
          <w:i/>
          <w:sz w:val="24"/>
          <w:szCs w:val="24"/>
        </w:rPr>
        <w:t xml:space="preserve">joaoandrade.silva@ estudante.iftm.edu.br; </w:t>
      </w:r>
      <w:r w:rsidR="00A801A9" w:rsidRPr="00B832DA">
        <w:rPr>
          <w:i/>
          <w:sz w:val="24"/>
          <w:szCs w:val="24"/>
        </w:rPr>
        <w:t>ana.paredes</w:t>
      </w:r>
      <w:r w:rsidR="007130C3" w:rsidRPr="00B832DA">
        <w:rPr>
          <w:i/>
          <w:sz w:val="24"/>
          <w:szCs w:val="24"/>
        </w:rPr>
        <w:t>@</w:t>
      </w:r>
      <w:r w:rsidR="00A801A9" w:rsidRPr="00B832DA">
        <w:rPr>
          <w:i/>
          <w:sz w:val="24"/>
          <w:szCs w:val="24"/>
        </w:rPr>
        <w:t>estudante.iftm.edu.br</w:t>
      </w:r>
      <w:r w:rsidR="007130C3" w:rsidRPr="00B832DA">
        <w:rPr>
          <w:i/>
          <w:sz w:val="24"/>
          <w:szCs w:val="24"/>
        </w:rPr>
        <w:t xml:space="preserve">; </w:t>
      </w:r>
      <w:r w:rsidRPr="00B832DA">
        <w:rPr>
          <w:i/>
          <w:spacing w:val="-4"/>
          <w:sz w:val="24"/>
          <w:szCs w:val="24"/>
        </w:rPr>
        <w:t>jlrtorres@iftm.edu.br</w:t>
      </w:r>
    </w:p>
    <w:p w14:paraId="19ACAB03" w14:textId="77777777" w:rsidR="00E3782C" w:rsidRPr="005D75C3" w:rsidRDefault="00E3782C" w:rsidP="00E3782C">
      <w:pPr>
        <w:spacing w:line="228" w:lineRule="exact"/>
        <w:ind w:left="77" w:right="209"/>
        <w:jc w:val="center"/>
        <w:rPr>
          <w:i/>
          <w:spacing w:val="-2"/>
          <w:sz w:val="24"/>
          <w:szCs w:val="24"/>
        </w:rPr>
      </w:pPr>
    </w:p>
    <w:p w14:paraId="102948F1" w14:textId="51507C3B" w:rsidR="00E3782C" w:rsidRPr="005D75C3" w:rsidRDefault="00E3782C" w:rsidP="00E3782C">
      <w:pPr>
        <w:spacing w:line="228" w:lineRule="exact"/>
        <w:ind w:left="77" w:right="209"/>
        <w:jc w:val="right"/>
        <w:rPr>
          <w:b/>
          <w:bCs/>
          <w:i/>
          <w:spacing w:val="-2"/>
          <w:sz w:val="24"/>
          <w:szCs w:val="24"/>
        </w:rPr>
      </w:pPr>
      <w:r w:rsidRPr="005D75C3">
        <w:rPr>
          <w:b/>
          <w:bCs/>
          <w:i/>
          <w:spacing w:val="-2"/>
          <w:sz w:val="24"/>
          <w:szCs w:val="24"/>
        </w:rPr>
        <w:t>Grupo temático</w:t>
      </w:r>
      <w:r w:rsidR="00562E9F" w:rsidRPr="005D75C3">
        <w:rPr>
          <w:b/>
          <w:bCs/>
          <w:i/>
          <w:spacing w:val="-2"/>
          <w:sz w:val="24"/>
          <w:szCs w:val="24"/>
        </w:rPr>
        <w:t>:</w:t>
      </w:r>
      <w:r w:rsidR="00FF2C82" w:rsidRPr="005D75C3">
        <w:rPr>
          <w:b/>
          <w:bCs/>
          <w:i/>
          <w:spacing w:val="-2"/>
          <w:sz w:val="24"/>
          <w:szCs w:val="24"/>
        </w:rPr>
        <w:t xml:space="preserve"> </w:t>
      </w:r>
      <w:r w:rsidR="00303FEE" w:rsidRPr="005D75C3">
        <w:rPr>
          <w:b/>
          <w:bCs/>
          <w:i/>
          <w:spacing w:val="-2"/>
          <w:sz w:val="24"/>
          <w:szCs w:val="24"/>
        </w:rPr>
        <w:t>5</w:t>
      </w:r>
    </w:p>
    <w:p w14:paraId="125F6DD1" w14:textId="0D5D1174" w:rsidR="009C4B75" w:rsidRPr="0006372B" w:rsidRDefault="009C4B75" w:rsidP="00E3782C">
      <w:pPr>
        <w:spacing w:line="228" w:lineRule="exact"/>
        <w:ind w:left="77" w:right="209"/>
        <w:jc w:val="right"/>
        <w:rPr>
          <w:b/>
          <w:bCs/>
          <w:i/>
          <w:spacing w:val="-2"/>
          <w:sz w:val="24"/>
          <w:szCs w:val="24"/>
        </w:rPr>
      </w:pPr>
      <w:r w:rsidRPr="0006372B">
        <w:rPr>
          <w:b/>
          <w:bCs/>
          <w:i/>
          <w:spacing w:val="-2"/>
          <w:sz w:val="24"/>
          <w:szCs w:val="24"/>
        </w:rPr>
        <w:t>Eixo</w:t>
      </w:r>
      <w:r w:rsidR="00562E9F" w:rsidRPr="0006372B">
        <w:rPr>
          <w:b/>
          <w:bCs/>
          <w:i/>
          <w:spacing w:val="-2"/>
          <w:sz w:val="24"/>
          <w:szCs w:val="24"/>
        </w:rPr>
        <w:t xml:space="preserve">: </w:t>
      </w:r>
      <w:r w:rsidR="00303FEE" w:rsidRPr="0006372B">
        <w:rPr>
          <w:b/>
          <w:bCs/>
          <w:i/>
          <w:spacing w:val="-2"/>
          <w:sz w:val="24"/>
          <w:szCs w:val="24"/>
        </w:rPr>
        <w:t>Tecnologias verdes e inovação sustentável</w:t>
      </w:r>
    </w:p>
    <w:p w14:paraId="1ADFF788" w14:textId="77777777" w:rsidR="00E3782C" w:rsidRPr="0006372B" w:rsidRDefault="00E3782C" w:rsidP="00E3782C">
      <w:pPr>
        <w:spacing w:line="228" w:lineRule="exact"/>
        <w:ind w:left="77" w:right="209"/>
        <w:jc w:val="center"/>
        <w:rPr>
          <w:i/>
          <w:spacing w:val="-2"/>
          <w:sz w:val="24"/>
          <w:szCs w:val="24"/>
        </w:rPr>
      </w:pPr>
    </w:p>
    <w:p w14:paraId="1D27D5CE" w14:textId="77777777" w:rsidR="00E3782C" w:rsidRPr="0006372B" w:rsidRDefault="00E3782C" w:rsidP="00E3782C">
      <w:pPr>
        <w:spacing w:line="228" w:lineRule="exact"/>
        <w:ind w:left="77" w:right="209"/>
        <w:jc w:val="center"/>
        <w:rPr>
          <w:b/>
          <w:bCs/>
          <w:iCs/>
          <w:sz w:val="28"/>
          <w:szCs w:val="28"/>
        </w:rPr>
      </w:pPr>
      <w:r w:rsidRPr="0006372B">
        <w:rPr>
          <w:b/>
          <w:bCs/>
          <w:iCs/>
          <w:sz w:val="28"/>
          <w:szCs w:val="28"/>
        </w:rPr>
        <w:t>Resumo</w:t>
      </w:r>
    </w:p>
    <w:p w14:paraId="1C41F88F" w14:textId="77777777" w:rsidR="00E3782C" w:rsidRPr="0006372B" w:rsidRDefault="00E3782C" w:rsidP="00E3782C">
      <w:pPr>
        <w:spacing w:line="228" w:lineRule="exact"/>
        <w:ind w:left="77" w:right="209"/>
        <w:jc w:val="both"/>
        <w:rPr>
          <w:iCs/>
          <w:sz w:val="24"/>
          <w:szCs w:val="24"/>
        </w:rPr>
      </w:pPr>
    </w:p>
    <w:p w14:paraId="547A501E" w14:textId="7A8FD73A" w:rsidR="00CB2D99" w:rsidRPr="0006372B" w:rsidRDefault="004F6A9E" w:rsidP="00861013">
      <w:pPr>
        <w:jc w:val="both"/>
        <w:rPr>
          <w:sz w:val="24"/>
          <w:szCs w:val="24"/>
        </w:rPr>
      </w:pPr>
      <w:r w:rsidRPr="0006372B">
        <w:rPr>
          <w:sz w:val="24"/>
          <w:szCs w:val="24"/>
        </w:rPr>
        <w:t>A utilização de fertilizantes fosfatados especiais tem se destacado como alternativa para aumentar a eficiência do uso de fósforo e reduzir perdas de nutrientes em solos altamente intemperizados do Cerrado. Objetivou-se avaliar os efeitos de fertilizantes fosfatados especiais sobre a qualidade nutricional e físico-química do brócolis cultivado no Cerrado. O experimento foi conduzido em Uberaba, MG, em delineamento de blocos casualizados com parcelas subdivididas, avaliando-se três fontes de fósforo (fosfato monoamônico convencional, fosfato monoamônico polimerizado e fertilizante organomineral) e quatro doses de P₂O₅ (0, 200, 300 e 400 kg ha⁻¹). Os fertilizantes especiais proporcionaram maior desempenho agronômico da cultura, com produtividade de até 22,82 t ha⁻¹ para o fertilizante organomineral. Entretanto, os principais efeitos foram observados na qualidade do produto colhido. Os tratamentos não alteraram significativamente os teores de umidade, cinzas, proteínas, lipídeos, fibra bruta e ácido ascórbico, evidenciando manutenção da qualidade nutricional do brócolis. Os atributos acidez total titulável, sólidos solúveis totais e potencial hidrogeniônico responderam às doses aplicadas, com melhores resultados obtidos na maior dose de fósforo. Os fertilizantes fosfatados especiais constituem alternativa sustentável para a produção de brócolis de elevada qualidade nutricional em condições de Cerrado.</w:t>
      </w:r>
    </w:p>
    <w:p w14:paraId="7B40CA9F" w14:textId="77777777" w:rsidR="004F6A9E" w:rsidRPr="0006372B" w:rsidRDefault="004F6A9E" w:rsidP="00861013">
      <w:pPr>
        <w:jc w:val="both"/>
        <w:rPr>
          <w:sz w:val="24"/>
          <w:szCs w:val="24"/>
        </w:rPr>
      </w:pPr>
    </w:p>
    <w:p w14:paraId="3D7CC908" w14:textId="20D81A95" w:rsidR="00CB2D99" w:rsidRPr="0006372B" w:rsidRDefault="00861013" w:rsidP="00CB2D99">
      <w:pPr>
        <w:jc w:val="both"/>
        <w:rPr>
          <w:sz w:val="24"/>
          <w:szCs w:val="24"/>
        </w:rPr>
      </w:pPr>
      <w:r w:rsidRPr="0006372B">
        <w:rPr>
          <w:b/>
          <w:sz w:val="24"/>
          <w:szCs w:val="24"/>
        </w:rPr>
        <w:t>Palavras-chave</w:t>
      </w:r>
      <w:r w:rsidRPr="0006372B">
        <w:rPr>
          <w:sz w:val="24"/>
          <w:szCs w:val="24"/>
        </w:rPr>
        <w:t xml:space="preserve">: </w:t>
      </w:r>
      <w:r w:rsidR="00A44C9F" w:rsidRPr="0006372B">
        <w:rPr>
          <w:sz w:val="24"/>
          <w:szCs w:val="24"/>
        </w:rPr>
        <w:t>fertilizante organomineral; fertilizante polimerizado; atributos físico-químicos; agricultura regenerativa; segurança alimentar.</w:t>
      </w:r>
    </w:p>
    <w:p w14:paraId="6405D713" w14:textId="77777777" w:rsidR="00CB2D99" w:rsidRPr="0006372B" w:rsidRDefault="00CB2D99" w:rsidP="00CB2D99">
      <w:pPr>
        <w:jc w:val="both"/>
        <w:rPr>
          <w:sz w:val="24"/>
          <w:szCs w:val="24"/>
          <w:lang w:eastAsia="pt-BR"/>
        </w:rPr>
      </w:pPr>
    </w:p>
    <w:p w14:paraId="07C08FF9" w14:textId="77777777" w:rsidR="00A44C9F" w:rsidRPr="0006372B" w:rsidRDefault="00A44C9F" w:rsidP="00A44C9F">
      <w:pPr>
        <w:spacing w:line="360" w:lineRule="auto"/>
        <w:jc w:val="both"/>
        <w:rPr>
          <w:b/>
          <w:bCs/>
          <w:spacing w:val="-2"/>
          <w:sz w:val="28"/>
          <w:szCs w:val="28"/>
        </w:rPr>
      </w:pPr>
      <w:r w:rsidRPr="0006372B">
        <w:rPr>
          <w:b/>
          <w:bCs/>
          <w:spacing w:val="-2"/>
          <w:sz w:val="28"/>
          <w:szCs w:val="28"/>
        </w:rPr>
        <w:t>Introdução</w:t>
      </w:r>
    </w:p>
    <w:p w14:paraId="32FFCE9E" w14:textId="79B011B6" w:rsidR="00381DC8" w:rsidRPr="0006372B" w:rsidRDefault="00A44C9F" w:rsidP="00A44C9F">
      <w:pPr>
        <w:pStyle w:val="isselectedend"/>
        <w:spacing w:before="0" w:beforeAutospacing="0" w:after="0" w:afterAutospacing="0" w:line="360" w:lineRule="auto"/>
        <w:ind w:firstLine="709"/>
        <w:jc w:val="both"/>
      </w:pPr>
      <w:r w:rsidRPr="0006372B">
        <w:t>O brócolis (</w:t>
      </w:r>
      <w:proofErr w:type="spellStart"/>
      <w:r w:rsidRPr="0006372B">
        <w:t>Brassica</w:t>
      </w:r>
      <w:proofErr w:type="spellEnd"/>
      <w:r w:rsidRPr="0006372B">
        <w:t xml:space="preserve"> </w:t>
      </w:r>
      <w:proofErr w:type="spellStart"/>
      <w:r w:rsidRPr="0006372B">
        <w:t>oleracea</w:t>
      </w:r>
      <w:proofErr w:type="spellEnd"/>
      <w:r w:rsidRPr="0006372B">
        <w:t xml:space="preserve"> var. </w:t>
      </w:r>
      <w:proofErr w:type="spellStart"/>
      <w:r w:rsidRPr="0006372B">
        <w:t>italica</w:t>
      </w:r>
      <w:proofErr w:type="spellEnd"/>
      <w:r w:rsidRPr="0006372B">
        <w:t xml:space="preserve">) é uma das hortaliças de maior valor nutricional e funcional, destacando-se pelos elevados teores de fibras, compostos antioxidantes, vitaminas e minerais essenciais à alimentação humana. Nos últimos anos, a demanda por alimentos produzidos de forma sustentável e com elevada qualidade nutricional tem impulsionado a busca por tecnologias capazes de aumentar a eficiência do uso de nutrientes sem comprometer a qualidade dos produtos agrícolas (Li et al., 2022; Montaner et </w:t>
      </w:r>
      <w:r w:rsidRPr="0006372B">
        <w:lastRenderedPageBreak/>
        <w:t>al., 2023).</w:t>
      </w:r>
      <w:r w:rsidR="00381DC8" w:rsidRPr="0006372B">
        <w:t xml:space="preserve"> Além de sua importância nutricional, o brócolis apresenta elevado potencial funcional devido à presença de compostos bioativos com ação antioxidante, amplamente reconhecidos por seus benefícios à saúde humana (</w:t>
      </w:r>
      <w:proofErr w:type="spellStart"/>
      <w:r w:rsidR="00381DC8" w:rsidRPr="0006372B">
        <w:t>Gudiño</w:t>
      </w:r>
      <w:proofErr w:type="spellEnd"/>
      <w:r w:rsidR="00381DC8" w:rsidRPr="0006372B">
        <w:t xml:space="preserve"> et al., 2022).</w:t>
      </w:r>
    </w:p>
    <w:p w14:paraId="75A33E0D" w14:textId="3BAB3AE9" w:rsidR="00A44C9F" w:rsidRPr="0006372B" w:rsidRDefault="00A44C9F" w:rsidP="00A44C9F">
      <w:pPr>
        <w:pStyle w:val="isselectedend"/>
        <w:spacing w:before="0" w:beforeAutospacing="0" w:after="0" w:afterAutospacing="0" w:line="360" w:lineRule="auto"/>
        <w:ind w:firstLine="709"/>
        <w:jc w:val="both"/>
      </w:pPr>
      <w:r w:rsidRPr="0006372B">
        <w:t xml:space="preserve">Nos solos do Cerrado brasileiro, a baixa disponibilidade de fósforo constitui um dos principais fatores limitantes à produção agrícola, em razão da elevada adsorção desse nutriente aos óxidos de ferro e alumínio presentes nos </w:t>
      </w:r>
      <w:proofErr w:type="spellStart"/>
      <w:r w:rsidRPr="0006372B">
        <w:t>Latossolos</w:t>
      </w:r>
      <w:proofErr w:type="spellEnd"/>
      <w:r w:rsidRPr="0006372B">
        <w:t xml:space="preserve">. Nesse contexto, fertilizantes fosfatados especiais, como os </w:t>
      </w:r>
      <w:proofErr w:type="spellStart"/>
      <w:r w:rsidRPr="0006372B">
        <w:t>organominerais</w:t>
      </w:r>
      <w:proofErr w:type="spellEnd"/>
      <w:r w:rsidRPr="0006372B">
        <w:t xml:space="preserve"> e os fertilizantes recobertos por polímeros, têm sido apontados como alternativas promissoras para aumentar a eficiência da adubação fosfatada, reduzindo perdas e favorecendo a disponibilização gradual de nutrientes às plantas (Vieira et al., 2023; Ferrari et al., 2024).</w:t>
      </w:r>
    </w:p>
    <w:p w14:paraId="12905F01" w14:textId="77777777" w:rsidR="00A44C9F" w:rsidRPr="0006372B" w:rsidRDefault="00A44C9F" w:rsidP="00A44C9F">
      <w:pPr>
        <w:pStyle w:val="NormalWeb"/>
        <w:spacing w:before="0" w:beforeAutospacing="0" w:after="0" w:afterAutospacing="0" w:line="360" w:lineRule="auto"/>
        <w:ind w:firstLine="709"/>
        <w:jc w:val="both"/>
      </w:pPr>
      <w:r w:rsidRPr="0006372B">
        <w:t>Embora diversos estudos tenham demonstrado benefícios agronômicos dessas tecnologias, informações sobre seus efeitos na qualidade nutricional e físico-química de hortaliças ainda são limitadas. Dessa forma, objetivou-se avaliar os efeitos de fertilizantes fosfatados especiais sobre a qualidade nutricional e os atributos físico-químicos do brócolis cultivado em condições de Cerrado.</w:t>
      </w:r>
    </w:p>
    <w:p w14:paraId="46601C25" w14:textId="77777777" w:rsidR="00D25394" w:rsidRPr="0006372B" w:rsidRDefault="00D25394" w:rsidP="00D25394">
      <w:pPr>
        <w:pStyle w:val="Corpodetexto"/>
        <w:spacing w:line="360" w:lineRule="auto"/>
        <w:ind w:firstLine="709"/>
        <w:jc w:val="both"/>
        <w:rPr>
          <w:b/>
          <w:bCs/>
          <w:sz w:val="24"/>
          <w:szCs w:val="24"/>
          <w:lang w:val="pt-BR"/>
        </w:rPr>
      </w:pPr>
    </w:p>
    <w:p w14:paraId="208760B7" w14:textId="03D9C13F" w:rsidR="00E3782C" w:rsidRPr="0006372B" w:rsidRDefault="00E3782C" w:rsidP="00AE4987">
      <w:pPr>
        <w:pStyle w:val="Corpodetexto"/>
        <w:spacing w:line="360" w:lineRule="auto"/>
        <w:jc w:val="both"/>
        <w:rPr>
          <w:b/>
          <w:bCs/>
          <w:sz w:val="28"/>
          <w:szCs w:val="28"/>
        </w:rPr>
      </w:pPr>
      <w:r w:rsidRPr="0006372B">
        <w:rPr>
          <w:b/>
          <w:bCs/>
          <w:sz w:val="28"/>
          <w:szCs w:val="28"/>
        </w:rPr>
        <w:t>Metodologia</w:t>
      </w:r>
    </w:p>
    <w:p w14:paraId="53C10EFB" w14:textId="77777777" w:rsidR="00A44C9F" w:rsidRPr="0006372B" w:rsidRDefault="00A44C9F" w:rsidP="00A44C9F">
      <w:pPr>
        <w:pStyle w:val="isselectedend"/>
        <w:spacing w:before="0" w:beforeAutospacing="0" w:after="0" w:afterAutospacing="0" w:line="360" w:lineRule="auto"/>
        <w:ind w:firstLine="709"/>
        <w:jc w:val="both"/>
      </w:pPr>
      <w:r w:rsidRPr="0006372B">
        <w:t xml:space="preserve">O estudo foi conduzido entre março e junho de 2024, em área experimental localizada no município de Uberaba, MG (19°39’19” S e 47°57’27” W; 800 m de altitude), em </w:t>
      </w:r>
      <w:proofErr w:type="spellStart"/>
      <w:r w:rsidRPr="0006372B">
        <w:t>Latossolo</w:t>
      </w:r>
      <w:proofErr w:type="spellEnd"/>
      <w:r w:rsidRPr="0006372B">
        <w:t xml:space="preserve"> Vermelho Distrófico de textura média. O clima da região é do tipo </w:t>
      </w:r>
      <w:proofErr w:type="spellStart"/>
      <w:r w:rsidRPr="0006372B">
        <w:t>Aw</w:t>
      </w:r>
      <w:proofErr w:type="spellEnd"/>
      <w:r w:rsidRPr="0006372B">
        <w:t xml:space="preserve">, segundo a classificação de </w:t>
      </w:r>
      <w:proofErr w:type="spellStart"/>
      <w:r w:rsidRPr="0006372B">
        <w:t>Köppen</w:t>
      </w:r>
      <w:proofErr w:type="spellEnd"/>
      <w:r w:rsidRPr="0006372B">
        <w:t>, caracterizado por verão quente e chuvoso e inverno seco.</w:t>
      </w:r>
    </w:p>
    <w:p w14:paraId="30688442" w14:textId="77777777" w:rsidR="00A44C9F" w:rsidRPr="0006372B" w:rsidRDefault="00A44C9F" w:rsidP="00A44C9F">
      <w:pPr>
        <w:pStyle w:val="isselectedend"/>
        <w:spacing w:before="0" w:beforeAutospacing="0" w:after="0" w:afterAutospacing="0" w:line="360" w:lineRule="auto"/>
        <w:ind w:firstLine="709"/>
        <w:jc w:val="both"/>
      </w:pPr>
      <w:r w:rsidRPr="0006372B">
        <w:t xml:space="preserve">O delineamento experimental utilizado foi o de blocos </w:t>
      </w:r>
      <w:proofErr w:type="spellStart"/>
      <w:r w:rsidRPr="0006372B">
        <w:t>casualizados</w:t>
      </w:r>
      <w:proofErr w:type="spellEnd"/>
      <w:r w:rsidRPr="0006372B">
        <w:t xml:space="preserve"> em parcelas subdivididas, com quatro repetições. Nas parcelas foram avaliadas três fontes de fósforo: fosfato </w:t>
      </w:r>
      <w:proofErr w:type="spellStart"/>
      <w:r w:rsidRPr="0006372B">
        <w:t>monoamônico</w:t>
      </w:r>
      <w:proofErr w:type="spellEnd"/>
      <w:r w:rsidRPr="0006372B">
        <w:t xml:space="preserve"> convencional (</w:t>
      </w:r>
      <w:proofErr w:type="spellStart"/>
      <w:r w:rsidRPr="0006372B">
        <w:t>MAPConv</w:t>
      </w:r>
      <w:proofErr w:type="spellEnd"/>
      <w:r w:rsidRPr="0006372B">
        <w:t xml:space="preserve">), fosfato </w:t>
      </w:r>
      <w:proofErr w:type="spellStart"/>
      <w:r w:rsidRPr="0006372B">
        <w:t>monoamônico</w:t>
      </w:r>
      <w:proofErr w:type="spellEnd"/>
      <w:r w:rsidRPr="0006372B">
        <w:t xml:space="preserve"> polimerizado (</w:t>
      </w:r>
      <w:proofErr w:type="spellStart"/>
      <w:r w:rsidRPr="0006372B">
        <w:t>MAPPol</w:t>
      </w:r>
      <w:proofErr w:type="spellEnd"/>
      <w:r w:rsidRPr="0006372B">
        <w:t xml:space="preserve">) e fertilizante </w:t>
      </w:r>
      <w:proofErr w:type="spellStart"/>
      <w:r w:rsidRPr="0006372B">
        <w:t>organomineral</w:t>
      </w:r>
      <w:proofErr w:type="spellEnd"/>
      <w:r w:rsidRPr="0006372B">
        <w:t xml:space="preserve"> granulado (</w:t>
      </w:r>
      <w:proofErr w:type="spellStart"/>
      <w:r w:rsidRPr="0006372B">
        <w:t>Org</w:t>
      </w:r>
      <w:proofErr w:type="spellEnd"/>
      <w:r w:rsidRPr="0006372B">
        <w:t xml:space="preserve">). Nas </w:t>
      </w:r>
      <w:proofErr w:type="spellStart"/>
      <w:r w:rsidRPr="0006372B">
        <w:t>subparcelas</w:t>
      </w:r>
      <w:proofErr w:type="spellEnd"/>
      <w:r w:rsidRPr="0006372B">
        <w:t xml:space="preserve"> foram avaliadas quatro doses de P₂O₅ correspondentes a 0, 200, 300 e 400 kg ha⁻¹, equivalentes a 0, 50, 75 e 100% da recomendação para a cultura do brócolis.</w:t>
      </w:r>
    </w:p>
    <w:p w14:paraId="34A69FFC" w14:textId="77777777" w:rsidR="00A44C9F" w:rsidRPr="0006372B" w:rsidRDefault="00A44C9F" w:rsidP="00A44C9F">
      <w:pPr>
        <w:pStyle w:val="isselectedend"/>
        <w:spacing w:before="0" w:beforeAutospacing="0" w:after="0" w:afterAutospacing="0" w:line="360" w:lineRule="auto"/>
        <w:ind w:firstLine="709"/>
        <w:jc w:val="both"/>
      </w:pPr>
      <w:r w:rsidRPr="0006372B">
        <w:t>O brócolis (</w:t>
      </w:r>
      <w:proofErr w:type="spellStart"/>
      <w:r w:rsidRPr="0006372B">
        <w:t>Brassica</w:t>
      </w:r>
      <w:proofErr w:type="spellEnd"/>
      <w:r w:rsidRPr="0006372B">
        <w:t xml:space="preserve"> </w:t>
      </w:r>
      <w:proofErr w:type="spellStart"/>
      <w:r w:rsidRPr="0006372B">
        <w:t>oleracea</w:t>
      </w:r>
      <w:proofErr w:type="spellEnd"/>
      <w:r w:rsidRPr="0006372B">
        <w:t xml:space="preserve"> var. </w:t>
      </w:r>
      <w:proofErr w:type="spellStart"/>
      <w:r w:rsidRPr="0006372B">
        <w:t>italica</w:t>
      </w:r>
      <w:proofErr w:type="spellEnd"/>
      <w:r w:rsidRPr="0006372B">
        <w:t xml:space="preserve">) cv. </w:t>
      </w:r>
      <w:proofErr w:type="spellStart"/>
      <w:r w:rsidRPr="0006372B">
        <w:t>Avenger</w:t>
      </w:r>
      <w:proofErr w:type="spellEnd"/>
      <w:r w:rsidRPr="0006372B">
        <w:t xml:space="preserve"> foi cultivado em sistema convencional, no espaçamento de 0,80 × 0,50 m, adotando-se as recomendações de adubação e manejo para a cultura. A colheita foi realizada quando as inflorescências apresentavam desenvolvimento completo, cabeças compactas e botões florais ainda fechados.</w:t>
      </w:r>
    </w:p>
    <w:p w14:paraId="77544F60" w14:textId="77777777" w:rsidR="00A44C9F" w:rsidRPr="0006372B" w:rsidRDefault="00A44C9F" w:rsidP="00A44C9F">
      <w:pPr>
        <w:pStyle w:val="NormalWeb"/>
        <w:spacing w:before="0" w:beforeAutospacing="0" w:after="0" w:afterAutospacing="0" w:line="360" w:lineRule="auto"/>
        <w:ind w:firstLine="709"/>
        <w:jc w:val="both"/>
      </w:pPr>
      <w:r w:rsidRPr="0006372B">
        <w:t xml:space="preserve">Após a colheita, amostras da parte comercial do brócolis foram encaminhadas ao Laboratório de Análise de Alimentos do Instituto Federal do Triângulo Mineiro para </w:t>
      </w:r>
      <w:r w:rsidRPr="0006372B">
        <w:lastRenderedPageBreak/>
        <w:t xml:space="preserve">determinação dos teores de umidade, cinzas, lipídeos, proteínas, fibra bruta e ácido ascórbico, além dos atributos físico-químicos acidez total </w:t>
      </w:r>
      <w:proofErr w:type="spellStart"/>
      <w:r w:rsidRPr="0006372B">
        <w:t>titulável</w:t>
      </w:r>
      <w:proofErr w:type="spellEnd"/>
      <w:r w:rsidRPr="0006372B">
        <w:t xml:space="preserve"> (ATT), sólidos solúveis totais (SST) e potencial hidrogeniônico (pH). As análises foram realizadas conforme metodologias descritas pela AOAC (2005) e Instituto Adolfo Lutz (2008). Os dados obtidos foram submetidos à análise de variância, sendo as médias comparadas pelo teste Scott-</w:t>
      </w:r>
      <w:proofErr w:type="spellStart"/>
      <w:r w:rsidRPr="0006372B">
        <w:t>Knott</w:t>
      </w:r>
      <w:proofErr w:type="spellEnd"/>
      <w:r w:rsidRPr="0006372B">
        <w:t xml:space="preserve"> e as doses avaliadas por análise de regressão, adotando-se nível de significância de 5%.</w:t>
      </w:r>
    </w:p>
    <w:p w14:paraId="01F71E15" w14:textId="77777777" w:rsidR="00D25394" w:rsidRPr="0006372B" w:rsidRDefault="00D25394" w:rsidP="00A36A9D">
      <w:pPr>
        <w:pStyle w:val="Corpodetexto"/>
        <w:spacing w:line="360" w:lineRule="auto"/>
        <w:ind w:firstLine="709"/>
        <w:jc w:val="both"/>
        <w:rPr>
          <w:b/>
          <w:bCs/>
          <w:sz w:val="24"/>
          <w:szCs w:val="24"/>
          <w:lang w:val="pt-BR"/>
        </w:rPr>
      </w:pPr>
    </w:p>
    <w:p w14:paraId="71573541" w14:textId="7267FD8B" w:rsidR="00E3782C" w:rsidRPr="0006372B" w:rsidRDefault="00E3782C" w:rsidP="00A36A9D">
      <w:pPr>
        <w:pStyle w:val="Corpodetexto"/>
        <w:spacing w:line="360" w:lineRule="auto"/>
        <w:jc w:val="both"/>
        <w:rPr>
          <w:b/>
          <w:bCs/>
          <w:sz w:val="28"/>
          <w:szCs w:val="28"/>
        </w:rPr>
      </w:pPr>
      <w:r w:rsidRPr="0006372B">
        <w:rPr>
          <w:b/>
          <w:bCs/>
          <w:sz w:val="28"/>
          <w:szCs w:val="28"/>
        </w:rPr>
        <w:t>Resultados e Discussão</w:t>
      </w:r>
    </w:p>
    <w:p w14:paraId="58C34744" w14:textId="77777777" w:rsidR="004A1986" w:rsidRPr="004A1986" w:rsidRDefault="004A1986" w:rsidP="004A1986">
      <w:pPr>
        <w:widowControl/>
        <w:autoSpaceDE/>
        <w:autoSpaceDN/>
        <w:spacing w:line="360" w:lineRule="auto"/>
        <w:ind w:firstLine="709"/>
        <w:jc w:val="both"/>
        <w:rPr>
          <w:sz w:val="24"/>
          <w:szCs w:val="24"/>
          <w:lang w:val="pt-BR" w:eastAsia="pt-BR"/>
        </w:rPr>
      </w:pPr>
      <w:r w:rsidRPr="004A1986">
        <w:rPr>
          <w:sz w:val="24"/>
          <w:szCs w:val="24"/>
          <w:lang w:val="pt-BR" w:eastAsia="pt-BR"/>
        </w:rPr>
        <w:t xml:space="preserve">Os fertilizantes fosfatados especiais proporcionaram maior desempenho agronômico da cultura do brócolis, com produtividade média de 22,82 t ha⁻¹ para o fertilizante </w:t>
      </w:r>
      <w:proofErr w:type="spellStart"/>
      <w:r w:rsidRPr="004A1986">
        <w:rPr>
          <w:sz w:val="24"/>
          <w:szCs w:val="24"/>
          <w:lang w:val="pt-BR" w:eastAsia="pt-BR"/>
        </w:rPr>
        <w:t>organomineral</w:t>
      </w:r>
      <w:proofErr w:type="spellEnd"/>
      <w:r w:rsidRPr="004A1986">
        <w:rPr>
          <w:sz w:val="24"/>
          <w:szCs w:val="24"/>
          <w:lang w:val="pt-BR" w:eastAsia="pt-BR"/>
        </w:rPr>
        <w:t xml:space="preserve">, 21,43 t ha⁻¹ para o fosfato </w:t>
      </w:r>
      <w:proofErr w:type="spellStart"/>
      <w:r w:rsidRPr="004A1986">
        <w:rPr>
          <w:sz w:val="24"/>
          <w:szCs w:val="24"/>
          <w:lang w:val="pt-BR" w:eastAsia="pt-BR"/>
        </w:rPr>
        <w:t>monoamônico</w:t>
      </w:r>
      <w:proofErr w:type="spellEnd"/>
      <w:r w:rsidRPr="004A1986">
        <w:rPr>
          <w:sz w:val="24"/>
          <w:szCs w:val="24"/>
          <w:lang w:val="pt-BR" w:eastAsia="pt-BR"/>
        </w:rPr>
        <w:t xml:space="preserve"> polimerizado e 20,62 t ha⁻¹ para o fosfato </w:t>
      </w:r>
      <w:proofErr w:type="spellStart"/>
      <w:r w:rsidRPr="004A1986">
        <w:rPr>
          <w:sz w:val="24"/>
          <w:szCs w:val="24"/>
          <w:lang w:val="pt-BR" w:eastAsia="pt-BR"/>
        </w:rPr>
        <w:t>monoamônico</w:t>
      </w:r>
      <w:proofErr w:type="spellEnd"/>
      <w:r w:rsidRPr="004A1986">
        <w:rPr>
          <w:sz w:val="24"/>
          <w:szCs w:val="24"/>
          <w:lang w:val="pt-BR" w:eastAsia="pt-BR"/>
        </w:rPr>
        <w:t xml:space="preserve"> convencional. Esses resultados demonstram a eficiência das tecnologias utilizadas para o fornecimento de fósforo em solos do Cerrado e corroboram estudos que relatam maior eficiência agronômica de fertilizantes </w:t>
      </w:r>
      <w:proofErr w:type="spellStart"/>
      <w:r w:rsidRPr="004A1986">
        <w:rPr>
          <w:sz w:val="24"/>
          <w:szCs w:val="24"/>
          <w:lang w:val="pt-BR" w:eastAsia="pt-BR"/>
        </w:rPr>
        <w:t>organominerais</w:t>
      </w:r>
      <w:proofErr w:type="spellEnd"/>
      <w:r w:rsidRPr="004A1986">
        <w:rPr>
          <w:sz w:val="24"/>
          <w:szCs w:val="24"/>
          <w:lang w:val="pt-BR" w:eastAsia="pt-BR"/>
        </w:rPr>
        <w:t xml:space="preserve"> e fontes de liberação gradual em comparação às fontes convencionais (Vieira et al., 2023; Ferrari et al., 2024).</w:t>
      </w:r>
    </w:p>
    <w:p w14:paraId="5691F097" w14:textId="37AF6086" w:rsidR="004A1986" w:rsidRPr="0006372B" w:rsidRDefault="004A1986" w:rsidP="00534760">
      <w:pPr>
        <w:widowControl/>
        <w:autoSpaceDE/>
        <w:autoSpaceDN/>
        <w:spacing w:line="360" w:lineRule="auto"/>
        <w:ind w:firstLine="709"/>
        <w:jc w:val="both"/>
        <w:rPr>
          <w:sz w:val="24"/>
          <w:szCs w:val="24"/>
          <w:lang w:val="pt-BR" w:eastAsia="pt-BR"/>
        </w:rPr>
      </w:pPr>
      <w:r w:rsidRPr="004A1986">
        <w:rPr>
          <w:sz w:val="24"/>
          <w:szCs w:val="24"/>
          <w:lang w:val="pt-BR" w:eastAsia="pt-BR"/>
        </w:rPr>
        <w:t xml:space="preserve">Além dos benefícios agronômicos observados, os fertilizantes avaliados preservaram a qualidade nutricional do brócolis produzido (Tabela 1). </w:t>
      </w:r>
    </w:p>
    <w:p w14:paraId="4EEA4F0A" w14:textId="77777777" w:rsidR="004A1986" w:rsidRPr="0006372B" w:rsidRDefault="004A1986" w:rsidP="00534760">
      <w:pPr>
        <w:widowControl/>
        <w:autoSpaceDE/>
        <w:autoSpaceDN/>
        <w:spacing w:line="360" w:lineRule="auto"/>
        <w:jc w:val="both"/>
        <w:rPr>
          <w:rFonts w:eastAsia="Calibri"/>
          <w:b/>
          <w:bCs/>
          <w:sz w:val="24"/>
          <w:szCs w:val="24"/>
          <w:lang w:val="pt-BR" w:eastAsia="pt-BR"/>
        </w:rPr>
      </w:pPr>
    </w:p>
    <w:p w14:paraId="57052A60" w14:textId="78DC08BD" w:rsidR="004A1986" w:rsidRPr="0006372B" w:rsidRDefault="004A1986" w:rsidP="00534760">
      <w:pPr>
        <w:widowControl/>
        <w:autoSpaceDE/>
        <w:autoSpaceDN/>
        <w:spacing w:line="360" w:lineRule="auto"/>
        <w:jc w:val="both"/>
        <w:rPr>
          <w:rFonts w:eastAsia="Calibri"/>
          <w:iCs/>
          <w:sz w:val="24"/>
          <w:szCs w:val="24"/>
          <w:lang w:val="pt-BR" w:bidi="en-US"/>
        </w:rPr>
      </w:pPr>
      <w:r w:rsidRPr="0006372B">
        <w:rPr>
          <w:rFonts w:eastAsia="Calibri"/>
          <w:b/>
          <w:bCs/>
          <w:sz w:val="24"/>
          <w:szCs w:val="24"/>
          <w:lang w:val="pt-BR" w:eastAsia="pt-BR"/>
        </w:rPr>
        <w:t>Tabela 1</w:t>
      </w:r>
      <w:r w:rsidRPr="0006372B">
        <w:rPr>
          <w:rFonts w:eastAsia="Calibri"/>
          <w:bCs/>
          <w:sz w:val="24"/>
          <w:szCs w:val="24"/>
          <w:lang w:val="pt-BR" w:eastAsia="pt-BR"/>
        </w:rPr>
        <w:t xml:space="preserve">. </w:t>
      </w:r>
      <w:r w:rsidR="00534760" w:rsidRPr="0006372B">
        <w:rPr>
          <w:rFonts w:eastAsia="Calibri"/>
          <w:bCs/>
          <w:sz w:val="24"/>
          <w:szCs w:val="24"/>
          <w:lang w:val="pt-BR" w:eastAsia="pt-BR"/>
        </w:rPr>
        <w:t>Qualidade nutricional do brócolis em resposta a diferentes fontes e doses de fósforo, Uberaba, MG, 2024.</w:t>
      </w:r>
    </w:p>
    <w:tbl>
      <w:tblPr>
        <w:tblW w:w="9040" w:type="dxa"/>
        <w:jc w:val="center"/>
        <w:tblLayout w:type="fixed"/>
        <w:tblLook w:val="01E0" w:firstRow="1" w:lastRow="1" w:firstColumn="1" w:lastColumn="1" w:noHBand="0" w:noVBand="0"/>
      </w:tblPr>
      <w:tblGrid>
        <w:gridCol w:w="1678"/>
        <w:gridCol w:w="798"/>
        <w:gridCol w:w="798"/>
        <w:gridCol w:w="799"/>
        <w:gridCol w:w="798"/>
        <w:gridCol w:w="798"/>
        <w:gridCol w:w="799"/>
        <w:gridCol w:w="798"/>
        <w:gridCol w:w="799"/>
        <w:gridCol w:w="975"/>
      </w:tblGrid>
      <w:tr w:rsidR="0006372B" w:rsidRPr="009B0D84" w14:paraId="51489696" w14:textId="77777777" w:rsidTr="007A7ED3">
        <w:trPr>
          <w:trHeight w:val="149"/>
          <w:jc w:val="center"/>
        </w:trPr>
        <w:tc>
          <w:tcPr>
            <w:tcW w:w="1678" w:type="dxa"/>
            <w:tcBorders>
              <w:top w:val="single" w:sz="4" w:space="0" w:color="auto"/>
            </w:tcBorders>
            <w:shd w:val="clear" w:color="auto" w:fill="auto"/>
          </w:tcPr>
          <w:p w14:paraId="1B005496" w14:textId="77777777" w:rsidR="009B0D84" w:rsidRPr="009B0D84" w:rsidRDefault="009B0D84" w:rsidP="009B0D84">
            <w:pPr>
              <w:widowControl/>
              <w:autoSpaceDE/>
              <w:autoSpaceDN/>
              <w:ind w:left="-86" w:right="-108"/>
              <w:contextualSpacing/>
              <w:jc w:val="center"/>
              <w:rPr>
                <w:rFonts w:eastAsia="Calibri"/>
                <w:bCs/>
                <w:iCs/>
                <w:sz w:val="20"/>
                <w:szCs w:val="20"/>
                <w:lang w:val="pt-BR"/>
              </w:rPr>
            </w:pPr>
            <w:r w:rsidRPr="009B0D84">
              <w:rPr>
                <w:rFonts w:eastAsia="Calibri"/>
                <w:bCs/>
                <w:iCs/>
                <w:sz w:val="20"/>
                <w:szCs w:val="20"/>
                <w:lang w:val="pt-BR"/>
              </w:rPr>
              <w:t>Fertilizante</w:t>
            </w:r>
          </w:p>
        </w:tc>
        <w:tc>
          <w:tcPr>
            <w:tcW w:w="7362" w:type="dxa"/>
            <w:gridSpan w:val="9"/>
            <w:tcBorders>
              <w:top w:val="single" w:sz="4" w:space="0" w:color="auto"/>
              <w:bottom w:val="single" w:sz="4" w:space="0" w:color="auto"/>
            </w:tcBorders>
            <w:shd w:val="clear" w:color="auto" w:fill="auto"/>
          </w:tcPr>
          <w:p w14:paraId="76B9CF09" w14:textId="77777777" w:rsidR="009B0D84" w:rsidRPr="009B0D84" w:rsidRDefault="009B0D84" w:rsidP="009B0D84">
            <w:pPr>
              <w:widowControl/>
              <w:tabs>
                <w:tab w:val="center" w:pos="3583"/>
                <w:tab w:val="left" w:pos="5009"/>
              </w:tabs>
              <w:autoSpaceDE/>
              <w:autoSpaceDN/>
              <w:ind w:left="-99"/>
              <w:contextualSpacing/>
              <w:jc w:val="center"/>
              <w:rPr>
                <w:rFonts w:eastAsia="Calibri"/>
                <w:bCs/>
                <w:iCs/>
                <w:sz w:val="20"/>
                <w:szCs w:val="20"/>
                <w:lang w:val="pt-BR"/>
              </w:rPr>
            </w:pPr>
            <w:r w:rsidRPr="009B0D84">
              <w:rPr>
                <w:rFonts w:eastAsia="Calibri"/>
                <w:bCs/>
                <w:iCs/>
                <w:sz w:val="20"/>
                <w:szCs w:val="20"/>
                <w:lang w:val="pt-BR"/>
              </w:rPr>
              <w:t>Parâmetros avaliados no Brócolis</w:t>
            </w:r>
          </w:p>
        </w:tc>
      </w:tr>
      <w:tr w:rsidR="0006372B" w:rsidRPr="009B0D84" w14:paraId="45492FE3" w14:textId="77777777" w:rsidTr="007A7ED3">
        <w:trPr>
          <w:trHeight w:val="159"/>
          <w:jc w:val="center"/>
        </w:trPr>
        <w:tc>
          <w:tcPr>
            <w:tcW w:w="1678" w:type="dxa"/>
            <w:shd w:val="clear" w:color="auto" w:fill="auto"/>
          </w:tcPr>
          <w:p w14:paraId="68C5DE51" w14:textId="77777777" w:rsidR="009B0D84" w:rsidRPr="009B0D84" w:rsidRDefault="009B0D84" w:rsidP="009B0D84">
            <w:pPr>
              <w:widowControl/>
              <w:autoSpaceDE/>
              <w:autoSpaceDN/>
              <w:ind w:left="-86" w:right="-108"/>
              <w:contextualSpacing/>
              <w:jc w:val="center"/>
              <w:rPr>
                <w:rFonts w:eastAsia="Calibri"/>
                <w:bCs/>
                <w:iCs/>
                <w:sz w:val="20"/>
                <w:szCs w:val="20"/>
                <w:lang w:val="pt-BR"/>
              </w:rPr>
            </w:pPr>
          </w:p>
        </w:tc>
        <w:tc>
          <w:tcPr>
            <w:tcW w:w="798" w:type="dxa"/>
            <w:tcBorders>
              <w:top w:val="single" w:sz="4" w:space="0" w:color="auto"/>
              <w:bottom w:val="single" w:sz="4" w:space="0" w:color="auto"/>
            </w:tcBorders>
            <w:shd w:val="clear" w:color="auto" w:fill="auto"/>
          </w:tcPr>
          <w:p w14:paraId="09EEC3DD" w14:textId="77777777" w:rsidR="009B0D84" w:rsidRPr="009B0D84" w:rsidRDefault="009B0D84" w:rsidP="009B0D84">
            <w:pPr>
              <w:widowControl/>
              <w:autoSpaceDE/>
              <w:autoSpaceDN/>
              <w:contextualSpacing/>
              <w:jc w:val="center"/>
              <w:rPr>
                <w:rFonts w:eastAsia="Calibri"/>
                <w:sz w:val="20"/>
                <w:szCs w:val="20"/>
                <w:lang w:val="pt-BR"/>
              </w:rPr>
            </w:pPr>
            <w:r w:rsidRPr="009B0D84">
              <w:rPr>
                <w:rFonts w:eastAsia="Calibri"/>
                <w:sz w:val="20"/>
                <w:szCs w:val="20"/>
                <w:lang w:val="pt-BR"/>
              </w:rPr>
              <w:t>UM</w:t>
            </w:r>
          </w:p>
        </w:tc>
        <w:tc>
          <w:tcPr>
            <w:tcW w:w="798" w:type="dxa"/>
            <w:tcBorders>
              <w:top w:val="single" w:sz="4" w:space="0" w:color="auto"/>
              <w:bottom w:val="single" w:sz="4" w:space="0" w:color="auto"/>
            </w:tcBorders>
          </w:tcPr>
          <w:p w14:paraId="27DCA11F" w14:textId="77777777" w:rsidR="009B0D84" w:rsidRPr="009B0D84" w:rsidRDefault="009B0D84" w:rsidP="009B0D84">
            <w:pPr>
              <w:widowControl/>
              <w:autoSpaceDE/>
              <w:autoSpaceDN/>
              <w:contextualSpacing/>
              <w:jc w:val="center"/>
              <w:rPr>
                <w:rFonts w:eastAsia="Calibri"/>
                <w:sz w:val="20"/>
                <w:szCs w:val="20"/>
                <w:lang w:val="pt-BR"/>
              </w:rPr>
            </w:pPr>
            <w:r w:rsidRPr="009B0D84">
              <w:rPr>
                <w:rFonts w:eastAsia="Calibri"/>
                <w:sz w:val="20"/>
                <w:szCs w:val="20"/>
                <w:lang w:val="pt-BR"/>
              </w:rPr>
              <w:t>CZ</w:t>
            </w:r>
          </w:p>
        </w:tc>
        <w:tc>
          <w:tcPr>
            <w:tcW w:w="799" w:type="dxa"/>
            <w:tcBorders>
              <w:top w:val="single" w:sz="4" w:space="0" w:color="auto"/>
              <w:bottom w:val="single" w:sz="4" w:space="0" w:color="auto"/>
            </w:tcBorders>
          </w:tcPr>
          <w:p w14:paraId="561DDFB4" w14:textId="77777777" w:rsidR="009B0D84" w:rsidRPr="009B0D84" w:rsidRDefault="009B0D84" w:rsidP="009B0D84">
            <w:pPr>
              <w:widowControl/>
              <w:autoSpaceDE/>
              <w:autoSpaceDN/>
              <w:contextualSpacing/>
              <w:jc w:val="center"/>
              <w:rPr>
                <w:rFonts w:eastAsia="Calibri"/>
                <w:sz w:val="20"/>
                <w:szCs w:val="20"/>
                <w:lang w:val="pt-BR"/>
              </w:rPr>
            </w:pPr>
            <w:r w:rsidRPr="009B0D84">
              <w:rPr>
                <w:rFonts w:eastAsia="Calibri"/>
                <w:sz w:val="20"/>
                <w:szCs w:val="20"/>
                <w:lang w:val="pt-BR"/>
              </w:rPr>
              <w:t>LIP</w:t>
            </w:r>
          </w:p>
        </w:tc>
        <w:tc>
          <w:tcPr>
            <w:tcW w:w="798" w:type="dxa"/>
            <w:tcBorders>
              <w:top w:val="single" w:sz="4" w:space="0" w:color="auto"/>
              <w:bottom w:val="single" w:sz="4" w:space="0" w:color="auto"/>
            </w:tcBorders>
          </w:tcPr>
          <w:p w14:paraId="531BD421" w14:textId="77777777" w:rsidR="009B0D84" w:rsidRPr="009B0D84" w:rsidRDefault="009B0D84" w:rsidP="009B0D84">
            <w:pPr>
              <w:widowControl/>
              <w:autoSpaceDE/>
              <w:autoSpaceDN/>
              <w:contextualSpacing/>
              <w:jc w:val="center"/>
              <w:rPr>
                <w:rFonts w:eastAsia="Calibri"/>
                <w:sz w:val="20"/>
                <w:szCs w:val="20"/>
                <w:lang w:val="pt-BR"/>
              </w:rPr>
            </w:pPr>
            <w:r w:rsidRPr="009B0D84">
              <w:rPr>
                <w:rFonts w:eastAsia="Calibri"/>
                <w:sz w:val="20"/>
                <w:szCs w:val="20"/>
                <w:lang w:val="pt-BR"/>
              </w:rPr>
              <w:t>PTN</w:t>
            </w:r>
          </w:p>
        </w:tc>
        <w:tc>
          <w:tcPr>
            <w:tcW w:w="798" w:type="dxa"/>
            <w:tcBorders>
              <w:top w:val="single" w:sz="4" w:space="0" w:color="auto"/>
              <w:bottom w:val="single" w:sz="4" w:space="0" w:color="auto"/>
            </w:tcBorders>
          </w:tcPr>
          <w:p w14:paraId="6DA5EAB9" w14:textId="77777777" w:rsidR="009B0D84" w:rsidRPr="009B0D84" w:rsidRDefault="009B0D84" w:rsidP="009B0D84">
            <w:pPr>
              <w:widowControl/>
              <w:autoSpaceDE/>
              <w:autoSpaceDN/>
              <w:ind w:right="-108"/>
              <w:contextualSpacing/>
              <w:jc w:val="center"/>
              <w:rPr>
                <w:rFonts w:eastAsia="Calibri"/>
                <w:sz w:val="20"/>
                <w:szCs w:val="20"/>
                <w:lang w:val="pt-BR"/>
              </w:rPr>
            </w:pPr>
            <w:r w:rsidRPr="009B0D84">
              <w:rPr>
                <w:rFonts w:eastAsia="Calibri"/>
                <w:sz w:val="20"/>
                <w:szCs w:val="20"/>
                <w:lang w:val="pt-BR"/>
              </w:rPr>
              <w:t>FB</w:t>
            </w:r>
          </w:p>
        </w:tc>
        <w:tc>
          <w:tcPr>
            <w:tcW w:w="799" w:type="dxa"/>
            <w:tcBorders>
              <w:top w:val="single" w:sz="4" w:space="0" w:color="auto"/>
              <w:bottom w:val="single" w:sz="4" w:space="0" w:color="auto"/>
            </w:tcBorders>
          </w:tcPr>
          <w:p w14:paraId="112ABB43" w14:textId="77777777" w:rsidR="009B0D84" w:rsidRPr="009B0D84" w:rsidRDefault="009B0D84" w:rsidP="009B0D84">
            <w:pPr>
              <w:widowControl/>
              <w:autoSpaceDE/>
              <w:autoSpaceDN/>
              <w:contextualSpacing/>
              <w:jc w:val="center"/>
              <w:rPr>
                <w:rFonts w:eastAsia="Calibri"/>
                <w:sz w:val="20"/>
                <w:szCs w:val="20"/>
                <w:lang w:val="pt-BR"/>
              </w:rPr>
            </w:pPr>
            <w:r w:rsidRPr="009B0D84">
              <w:rPr>
                <w:rFonts w:eastAsia="Calibri"/>
                <w:sz w:val="20"/>
                <w:szCs w:val="20"/>
                <w:lang w:val="pt-BR"/>
              </w:rPr>
              <w:t>ATT</w:t>
            </w:r>
          </w:p>
        </w:tc>
        <w:tc>
          <w:tcPr>
            <w:tcW w:w="798" w:type="dxa"/>
            <w:tcBorders>
              <w:top w:val="single" w:sz="4" w:space="0" w:color="auto"/>
              <w:bottom w:val="single" w:sz="4" w:space="0" w:color="auto"/>
            </w:tcBorders>
          </w:tcPr>
          <w:p w14:paraId="2F5EBD27" w14:textId="77777777" w:rsidR="009B0D84" w:rsidRPr="009B0D84" w:rsidRDefault="009B0D84" w:rsidP="009B0D84">
            <w:pPr>
              <w:widowControl/>
              <w:autoSpaceDE/>
              <w:autoSpaceDN/>
              <w:contextualSpacing/>
              <w:jc w:val="center"/>
              <w:rPr>
                <w:rFonts w:eastAsia="Calibri"/>
                <w:sz w:val="20"/>
                <w:szCs w:val="20"/>
                <w:lang w:val="pt-BR"/>
              </w:rPr>
            </w:pPr>
            <w:r w:rsidRPr="009B0D84">
              <w:rPr>
                <w:rFonts w:eastAsia="Calibri"/>
                <w:sz w:val="20"/>
                <w:szCs w:val="20"/>
                <w:lang w:val="pt-BR"/>
              </w:rPr>
              <w:t>SST</w:t>
            </w:r>
          </w:p>
        </w:tc>
        <w:tc>
          <w:tcPr>
            <w:tcW w:w="799" w:type="dxa"/>
            <w:tcBorders>
              <w:top w:val="single" w:sz="4" w:space="0" w:color="auto"/>
              <w:bottom w:val="single" w:sz="4" w:space="0" w:color="auto"/>
            </w:tcBorders>
          </w:tcPr>
          <w:p w14:paraId="608B4367" w14:textId="77777777" w:rsidR="009B0D84" w:rsidRPr="009B0D84" w:rsidRDefault="009B0D84" w:rsidP="009B0D84">
            <w:pPr>
              <w:widowControl/>
              <w:autoSpaceDE/>
              <w:autoSpaceDN/>
              <w:contextualSpacing/>
              <w:jc w:val="center"/>
              <w:rPr>
                <w:rFonts w:eastAsia="Calibri"/>
                <w:sz w:val="20"/>
                <w:szCs w:val="20"/>
                <w:lang w:val="pt-BR"/>
              </w:rPr>
            </w:pPr>
            <w:r w:rsidRPr="009B0D84">
              <w:rPr>
                <w:rFonts w:eastAsia="Calibri"/>
                <w:sz w:val="20"/>
                <w:szCs w:val="20"/>
                <w:lang w:val="pt-BR"/>
              </w:rPr>
              <w:t>pH</w:t>
            </w:r>
          </w:p>
        </w:tc>
        <w:tc>
          <w:tcPr>
            <w:tcW w:w="975" w:type="dxa"/>
            <w:tcBorders>
              <w:top w:val="single" w:sz="4" w:space="0" w:color="auto"/>
              <w:bottom w:val="single" w:sz="4" w:space="0" w:color="auto"/>
            </w:tcBorders>
          </w:tcPr>
          <w:p w14:paraId="59A5B623" w14:textId="77777777" w:rsidR="009B0D84" w:rsidRPr="009B0D84" w:rsidRDefault="009B0D84" w:rsidP="009B0D84">
            <w:pPr>
              <w:widowControl/>
              <w:autoSpaceDE/>
              <w:autoSpaceDN/>
              <w:ind w:left="-244" w:hanging="102"/>
              <w:contextualSpacing/>
              <w:jc w:val="center"/>
              <w:rPr>
                <w:rFonts w:eastAsia="Calibri"/>
                <w:sz w:val="20"/>
                <w:szCs w:val="20"/>
                <w:lang w:val="pt-BR"/>
              </w:rPr>
            </w:pPr>
            <w:r w:rsidRPr="009B0D84">
              <w:rPr>
                <w:rFonts w:eastAsia="Calibri"/>
                <w:sz w:val="20"/>
                <w:szCs w:val="20"/>
                <w:lang w:val="pt-BR"/>
              </w:rPr>
              <w:t>AA</w:t>
            </w:r>
          </w:p>
        </w:tc>
      </w:tr>
      <w:tr w:rsidR="0006372B" w:rsidRPr="009B0D84" w14:paraId="10A0AB1B" w14:textId="77777777" w:rsidTr="007A7ED3">
        <w:trPr>
          <w:trHeight w:val="66"/>
          <w:jc w:val="center"/>
        </w:trPr>
        <w:tc>
          <w:tcPr>
            <w:tcW w:w="1678" w:type="dxa"/>
            <w:tcBorders>
              <w:bottom w:val="single" w:sz="4" w:space="0" w:color="auto"/>
            </w:tcBorders>
            <w:shd w:val="clear" w:color="auto" w:fill="auto"/>
          </w:tcPr>
          <w:p w14:paraId="23BEE2C5" w14:textId="77777777" w:rsidR="009B0D84" w:rsidRPr="009B0D84" w:rsidRDefault="009B0D84" w:rsidP="009B0D84">
            <w:pPr>
              <w:widowControl/>
              <w:autoSpaceDE/>
              <w:autoSpaceDN/>
              <w:ind w:left="-86" w:right="-108"/>
              <w:contextualSpacing/>
              <w:jc w:val="center"/>
              <w:rPr>
                <w:rFonts w:eastAsia="Calibri"/>
                <w:sz w:val="20"/>
                <w:szCs w:val="20"/>
                <w:lang w:val="pt-BR"/>
              </w:rPr>
            </w:pPr>
          </w:p>
        </w:tc>
        <w:tc>
          <w:tcPr>
            <w:tcW w:w="3991" w:type="dxa"/>
            <w:gridSpan w:val="5"/>
            <w:tcBorders>
              <w:top w:val="single" w:sz="4" w:space="0" w:color="auto"/>
              <w:bottom w:val="single" w:sz="4" w:space="0" w:color="auto"/>
            </w:tcBorders>
          </w:tcPr>
          <w:p w14:paraId="6D0E6818" w14:textId="77777777" w:rsidR="009B0D84" w:rsidRPr="009B0D84" w:rsidRDefault="009B0D84" w:rsidP="009B0D84">
            <w:pPr>
              <w:widowControl/>
              <w:autoSpaceDE/>
              <w:autoSpaceDN/>
              <w:contextualSpacing/>
              <w:jc w:val="center"/>
              <w:rPr>
                <w:rFonts w:eastAsia="Calibri"/>
                <w:sz w:val="20"/>
                <w:szCs w:val="20"/>
                <w:lang w:val="pt-BR"/>
              </w:rPr>
            </w:pPr>
            <w:r w:rsidRPr="009B0D84">
              <w:rPr>
                <w:rFonts w:eastAsia="Calibri"/>
                <w:sz w:val="20"/>
                <w:szCs w:val="20"/>
                <w:lang w:val="pt-BR"/>
              </w:rPr>
              <w:t>.........................% .........................</w:t>
            </w:r>
          </w:p>
        </w:tc>
        <w:tc>
          <w:tcPr>
            <w:tcW w:w="799" w:type="dxa"/>
            <w:tcBorders>
              <w:top w:val="single" w:sz="4" w:space="0" w:color="auto"/>
              <w:bottom w:val="single" w:sz="4" w:space="0" w:color="auto"/>
            </w:tcBorders>
          </w:tcPr>
          <w:p w14:paraId="5CBC5A53" w14:textId="77777777" w:rsidR="009B0D84" w:rsidRPr="009B0D84" w:rsidRDefault="009B0D84" w:rsidP="009B0D84">
            <w:pPr>
              <w:widowControl/>
              <w:autoSpaceDE/>
              <w:autoSpaceDN/>
              <w:ind w:right="-108" w:hanging="108"/>
              <w:contextualSpacing/>
              <w:jc w:val="center"/>
              <w:rPr>
                <w:rFonts w:eastAsia="Calibri"/>
                <w:sz w:val="20"/>
                <w:szCs w:val="20"/>
                <w:lang w:val="pt-BR"/>
              </w:rPr>
            </w:pPr>
            <w:proofErr w:type="spellStart"/>
            <w:r w:rsidRPr="009B0D84">
              <w:rPr>
                <w:rFonts w:eastAsia="Calibri"/>
                <w:sz w:val="20"/>
                <w:szCs w:val="20"/>
                <w:lang w:val="pt-BR"/>
              </w:rPr>
              <w:t>Meq</w:t>
            </w:r>
            <w:proofErr w:type="spellEnd"/>
            <w:r w:rsidRPr="009B0D84">
              <w:rPr>
                <w:rFonts w:eastAsia="Calibri"/>
                <w:sz w:val="20"/>
                <w:szCs w:val="20"/>
                <w:lang w:val="pt-BR"/>
              </w:rPr>
              <w:t xml:space="preserve"> L</w:t>
            </w:r>
            <w:r w:rsidRPr="009B0D84">
              <w:rPr>
                <w:rFonts w:eastAsia="Calibri"/>
                <w:sz w:val="20"/>
                <w:szCs w:val="20"/>
                <w:vertAlign w:val="superscript"/>
                <w:lang w:val="pt-BR"/>
              </w:rPr>
              <w:t>-1</w:t>
            </w:r>
          </w:p>
        </w:tc>
        <w:tc>
          <w:tcPr>
            <w:tcW w:w="798" w:type="dxa"/>
            <w:tcBorders>
              <w:top w:val="single" w:sz="4" w:space="0" w:color="auto"/>
              <w:bottom w:val="single" w:sz="4" w:space="0" w:color="auto"/>
            </w:tcBorders>
          </w:tcPr>
          <w:p w14:paraId="40E21ADD" w14:textId="77777777" w:rsidR="009B0D84" w:rsidRPr="009B0D84" w:rsidRDefault="009B0D84" w:rsidP="009B0D84">
            <w:pPr>
              <w:widowControl/>
              <w:autoSpaceDE/>
              <w:autoSpaceDN/>
              <w:contextualSpacing/>
              <w:rPr>
                <w:rFonts w:eastAsia="Calibri"/>
                <w:sz w:val="20"/>
                <w:szCs w:val="20"/>
                <w:lang w:val="pt-BR"/>
              </w:rPr>
            </w:pPr>
            <w:proofErr w:type="spellStart"/>
            <w:r w:rsidRPr="009B0D84">
              <w:rPr>
                <w:rFonts w:eastAsia="Calibri"/>
                <w:sz w:val="20"/>
                <w:szCs w:val="20"/>
                <w:lang w:val="pt-BR"/>
              </w:rPr>
              <w:t>ºBrix</w:t>
            </w:r>
            <w:proofErr w:type="spellEnd"/>
          </w:p>
        </w:tc>
        <w:tc>
          <w:tcPr>
            <w:tcW w:w="799" w:type="dxa"/>
            <w:tcBorders>
              <w:top w:val="single" w:sz="4" w:space="0" w:color="auto"/>
              <w:bottom w:val="single" w:sz="4" w:space="0" w:color="auto"/>
            </w:tcBorders>
          </w:tcPr>
          <w:p w14:paraId="3D2D5BAA" w14:textId="77777777" w:rsidR="009B0D84" w:rsidRPr="009B0D84" w:rsidRDefault="009B0D84" w:rsidP="009B0D84">
            <w:pPr>
              <w:widowControl/>
              <w:autoSpaceDE/>
              <w:autoSpaceDN/>
              <w:ind w:right="-125"/>
              <w:contextualSpacing/>
              <w:jc w:val="center"/>
              <w:rPr>
                <w:rFonts w:eastAsia="Calibri"/>
                <w:sz w:val="20"/>
                <w:szCs w:val="20"/>
                <w:lang w:val="pt-BR"/>
              </w:rPr>
            </w:pPr>
            <w:r w:rsidRPr="009B0D84">
              <w:rPr>
                <w:rFonts w:eastAsia="Calibri"/>
                <w:sz w:val="20"/>
                <w:szCs w:val="20"/>
                <w:lang w:val="pt-BR"/>
              </w:rPr>
              <w:t xml:space="preserve"> --    </w:t>
            </w:r>
          </w:p>
        </w:tc>
        <w:tc>
          <w:tcPr>
            <w:tcW w:w="975" w:type="dxa"/>
            <w:tcBorders>
              <w:top w:val="single" w:sz="4" w:space="0" w:color="auto"/>
              <w:bottom w:val="single" w:sz="4" w:space="0" w:color="auto"/>
            </w:tcBorders>
          </w:tcPr>
          <w:p w14:paraId="10225843" w14:textId="77777777" w:rsidR="009B0D84" w:rsidRPr="009B0D84" w:rsidRDefault="009B0D84" w:rsidP="009B0D84">
            <w:pPr>
              <w:widowControl/>
              <w:autoSpaceDE/>
              <w:autoSpaceDN/>
              <w:ind w:right="-119" w:hanging="117"/>
              <w:contextualSpacing/>
              <w:jc w:val="center"/>
              <w:rPr>
                <w:rFonts w:eastAsia="Calibri"/>
                <w:sz w:val="20"/>
                <w:szCs w:val="20"/>
                <w:lang w:val="pt-BR"/>
              </w:rPr>
            </w:pPr>
            <w:r w:rsidRPr="009B0D84">
              <w:rPr>
                <w:rFonts w:eastAsia="Calibri"/>
                <w:sz w:val="20"/>
                <w:szCs w:val="20"/>
                <w:lang w:val="pt-BR"/>
              </w:rPr>
              <w:t>mg 100g</w:t>
            </w:r>
            <w:r w:rsidRPr="009B0D84">
              <w:rPr>
                <w:rFonts w:eastAsia="Calibri"/>
                <w:sz w:val="20"/>
                <w:szCs w:val="20"/>
                <w:vertAlign w:val="superscript"/>
                <w:lang w:val="pt-BR"/>
              </w:rPr>
              <w:t>-1</w:t>
            </w:r>
          </w:p>
        </w:tc>
      </w:tr>
      <w:tr w:rsidR="0006372B" w:rsidRPr="0006372B" w14:paraId="06FE43D7" w14:textId="77777777" w:rsidTr="00150366">
        <w:trPr>
          <w:trHeight w:val="23"/>
          <w:jc w:val="center"/>
        </w:trPr>
        <w:tc>
          <w:tcPr>
            <w:tcW w:w="9040" w:type="dxa"/>
            <w:gridSpan w:val="10"/>
            <w:tcBorders>
              <w:top w:val="single" w:sz="4" w:space="0" w:color="auto"/>
            </w:tcBorders>
          </w:tcPr>
          <w:p w14:paraId="2CD8749C" w14:textId="0D5DFFC3" w:rsidR="00BA0774" w:rsidRPr="009B0D84" w:rsidRDefault="00BA0774" w:rsidP="00BA0774">
            <w:pPr>
              <w:widowControl/>
              <w:autoSpaceDE/>
              <w:autoSpaceDN/>
              <w:ind w:right="-109" w:hanging="91"/>
              <w:contextualSpacing/>
              <w:rPr>
                <w:rFonts w:eastAsia="Calibri"/>
                <w:sz w:val="20"/>
                <w:szCs w:val="20"/>
                <w:lang w:val="pt-BR"/>
              </w:rPr>
            </w:pPr>
            <w:r w:rsidRPr="0006372B">
              <w:rPr>
                <w:kern w:val="1"/>
                <w:sz w:val="20"/>
                <w:szCs w:val="20"/>
                <w:lang w:val="pt-BR" w:eastAsia="zh-CN"/>
              </w:rPr>
              <w:t xml:space="preserve"> </w:t>
            </w:r>
            <w:r w:rsidRPr="009B0D84">
              <w:rPr>
                <w:kern w:val="1"/>
                <w:sz w:val="20"/>
                <w:szCs w:val="20"/>
                <w:lang w:val="pt-BR" w:eastAsia="zh-CN"/>
              </w:rPr>
              <w:t>Fertilizante (F)</w:t>
            </w:r>
          </w:p>
        </w:tc>
      </w:tr>
      <w:tr w:rsidR="0006372B" w:rsidRPr="009B0D84" w14:paraId="48F2C7B5" w14:textId="77777777" w:rsidTr="007A7ED3">
        <w:trPr>
          <w:trHeight w:val="66"/>
          <w:jc w:val="center"/>
        </w:trPr>
        <w:tc>
          <w:tcPr>
            <w:tcW w:w="1678" w:type="dxa"/>
          </w:tcPr>
          <w:p w14:paraId="637D474D" w14:textId="77777777" w:rsidR="009B0D84" w:rsidRPr="009B0D84" w:rsidRDefault="009B0D84" w:rsidP="009B0D84">
            <w:pPr>
              <w:widowControl/>
              <w:autoSpaceDE/>
              <w:autoSpaceDN/>
              <w:ind w:right="-108"/>
              <w:contextualSpacing/>
              <w:jc w:val="center"/>
              <w:rPr>
                <w:rFonts w:eastAsia="Calibri"/>
                <w:kern w:val="1"/>
                <w:sz w:val="20"/>
                <w:szCs w:val="20"/>
                <w:lang w:val="pt-BR"/>
              </w:rPr>
            </w:pPr>
            <w:proofErr w:type="spellStart"/>
            <w:r w:rsidRPr="009B0D84">
              <w:rPr>
                <w:kern w:val="1"/>
                <w:sz w:val="20"/>
                <w:szCs w:val="20"/>
                <w:lang w:val="pt-BR" w:eastAsia="zh-CN"/>
              </w:rPr>
              <w:t>MAPConv</w:t>
            </w:r>
            <w:proofErr w:type="spellEnd"/>
          </w:p>
        </w:tc>
        <w:tc>
          <w:tcPr>
            <w:tcW w:w="798" w:type="dxa"/>
          </w:tcPr>
          <w:p w14:paraId="582537A7" w14:textId="77777777" w:rsidR="009B0D84" w:rsidRPr="009B0D84" w:rsidRDefault="009B0D84" w:rsidP="009B0D84">
            <w:pPr>
              <w:widowControl/>
              <w:autoSpaceDE/>
              <w:autoSpaceDN/>
              <w:ind w:right="-98" w:hanging="107"/>
              <w:contextualSpacing/>
              <w:jc w:val="center"/>
              <w:rPr>
                <w:rFonts w:eastAsia="Calibri"/>
                <w:sz w:val="20"/>
                <w:szCs w:val="20"/>
                <w:lang w:val="pt-BR"/>
              </w:rPr>
            </w:pPr>
            <w:r w:rsidRPr="009B0D84">
              <w:rPr>
                <w:rFonts w:eastAsia="Calibri"/>
                <w:sz w:val="20"/>
                <w:szCs w:val="20"/>
                <w:lang w:val="pt-BR"/>
              </w:rPr>
              <w:t xml:space="preserve">89,28 </w:t>
            </w:r>
          </w:p>
        </w:tc>
        <w:tc>
          <w:tcPr>
            <w:tcW w:w="798" w:type="dxa"/>
          </w:tcPr>
          <w:p w14:paraId="26D4E3FA" w14:textId="77777777" w:rsidR="009B0D84" w:rsidRPr="009B0D84" w:rsidRDefault="009B0D84" w:rsidP="009B0D84">
            <w:pPr>
              <w:widowControl/>
              <w:autoSpaceDE/>
              <w:autoSpaceDN/>
              <w:ind w:right="-94" w:hanging="135"/>
              <w:contextualSpacing/>
              <w:jc w:val="center"/>
              <w:rPr>
                <w:rFonts w:eastAsia="Calibri"/>
                <w:sz w:val="20"/>
                <w:szCs w:val="20"/>
                <w:lang w:val="pt-BR"/>
              </w:rPr>
            </w:pPr>
            <w:r w:rsidRPr="009B0D84">
              <w:rPr>
                <w:rFonts w:eastAsia="Calibri"/>
                <w:sz w:val="20"/>
                <w:szCs w:val="20"/>
                <w:lang w:val="pt-BR"/>
              </w:rPr>
              <w:t>8,82</w:t>
            </w:r>
          </w:p>
        </w:tc>
        <w:tc>
          <w:tcPr>
            <w:tcW w:w="799" w:type="dxa"/>
          </w:tcPr>
          <w:p w14:paraId="503AAD49" w14:textId="77777777" w:rsidR="009B0D84" w:rsidRPr="009B0D84" w:rsidRDefault="009B0D84" w:rsidP="009B0D84">
            <w:pPr>
              <w:widowControl/>
              <w:autoSpaceDE/>
              <w:autoSpaceDN/>
              <w:ind w:right="-87" w:hanging="126"/>
              <w:contextualSpacing/>
              <w:jc w:val="center"/>
              <w:rPr>
                <w:rFonts w:eastAsia="Calibri"/>
                <w:sz w:val="20"/>
                <w:szCs w:val="20"/>
                <w:lang w:val="pt-BR"/>
              </w:rPr>
            </w:pPr>
            <w:r w:rsidRPr="009B0D84">
              <w:rPr>
                <w:rFonts w:eastAsia="Calibri"/>
                <w:sz w:val="20"/>
                <w:szCs w:val="20"/>
                <w:lang w:val="pt-BR"/>
              </w:rPr>
              <w:t>3,54</w:t>
            </w:r>
          </w:p>
        </w:tc>
        <w:tc>
          <w:tcPr>
            <w:tcW w:w="798" w:type="dxa"/>
          </w:tcPr>
          <w:p w14:paraId="76169D96" w14:textId="77777777" w:rsidR="009B0D84" w:rsidRPr="009B0D84" w:rsidRDefault="009B0D84" w:rsidP="009B0D84">
            <w:pPr>
              <w:widowControl/>
              <w:autoSpaceDE/>
              <w:autoSpaceDN/>
              <w:ind w:left="-67" w:right="-144" w:hanging="82"/>
              <w:contextualSpacing/>
              <w:jc w:val="center"/>
              <w:rPr>
                <w:rFonts w:eastAsia="Calibri"/>
                <w:sz w:val="20"/>
                <w:szCs w:val="20"/>
                <w:lang w:val="pt-BR"/>
              </w:rPr>
            </w:pPr>
            <w:r w:rsidRPr="009B0D84">
              <w:rPr>
                <w:rFonts w:eastAsia="Calibri"/>
                <w:sz w:val="20"/>
                <w:szCs w:val="20"/>
                <w:lang w:val="pt-BR"/>
              </w:rPr>
              <w:t xml:space="preserve">2,77 </w:t>
            </w:r>
          </w:p>
        </w:tc>
        <w:tc>
          <w:tcPr>
            <w:tcW w:w="798" w:type="dxa"/>
          </w:tcPr>
          <w:p w14:paraId="5CA87C0D" w14:textId="77777777" w:rsidR="009B0D84" w:rsidRPr="009B0D84" w:rsidRDefault="009B0D84" w:rsidP="009B0D84">
            <w:pPr>
              <w:widowControl/>
              <w:autoSpaceDE/>
              <w:autoSpaceDN/>
              <w:ind w:right="-169" w:hanging="106"/>
              <w:contextualSpacing/>
              <w:jc w:val="center"/>
              <w:rPr>
                <w:rFonts w:eastAsia="Calibri"/>
                <w:sz w:val="20"/>
                <w:szCs w:val="20"/>
                <w:lang w:val="pt-BR"/>
              </w:rPr>
            </w:pPr>
            <w:r w:rsidRPr="009B0D84">
              <w:rPr>
                <w:rFonts w:eastAsia="Calibri"/>
                <w:sz w:val="20"/>
                <w:szCs w:val="20"/>
                <w:lang w:val="pt-BR"/>
              </w:rPr>
              <w:t>15,02</w:t>
            </w:r>
          </w:p>
        </w:tc>
        <w:tc>
          <w:tcPr>
            <w:tcW w:w="799" w:type="dxa"/>
          </w:tcPr>
          <w:p w14:paraId="46ABE29A" w14:textId="77777777" w:rsidR="009B0D84" w:rsidRPr="009B0D84" w:rsidRDefault="009B0D84" w:rsidP="009B0D84">
            <w:pPr>
              <w:widowControl/>
              <w:autoSpaceDE/>
              <w:autoSpaceDN/>
              <w:ind w:left="74" w:right="-153" w:hanging="187"/>
              <w:contextualSpacing/>
              <w:jc w:val="center"/>
              <w:rPr>
                <w:rFonts w:eastAsia="Calibri"/>
                <w:sz w:val="20"/>
                <w:szCs w:val="20"/>
                <w:lang w:val="pt-BR"/>
              </w:rPr>
            </w:pPr>
            <w:r w:rsidRPr="009B0D84">
              <w:rPr>
                <w:rFonts w:eastAsia="Calibri"/>
                <w:sz w:val="20"/>
                <w:szCs w:val="20"/>
                <w:lang w:val="pt-BR"/>
              </w:rPr>
              <w:t>0,64a</w:t>
            </w:r>
          </w:p>
        </w:tc>
        <w:tc>
          <w:tcPr>
            <w:tcW w:w="798" w:type="dxa"/>
          </w:tcPr>
          <w:p w14:paraId="4B210CA8" w14:textId="77777777" w:rsidR="009B0D84" w:rsidRPr="009B0D84" w:rsidRDefault="009B0D84" w:rsidP="009B0D84">
            <w:pPr>
              <w:widowControl/>
              <w:autoSpaceDE/>
              <w:autoSpaceDN/>
              <w:ind w:right="-167" w:hanging="163"/>
              <w:contextualSpacing/>
              <w:jc w:val="center"/>
              <w:rPr>
                <w:rFonts w:eastAsia="Calibri"/>
                <w:sz w:val="20"/>
                <w:szCs w:val="20"/>
                <w:lang w:val="pt-BR"/>
              </w:rPr>
            </w:pPr>
            <w:r w:rsidRPr="009B0D84">
              <w:rPr>
                <w:rFonts w:eastAsia="Calibri"/>
                <w:sz w:val="20"/>
                <w:szCs w:val="20"/>
                <w:lang w:val="pt-BR"/>
              </w:rPr>
              <w:t>4,34a</w:t>
            </w:r>
          </w:p>
        </w:tc>
        <w:tc>
          <w:tcPr>
            <w:tcW w:w="799" w:type="dxa"/>
          </w:tcPr>
          <w:p w14:paraId="4DEF5349" w14:textId="77777777" w:rsidR="009B0D84" w:rsidRPr="009B0D84" w:rsidRDefault="009B0D84" w:rsidP="009B0D84">
            <w:pPr>
              <w:widowControl/>
              <w:autoSpaceDE/>
              <w:autoSpaceDN/>
              <w:jc w:val="center"/>
              <w:rPr>
                <w:rFonts w:eastAsia="Calibri"/>
                <w:sz w:val="20"/>
                <w:szCs w:val="20"/>
                <w:lang w:val="pt-BR"/>
              </w:rPr>
            </w:pPr>
            <w:r w:rsidRPr="009B0D84">
              <w:rPr>
                <w:rFonts w:eastAsia="Calibri"/>
                <w:sz w:val="20"/>
                <w:szCs w:val="20"/>
                <w:lang w:val="pt-BR"/>
              </w:rPr>
              <w:t>6,93b</w:t>
            </w:r>
          </w:p>
        </w:tc>
        <w:tc>
          <w:tcPr>
            <w:tcW w:w="975" w:type="dxa"/>
          </w:tcPr>
          <w:p w14:paraId="715AF195" w14:textId="77777777" w:rsidR="009B0D84" w:rsidRPr="009B0D84" w:rsidRDefault="009B0D84" w:rsidP="009B0D84">
            <w:pPr>
              <w:widowControl/>
              <w:autoSpaceDE/>
              <w:autoSpaceDN/>
              <w:ind w:right="-109" w:hanging="91"/>
              <w:contextualSpacing/>
              <w:jc w:val="center"/>
              <w:rPr>
                <w:rFonts w:eastAsia="Calibri"/>
                <w:sz w:val="20"/>
                <w:szCs w:val="20"/>
                <w:lang w:val="pt-BR"/>
              </w:rPr>
            </w:pPr>
            <w:r w:rsidRPr="009B0D84">
              <w:rPr>
                <w:rFonts w:eastAsia="Calibri"/>
                <w:sz w:val="20"/>
                <w:szCs w:val="20"/>
                <w:lang w:val="pt-BR"/>
              </w:rPr>
              <w:t>17,11</w:t>
            </w:r>
          </w:p>
        </w:tc>
      </w:tr>
      <w:tr w:rsidR="0006372B" w:rsidRPr="009B0D84" w14:paraId="05869A24" w14:textId="77777777" w:rsidTr="007A7ED3">
        <w:trPr>
          <w:trHeight w:val="66"/>
          <w:jc w:val="center"/>
        </w:trPr>
        <w:tc>
          <w:tcPr>
            <w:tcW w:w="1678" w:type="dxa"/>
          </w:tcPr>
          <w:p w14:paraId="24E437DB" w14:textId="77777777" w:rsidR="009B0D84" w:rsidRPr="009B0D84" w:rsidRDefault="009B0D84" w:rsidP="009B0D84">
            <w:pPr>
              <w:widowControl/>
              <w:autoSpaceDE/>
              <w:autoSpaceDN/>
              <w:ind w:right="-108"/>
              <w:contextualSpacing/>
              <w:jc w:val="center"/>
              <w:rPr>
                <w:rFonts w:eastAsia="Calibri"/>
                <w:kern w:val="1"/>
                <w:sz w:val="20"/>
                <w:szCs w:val="20"/>
                <w:lang w:val="pt-BR"/>
              </w:rPr>
            </w:pPr>
            <w:proofErr w:type="spellStart"/>
            <w:r w:rsidRPr="009B0D84">
              <w:rPr>
                <w:kern w:val="1"/>
                <w:sz w:val="20"/>
                <w:szCs w:val="20"/>
                <w:lang w:val="pt-BR" w:eastAsia="zh-CN"/>
              </w:rPr>
              <w:t>MAPPol</w:t>
            </w:r>
            <w:proofErr w:type="spellEnd"/>
          </w:p>
        </w:tc>
        <w:tc>
          <w:tcPr>
            <w:tcW w:w="798" w:type="dxa"/>
          </w:tcPr>
          <w:p w14:paraId="623FA2E0" w14:textId="77777777" w:rsidR="009B0D84" w:rsidRPr="009B0D84" w:rsidRDefault="009B0D84" w:rsidP="009B0D84">
            <w:pPr>
              <w:widowControl/>
              <w:autoSpaceDE/>
              <w:autoSpaceDN/>
              <w:ind w:right="-98" w:hanging="107"/>
              <w:contextualSpacing/>
              <w:jc w:val="center"/>
              <w:rPr>
                <w:rFonts w:eastAsia="Calibri"/>
                <w:sz w:val="20"/>
                <w:szCs w:val="20"/>
                <w:lang w:val="pt-BR"/>
              </w:rPr>
            </w:pPr>
            <w:r w:rsidRPr="009B0D84">
              <w:rPr>
                <w:rFonts w:eastAsia="Calibri"/>
                <w:sz w:val="20"/>
                <w:szCs w:val="20"/>
                <w:lang w:val="pt-BR"/>
              </w:rPr>
              <w:t>89,77</w:t>
            </w:r>
          </w:p>
        </w:tc>
        <w:tc>
          <w:tcPr>
            <w:tcW w:w="798" w:type="dxa"/>
          </w:tcPr>
          <w:p w14:paraId="3E584ECE" w14:textId="77777777" w:rsidR="009B0D84" w:rsidRPr="009B0D84" w:rsidRDefault="009B0D84" w:rsidP="009B0D84">
            <w:pPr>
              <w:widowControl/>
              <w:autoSpaceDE/>
              <w:autoSpaceDN/>
              <w:ind w:right="-94" w:hanging="135"/>
              <w:contextualSpacing/>
              <w:jc w:val="center"/>
              <w:rPr>
                <w:rFonts w:eastAsia="Calibri"/>
                <w:sz w:val="20"/>
                <w:szCs w:val="20"/>
                <w:lang w:val="pt-BR"/>
              </w:rPr>
            </w:pPr>
            <w:r w:rsidRPr="009B0D84">
              <w:rPr>
                <w:rFonts w:eastAsia="Calibri"/>
                <w:sz w:val="20"/>
                <w:szCs w:val="20"/>
                <w:lang w:val="pt-BR"/>
              </w:rPr>
              <w:t>8,78</w:t>
            </w:r>
          </w:p>
        </w:tc>
        <w:tc>
          <w:tcPr>
            <w:tcW w:w="799" w:type="dxa"/>
          </w:tcPr>
          <w:p w14:paraId="5CD41019" w14:textId="77777777" w:rsidR="009B0D84" w:rsidRPr="009B0D84" w:rsidRDefault="009B0D84" w:rsidP="009B0D84">
            <w:pPr>
              <w:widowControl/>
              <w:autoSpaceDE/>
              <w:autoSpaceDN/>
              <w:ind w:right="-87" w:hanging="126"/>
              <w:contextualSpacing/>
              <w:jc w:val="center"/>
              <w:rPr>
                <w:rFonts w:eastAsia="Calibri"/>
                <w:sz w:val="20"/>
                <w:szCs w:val="20"/>
                <w:lang w:val="pt-BR"/>
              </w:rPr>
            </w:pPr>
            <w:r w:rsidRPr="009B0D84">
              <w:rPr>
                <w:rFonts w:eastAsia="Calibri"/>
                <w:sz w:val="20"/>
                <w:szCs w:val="20"/>
                <w:lang w:val="pt-BR"/>
              </w:rPr>
              <w:t>3,13</w:t>
            </w:r>
          </w:p>
        </w:tc>
        <w:tc>
          <w:tcPr>
            <w:tcW w:w="798" w:type="dxa"/>
          </w:tcPr>
          <w:p w14:paraId="4E7A7210" w14:textId="77777777" w:rsidR="009B0D84" w:rsidRPr="009B0D84" w:rsidRDefault="009B0D84" w:rsidP="009B0D84">
            <w:pPr>
              <w:widowControl/>
              <w:autoSpaceDE/>
              <w:autoSpaceDN/>
              <w:ind w:left="-67" w:right="-144" w:hanging="82"/>
              <w:contextualSpacing/>
              <w:jc w:val="center"/>
              <w:rPr>
                <w:rFonts w:eastAsia="Calibri"/>
                <w:sz w:val="20"/>
                <w:szCs w:val="20"/>
                <w:lang w:val="pt-BR"/>
              </w:rPr>
            </w:pPr>
            <w:r w:rsidRPr="009B0D84">
              <w:rPr>
                <w:rFonts w:eastAsia="Calibri"/>
                <w:sz w:val="20"/>
                <w:szCs w:val="20"/>
                <w:lang w:val="pt-BR"/>
              </w:rPr>
              <w:t>2,82</w:t>
            </w:r>
          </w:p>
        </w:tc>
        <w:tc>
          <w:tcPr>
            <w:tcW w:w="798" w:type="dxa"/>
          </w:tcPr>
          <w:p w14:paraId="4A76A7A1" w14:textId="77777777" w:rsidR="009B0D84" w:rsidRPr="009B0D84" w:rsidRDefault="009B0D84" w:rsidP="009B0D84">
            <w:pPr>
              <w:widowControl/>
              <w:autoSpaceDE/>
              <w:autoSpaceDN/>
              <w:ind w:right="-169" w:hanging="106"/>
              <w:contextualSpacing/>
              <w:jc w:val="center"/>
              <w:rPr>
                <w:rFonts w:eastAsia="Calibri"/>
                <w:sz w:val="20"/>
                <w:szCs w:val="20"/>
                <w:lang w:val="pt-BR"/>
              </w:rPr>
            </w:pPr>
            <w:r w:rsidRPr="009B0D84">
              <w:rPr>
                <w:rFonts w:eastAsia="Calibri"/>
                <w:sz w:val="20"/>
                <w:szCs w:val="20"/>
                <w:lang w:val="pt-BR"/>
              </w:rPr>
              <w:t>16,25</w:t>
            </w:r>
          </w:p>
        </w:tc>
        <w:tc>
          <w:tcPr>
            <w:tcW w:w="799" w:type="dxa"/>
          </w:tcPr>
          <w:p w14:paraId="4509A0D5" w14:textId="77777777" w:rsidR="009B0D84" w:rsidRPr="009B0D84" w:rsidRDefault="009B0D84" w:rsidP="009B0D84">
            <w:pPr>
              <w:widowControl/>
              <w:autoSpaceDE/>
              <w:autoSpaceDN/>
              <w:ind w:left="74" w:right="-153" w:hanging="187"/>
              <w:contextualSpacing/>
              <w:jc w:val="center"/>
              <w:rPr>
                <w:rFonts w:eastAsia="Calibri"/>
                <w:sz w:val="20"/>
                <w:szCs w:val="20"/>
                <w:lang w:val="pt-BR"/>
              </w:rPr>
            </w:pPr>
            <w:r w:rsidRPr="009B0D84">
              <w:rPr>
                <w:rFonts w:eastAsia="Calibri"/>
                <w:sz w:val="20"/>
                <w:szCs w:val="20"/>
                <w:lang w:val="pt-BR"/>
              </w:rPr>
              <w:t>0,61a</w:t>
            </w:r>
          </w:p>
        </w:tc>
        <w:tc>
          <w:tcPr>
            <w:tcW w:w="798" w:type="dxa"/>
          </w:tcPr>
          <w:p w14:paraId="1D6BE0F3" w14:textId="77777777" w:rsidR="009B0D84" w:rsidRPr="009B0D84" w:rsidRDefault="009B0D84" w:rsidP="009B0D84">
            <w:pPr>
              <w:widowControl/>
              <w:autoSpaceDE/>
              <w:autoSpaceDN/>
              <w:ind w:right="-167" w:hanging="163"/>
              <w:contextualSpacing/>
              <w:jc w:val="center"/>
              <w:rPr>
                <w:rFonts w:eastAsia="Calibri"/>
                <w:sz w:val="20"/>
                <w:szCs w:val="20"/>
                <w:lang w:val="pt-BR"/>
              </w:rPr>
            </w:pPr>
            <w:r w:rsidRPr="009B0D84">
              <w:rPr>
                <w:rFonts w:eastAsia="Calibri"/>
                <w:sz w:val="20"/>
                <w:szCs w:val="20"/>
                <w:lang w:val="pt-BR"/>
              </w:rPr>
              <w:t>3,20b</w:t>
            </w:r>
          </w:p>
        </w:tc>
        <w:tc>
          <w:tcPr>
            <w:tcW w:w="799" w:type="dxa"/>
          </w:tcPr>
          <w:p w14:paraId="4EA18E63" w14:textId="77777777" w:rsidR="009B0D84" w:rsidRPr="009B0D84" w:rsidRDefault="009B0D84" w:rsidP="009B0D84">
            <w:pPr>
              <w:widowControl/>
              <w:autoSpaceDE/>
              <w:autoSpaceDN/>
              <w:jc w:val="center"/>
              <w:rPr>
                <w:rFonts w:eastAsia="Calibri"/>
                <w:sz w:val="20"/>
                <w:szCs w:val="20"/>
                <w:lang w:val="pt-BR"/>
              </w:rPr>
            </w:pPr>
            <w:r w:rsidRPr="009B0D84">
              <w:rPr>
                <w:rFonts w:eastAsia="Calibri"/>
                <w:sz w:val="20"/>
                <w:szCs w:val="20"/>
                <w:lang w:val="pt-BR"/>
              </w:rPr>
              <w:t>7,26a</w:t>
            </w:r>
          </w:p>
        </w:tc>
        <w:tc>
          <w:tcPr>
            <w:tcW w:w="975" w:type="dxa"/>
          </w:tcPr>
          <w:p w14:paraId="26E04A14" w14:textId="77777777" w:rsidR="009B0D84" w:rsidRPr="009B0D84" w:rsidRDefault="009B0D84" w:rsidP="009B0D84">
            <w:pPr>
              <w:widowControl/>
              <w:autoSpaceDE/>
              <w:autoSpaceDN/>
              <w:ind w:right="-109" w:hanging="91"/>
              <w:contextualSpacing/>
              <w:jc w:val="center"/>
              <w:rPr>
                <w:rFonts w:eastAsia="Calibri"/>
                <w:sz w:val="20"/>
                <w:szCs w:val="20"/>
                <w:lang w:val="pt-BR"/>
              </w:rPr>
            </w:pPr>
            <w:r w:rsidRPr="009B0D84">
              <w:rPr>
                <w:rFonts w:eastAsia="Calibri"/>
                <w:sz w:val="20"/>
                <w:szCs w:val="20"/>
                <w:lang w:val="pt-BR"/>
              </w:rPr>
              <w:t>20,12</w:t>
            </w:r>
          </w:p>
        </w:tc>
      </w:tr>
      <w:tr w:rsidR="0006372B" w:rsidRPr="009B0D84" w14:paraId="2EE5F178" w14:textId="77777777" w:rsidTr="007A7ED3">
        <w:trPr>
          <w:trHeight w:val="23"/>
          <w:jc w:val="center"/>
        </w:trPr>
        <w:tc>
          <w:tcPr>
            <w:tcW w:w="1678" w:type="dxa"/>
            <w:tcBorders>
              <w:bottom w:val="single" w:sz="4" w:space="0" w:color="auto"/>
            </w:tcBorders>
          </w:tcPr>
          <w:p w14:paraId="17D40563" w14:textId="77777777" w:rsidR="009B0D84" w:rsidRPr="009B0D84" w:rsidRDefault="009B0D84" w:rsidP="009B0D84">
            <w:pPr>
              <w:widowControl/>
              <w:autoSpaceDE/>
              <w:autoSpaceDN/>
              <w:ind w:right="-108"/>
              <w:contextualSpacing/>
              <w:jc w:val="center"/>
              <w:rPr>
                <w:rFonts w:eastAsia="Calibri"/>
                <w:kern w:val="1"/>
                <w:sz w:val="20"/>
                <w:szCs w:val="20"/>
                <w:lang w:val="pt-BR"/>
              </w:rPr>
            </w:pPr>
            <w:proofErr w:type="spellStart"/>
            <w:r w:rsidRPr="009B0D84">
              <w:rPr>
                <w:kern w:val="1"/>
                <w:sz w:val="20"/>
                <w:szCs w:val="20"/>
                <w:lang w:val="pt-BR" w:eastAsia="zh-CN"/>
              </w:rPr>
              <w:t>Org</w:t>
            </w:r>
            <w:proofErr w:type="spellEnd"/>
          </w:p>
        </w:tc>
        <w:tc>
          <w:tcPr>
            <w:tcW w:w="798" w:type="dxa"/>
            <w:tcBorders>
              <w:bottom w:val="single" w:sz="4" w:space="0" w:color="auto"/>
            </w:tcBorders>
          </w:tcPr>
          <w:p w14:paraId="3BDF642F" w14:textId="77777777" w:rsidR="009B0D84" w:rsidRPr="009B0D84" w:rsidRDefault="009B0D84" w:rsidP="009B0D84">
            <w:pPr>
              <w:widowControl/>
              <w:autoSpaceDE/>
              <w:autoSpaceDN/>
              <w:ind w:right="-98" w:hanging="107"/>
              <w:contextualSpacing/>
              <w:jc w:val="center"/>
              <w:rPr>
                <w:rFonts w:eastAsia="Calibri"/>
                <w:sz w:val="20"/>
                <w:szCs w:val="20"/>
                <w:lang w:val="pt-BR"/>
              </w:rPr>
            </w:pPr>
            <w:r w:rsidRPr="009B0D84">
              <w:rPr>
                <w:rFonts w:eastAsia="Calibri"/>
                <w:sz w:val="20"/>
                <w:szCs w:val="20"/>
                <w:lang w:val="pt-BR"/>
              </w:rPr>
              <w:t>90,09</w:t>
            </w:r>
          </w:p>
        </w:tc>
        <w:tc>
          <w:tcPr>
            <w:tcW w:w="798" w:type="dxa"/>
            <w:tcBorders>
              <w:bottom w:val="single" w:sz="4" w:space="0" w:color="auto"/>
            </w:tcBorders>
          </w:tcPr>
          <w:p w14:paraId="041321EA" w14:textId="77777777" w:rsidR="009B0D84" w:rsidRPr="009B0D84" w:rsidRDefault="009B0D84" w:rsidP="009B0D84">
            <w:pPr>
              <w:widowControl/>
              <w:autoSpaceDE/>
              <w:autoSpaceDN/>
              <w:ind w:right="-94" w:hanging="135"/>
              <w:contextualSpacing/>
              <w:jc w:val="center"/>
              <w:rPr>
                <w:rFonts w:eastAsia="Calibri"/>
                <w:sz w:val="20"/>
                <w:szCs w:val="20"/>
                <w:lang w:val="pt-BR"/>
              </w:rPr>
            </w:pPr>
            <w:r w:rsidRPr="009B0D84">
              <w:rPr>
                <w:rFonts w:eastAsia="Calibri"/>
                <w:sz w:val="20"/>
                <w:szCs w:val="20"/>
                <w:lang w:val="pt-BR"/>
              </w:rPr>
              <w:t>8,67</w:t>
            </w:r>
          </w:p>
        </w:tc>
        <w:tc>
          <w:tcPr>
            <w:tcW w:w="799" w:type="dxa"/>
            <w:tcBorders>
              <w:bottom w:val="single" w:sz="4" w:space="0" w:color="auto"/>
            </w:tcBorders>
          </w:tcPr>
          <w:p w14:paraId="6D08C261" w14:textId="77777777" w:rsidR="009B0D84" w:rsidRPr="009B0D84" w:rsidRDefault="009B0D84" w:rsidP="009B0D84">
            <w:pPr>
              <w:widowControl/>
              <w:autoSpaceDE/>
              <w:autoSpaceDN/>
              <w:ind w:right="-87" w:hanging="126"/>
              <w:contextualSpacing/>
              <w:jc w:val="center"/>
              <w:rPr>
                <w:rFonts w:eastAsia="Calibri"/>
                <w:sz w:val="20"/>
                <w:szCs w:val="20"/>
                <w:lang w:val="pt-BR"/>
              </w:rPr>
            </w:pPr>
            <w:r w:rsidRPr="009B0D84">
              <w:rPr>
                <w:rFonts w:eastAsia="Calibri"/>
                <w:sz w:val="20"/>
                <w:szCs w:val="20"/>
                <w:lang w:val="pt-BR"/>
              </w:rPr>
              <w:t>2,27</w:t>
            </w:r>
          </w:p>
        </w:tc>
        <w:tc>
          <w:tcPr>
            <w:tcW w:w="798" w:type="dxa"/>
            <w:tcBorders>
              <w:bottom w:val="single" w:sz="4" w:space="0" w:color="auto"/>
            </w:tcBorders>
          </w:tcPr>
          <w:p w14:paraId="0416022C" w14:textId="77777777" w:rsidR="009B0D84" w:rsidRPr="009B0D84" w:rsidRDefault="009B0D84" w:rsidP="009B0D84">
            <w:pPr>
              <w:widowControl/>
              <w:autoSpaceDE/>
              <w:autoSpaceDN/>
              <w:ind w:left="-67" w:right="-144" w:hanging="82"/>
              <w:contextualSpacing/>
              <w:jc w:val="center"/>
              <w:rPr>
                <w:rFonts w:eastAsia="Calibri"/>
                <w:sz w:val="20"/>
                <w:szCs w:val="20"/>
                <w:lang w:val="pt-BR"/>
              </w:rPr>
            </w:pPr>
            <w:r w:rsidRPr="009B0D84">
              <w:rPr>
                <w:rFonts w:eastAsia="Calibri"/>
                <w:sz w:val="20"/>
                <w:szCs w:val="20"/>
                <w:lang w:val="pt-BR"/>
              </w:rPr>
              <w:t>2,66</w:t>
            </w:r>
          </w:p>
        </w:tc>
        <w:tc>
          <w:tcPr>
            <w:tcW w:w="798" w:type="dxa"/>
            <w:tcBorders>
              <w:bottom w:val="single" w:sz="4" w:space="0" w:color="auto"/>
            </w:tcBorders>
          </w:tcPr>
          <w:p w14:paraId="5B5DFA12" w14:textId="77777777" w:rsidR="009B0D84" w:rsidRPr="009B0D84" w:rsidRDefault="009B0D84" w:rsidP="009B0D84">
            <w:pPr>
              <w:widowControl/>
              <w:autoSpaceDE/>
              <w:autoSpaceDN/>
              <w:ind w:right="-169" w:hanging="106"/>
              <w:contextualSpacing/>
              <w:jc w:val="center"/>
              <w:rPr>
                <w:rFonts w:eastAsia="Calibri"/>
                <w:sz w:val="20"/>
                <w:szCs w:val="20"/>
                <w:lang w:val="pt-BR"/>
              </w:rPr>
            </w:pPr>
            <w:r w:rsidRPr="009B0D84">
              <w:rPr>
                <w:rFonts w:eastAsia="Calibri"/>
                <w:sz w:val="20"/>
                <w:szCs w:val="20"/>
                <w:lang w:val="pt-BR"/>
              </w:rPr>
              <w:t>15,31</w:t>
            </w:r>
          </w:p>
        </w:tc>
        <w:tc>
          <w:tcPr>
            <w:tcW w:w="799" w:type="dxa"/>
            <w:tcBorders>
              <w:bottom w:val="single" w:sz="4" w:space="0" w:color="auto"/>
            </w:tcBorders>
          </w:tcPr>
          <w:p w14:paraId="3F4F6532" w14:textId="77777777" w:rsidR="009B0D84" w:rsidRPr="009B0D84" w:rsidRDefault="009B0D84" w:rsidP="009B0D84">
            <w:pPr>
              <w:widowControl/>
              <w:autoSpaceDE/>
              <w:autoSpaceDN/>
              <w:ind w:left="74" w:right="-153" w:hanging="187"/>
              <w:contextualSpacing/>
              <w:jc w:val="center"/>
              <w:rPr>
                <w:rFonts w:eastAsia="Calibri"/>
                <w:sz w:val="20"/>
                <w:szCs w:val="20"/>
                <w:lang w:val="pt-BR"/>
              </w:rPr>
            </w:pPr>
            <w:r w:rsidRPr="009B0D84">
              <w:rPr>
                <w:rFonts w:eastAsia="Calibri"/>
                <w:sz w:val="20"/>
                <w:szCs w:val="20"/>
                <w:lang w:val="pt-BR"/>
              </w:rPr>
              <w:t>0,67a</w:t>
            </w:r>
          </w:p>
        </w:tc>
        <w:tc>
          <w:tcPr>
            <w:tcW w:w="798" w:type="dxa"/>
            <w:tcBorders>
              <w:bottom w:val="single" w:sz="4" w:space="0" w:color="auto"/>
            </w:tcBorders>
          </w:tcPr>
          <w:p w14:paraId="63EA1524" w14:textId="77777777" w:rsidR="009B0D84" w:rsidRPr="009B0D84" w:rsidRDefault="009B0D84" w:rsidP="009B0D84">
            <w:pPr>
              <w:widowControl/>
              <w:autoSpaceDE/>
              <w:autoSpaceDN/>
              <w:ind w:right="-167" w:hanging="163"/>
              <w:contextualSpacing/>
              <w:jc w:val="center"/>
              <w:rPr>
                <w:rFonts w:eastAsia="Calibri"/>
                <w:sz w:val="20"/>
                <w:szCs w:val="20"/>
                <w:lang w:val="pt-BR"/>
              </w:rPr>
            </w:pPr>
            <w:r w:rsidRPr="009B0D84">
              <w:rPr>
                <w:rFonts w:eastAsia="Calibri"/>
                <w:sz w:val="20"/>
                <w:szCs w:val="20"/>
                <w:lang w:val="pt-BR"/>
              </w:rPr>
              <w:t>3,59b</w:t>
            </w:r>
          </w:p>
        </w:tc>
        <w:tc>
          <w:tcPr>
            <w:tcW w:w="799" w:type="dxa"/>
            <w:tcBorders>
              <w:bottom w:val="single" w:sz="4" w:space="0" w:color="auto"/>
            </w:tcBorders>
          </w:tcPr>
          <w:p w14:paraId="2639E816" w14:textId="77777777" w:rsidR="009B0D84" w:rsidRPr="009B0D84" w:rsidRDefault="009B0D84" w:rsidP="009B0D84">
            <w:pPr>
              <w:widowControl/>
              <w:autoSpaceDE/>
              <w:autoSpaceDN/>
              <w:jc w:val="center"/>
              <w:rPr>
                <w:rFonts w:eastAsia="Calibri"/>
                <w:sz w:val="20"/>
                <w:szCs w:val="20"/>
                <w:lang w:val="pt-BR"/>
              </w:rPr>
            </w:pPr>
            <w:r w:rsidRPr="009B0D84">
              <w:rPr>
                <w:rFonts w:eastAsia="Calibri"/>
                <w:sz w:val="20"/>
                <w:szCs w:val="20"/>
                <w:lang w:val="pt-BR"/>
              </w:rPr>
              <w:t>7,18a</w:t>
            </w:r>
          </w:p>
        </w:tc>
        <w:tc>
          <w:tcPr>
            <w:tcW w:w="975" w:type="dxa"/>
            <w:tcBorders>
              <w:bottom w:val="single" w:sz="4" w:space="0" w:color="auto"/>
            </w:tcBorders>
          </w:tcPr>
          <w:p w14:paraId="16895DF3" w14:textId="77777777" w:rsidR="009B0D84" w:rsidRPr="009B0D84" w:rsidRDefault="009B0D84" w:rsidP="009B0D84">
            <w:pPr>
              <w:widowControl/>
              <w:autoSpaceDE/>
              <w:autoSpaceDN/>
              <w:ind w:right="-109" w:hanging="91"/>
              <w:contextualSpacing/>
              <w:jc w:val="center"/>
              <w:rPr>
                <w:rFonts w:eastAsia="Calibri"/>
                <w:sz w:val="20"/>
                <w:szCs w:val="20"/>
                <w:lang w:val="pt-BR"/>
              </w:rPr>
            </w:pPr>
            <w:r w:rsidRPr="009B0D84">
              <w:rPr>
                <w:rFonts w:eastAsia="Calibri"/>
                <w:sz w:val="20"/>
                <w:szCs w:val="20"/>
                <w:lang w:val="pt-BR"/>
              </w:rPr>
              <w:t>15,87</w:t>
            </w:r>
          </w:p>
        </w:tc>
      </w:tr>
      <w:tr w:rsidR="0006372B" w:rsidRPr="0006372B" w14:paraId="71A5525D" w14:textId="77777777" w:rsidTr="00C05C51">
        <w:trPr>
          <w:trHeight w:val="23"/>
          <w:jc w:val="center"/>
        </w:trPr>
        <w:tc>
          <w:tcPr>
            <w:tcW w:w="9040" w:type="dxa"/>
            <w:gridSpan w:val="10"/>
            <w:tcBorders>
              <w:top w:val="single" w:sz="4" w:space="0" w:color="auto"/>
            </w:tcBorders>
          </w:tcPr>
          <w:p w14:paraId="6C075DC5" w14:textId="14377C14" w:rsidR="00BA0774" w:rsidRPr="009B0D84" w:rsidRDefault="00BA0774" w:rsidP="00BA0774">
            <w:pPr>
              <w:widowControl/>
              <w:autoSpaceDE/>
              <w:autoSpaceDN/>
              <w:ind w:right="-109" w:hanging="91"/>
              <w:contextualSpacing/>
              <w:rPr>
                <w:rFonts w:eastAsia="Calibri"/>
                <w:sz w:val="20"/>
                <w:szCs w:val="20"/>
                <w:lang w:val="pt-BR"/>
              </w:rPr>
            </w:pPr>
            <w:r w:rsidRPr="0006372B">
              <w:rPr>
                <w:rFonts w:eastAsia="Calibri"/>
                <w:bCs/>
                <w:iCs/>
                <w:sz w:val="20"/>
                <w:szCs w:val="20"/>
                <w:lang w:val="pt-BR"/>
              </w:rPr>
              <w:t xml:space="preserve"> </w:t>
            </w:r>
            <w:r w:rsidRPr="009B0D84">
              <w:rPr>
                <w:rFonts w:eastAsia="Calibri"/>
                <w:bCs/>
                <w:iCs/>
                <w:sz w:val="20"/>
                <w:szCs w:val="20"/>
                <w:lang w:val="pt-BR"/>
              </w:rPr>
              <w:t>Dose (D)</w:t>
            </w:r>
          </w:p>
        </w:tc>
      </w:tr>
      <w:tr w:rsidR="0006372B" w:rsidRPr="009B0D84" w14:paraId="48C9A31D" w14:textId="77777777" w:rsidTr="007A7ED3">
        <w:trPr>
          <w:trHeight w:val="70"/>
          <w:jc w:val="center"/>
        </w:trPr>
        <w:tc>
          <w:tcPr>
            <w:tcW w:w="1678" w:type="dxa"/>
          </w:tcPr>
          <w:p w14:paraId="6E55A71A" w14:textId="77777777" w:rsidR="009B0D84" w:rsidRPr="009B0D84" w:rsidRDefault="009B0D84" w:rsidP="009B0D84">
            <w:pPr>
              <w:widowControl/>
              <w:autoSpaceDE/>
              <w:autoSpaceDN/>
              <w:ind w:right="-108"/>
              <w:contextualSpacing/>
              <w:jc w:val="center"/>
              <w:rPr>
                <w:rFonts w:eastAsia="Calibri"/>
                <w:kern w:val="1"/>
                <w:sz w:val="20"/>
                <w:szCs w:val="20"/>
                <w:lang w:val="pt-BR"/>
              </w:rPr>
            </w:pPr>
            <w:r w:rsidRPr="009B0D84">
              <w:rPr>
                <w:rFonts w:eastAsia="Calibri"/>
                <w:kern w:val="1"/>
                <w:sz w:val="20"/>
                <w:szCs w:val="20"/>
                <w:lang w:val="pt-BR"/>
              </w:rPr>
              <w:t>0</w:t>
            </w:r>
          </w:p>
        </w:tc>
        <w:tc>
          <w:tcPr>
            <w:tcW w:w="798" w:type="dxa"/>
          </w:tcPr>
          <w:p w14:paraId="66F8913F" w14:textId="77777777" w:rsidR="009B0D84" w:rsidRPr="009B0D84" w:rsidRDefault="009B0D84" w:rsidP="009B0D84">
            <w:pPr>
              <w:widowControl/>
              <w:autoSpaceDE/>
              <w:autoSpaceDN/>
              <w:ind w:right="-98" w:hanging="97"/>
              <w:contextualSpacing/>
              <w:jc w:val="center"/>
              <w:rPr>
                <w:rFonts w:eastAsia="Calibri"/>
                <w:sz w:val="20"/>
                <w:szCs w:val="20"/>
                <w:lang w:val="pt-BR"/>
              </w:rPr>
            </w:pPr>
            <w:r w:rsidRPr="009B0D84">
              <w:rPr>
                <w:rFonts w:eastAsia="Calibri"/>
                <w:sz w:val="20"/>
                <w:szCs w:val="20"/>
                <w:lang w:val="pt-BR"/>
              </w:rPr>
              <w:t>89,96</w:t>
            </w:r>
          </w:p>
        </w:tc>
        <w:tc>
          <w:tcPr>
            <w:tcW w:w="798" w:type="dxa"/>
          </w:tcPr>
          <w:p w14:paraId="68E90104" w14:textId="77777777" w:rsidR="009B0D84" w:rsidRPr="009B0D84" w:rsidRDefault="009B0D84" w:rsidP="009B0D84">
            <w:pPr>
              <w:widowControl/>
              <w:autoSpaceDE/>
              <w:autoSpaceDN/>
              <w:ind w:right="-131" w:hanging="163"/>
              <w:contextualSpacing/>
              <w:jc w:val="center"/>
              <w:rPr>
                <w:rFonts w:eastAsia="Calibri"/>
                <w:sz w:val="20"/>
                <w:szCs w:val="20"/>
                <w:lang w:val="pt-BR"/>
              </w:rPr>
            </w:pPr>
            <w:r w:rsidRPr="009B0D84">
              <w:rPr>
                <w:rFonts w:eastAsia="Calibri"/>
                <w:sz w:val="20"/>
                <w:szCs w:val="20"/>
                <w:lang w:val="pt-BR"/>
              </w:rPr>
              <w:t>8,54</w:t>
            </w:r>
          </w:p>
        </w:tc>
        <w:tc>
          <w:tcPr>
            <w:tcW w:w="799" w:type="dxa"/>
          </w:tcPr>
          <w:p w14:paraId="4DD8DC35" w14:textId="77777777" w:rsidR="009B0D84" w:rsidRPr="009B0D84" w:rsidRDefault="009B0D84" w:rsidP="009B0D84">
            <w:pPr>
              <w:widowControl/>
              <w:autoSpaceDE/>
              <w:autoSpaceDN/>
              <w:ind w:left="-171" w:right="-75" w:firstLine="86"/>
              <w:contextualSpacing/>
              <w:jc w:val="center"/>
              <w:rPr>
                <w:rFonts w:eastAsia="Calibri"/>
                <w:sz w:val="20"/>
                <w:szCs w:val="20"/>
                <w:lang w:val="pt-BR"/>
              </w:rPr>
            </w:pPr>
            <w:r w:rsidRPr="009B0D84">
              <w:rPr>
                <w:rFonts w:eastAsia="Calibri"/>
                <w:sz w:val="20"/>
                <w:szCs w:val="20"/>
                <w:lang w:val="pt-BR"/>
              </w:rPr>
              <w:t>3,13</w:t>
            </w:r>
          </w:p>
        </w:tc>
        <w:tc>
          <w:tcPr>
            <w:tcW w:w="798" w:type="dxa"/>
          </w:tcPr>
          <w:p w14:paraId="1384AA5C" w14:textId="77777777" w:rsidR="009B0D84" w:rsidRPr="009B0D84" w:rsidRDefault="009B0D84" w:rsidP="009B0D84">
            <w:pPr>
              <w:widowControl/>
              <w:autoSpaceDE/>
              <w:autoSpaceDN/>
              <w:ind w:left="-67" w:right="-144" w:hanging="82"/>
              <w:contextualSpacing/>
              <w:jc w:val="center"/>
              <w:rPr>
                <w:rFonts w:eastAsia="Calibri"/>
                <w:sz w:val="20"/>
                <w:szCs w:val="20"/>
                <w:lang w:val="pt-BR"/>
              </w:rPr>
            </w:pPr>
            <w:r w:rsidRPr="009B0D84">
              <w:rPr>
                <w:rFonts w:eastAsia="Calibri"/>
                <w:sz w:val="20"/>
                <w:szCs w:val="20"/>
                <w:lang w:val="pt-BR"/>
              </w:rPr>
              <w:t>2,66</w:t>
            </w:r>
          </w:p>
        </w:tc>
        <w:tc>
          <w:tcPr>
            <w:tcW w:w="798" w:type="dxa"/>
          </w:tcPr>
          <w:p w14:paraId="63883B60" w14:textId="77777777" w:rsidR="009B0D84" w:rsidRPr="009B0D84" w:rsidRDefault="009B0D84" w:rsidP="009B0D84">
            <w:pPr>
              <w:widowControl/>
              <w:autoSpaceDE/>
              <w:autoSpaceDN/>
              <w:contextualSpacing/>
              <w:jc w:val="center"/>
              <w:rPr>
                <w:rFonts w:eastAsia="Calibri"/>
                <w:sz w:val="20"/>
                <w:szCs w:val="20"/>
                <w:lang w:val="pt-BR"/>
              </w:rPr>
            </w:pPr>
            <w:r w:rsidRPr="009B0D84">
              <w:rPr>
                <w:rFonts w:eastAsia="Calibri"/>
                <w:sz w:val="20"/>
                <w:szCs w:val="20"/>
                <w:lang w:val="pt-BR"/>
              </w:rPr>
              <w:t>15,60</w:t>
            </w:r>
          </w:p>
        </w:tc>
        <w:tc>
          <w:tcPr>
            <w:tcW w:w="799" w:type="dxa"/>
          </w:tcPr>
          <w:p w14:paraId="7C5AB54D" w14:textId="77777777" w:rsidR="009B0D84" w:rsidRPr="009B0D84" w:rsidRDefault="009B0D84" w:rsidP="009B0D84">
            <w:pPr>
              <w:widowControl/>
              <w:autoSpaceDE/>
              <w:autoSpaceDN/>
              <w:ind w:right="-153" w:hanging="187"/>
              <w:contextualSpacing/>
              <w:jc w:val="center"/>
              <w:rPr>
                <w:rFonts w:eastAsia="Calibri"/>
                <w:sz w:val="20"/>
                <w:szCs w:val="20"/>
                <w:lang w:val="pt-BR"/>
              </w:rPr>
            </w:pPr>
            <w:r w:rsidRPr="009B0D84">
              <w:rPr>
                <w:rFonts w:eastAsia="Calibri"/>
                <w:sz w:val="20"/>
                <w:szCs w:val="20"/>
                <w:lang w:val="pt-BR"/>
              </w:rPr>
              <w:t>0,61b</w:t>
            </w:r>
          </w:p>
        </w:tc>
        <w:tc>
          <w:tcPr>
            <w:tcW w:w="798" w:type="dxa"/>
          </w:tcPr>
          <w:p w14:paraId="3EEA4C99" w14:textId="77777777" w:rsidR="009B0D84" w:rsidRPr="009B0D84" w:rsidRDefault="009B0D84" w:rsidP="009B0D84">
            <w:pPr>
              <w:widowControl/>
              <w:autoSpaceDE/>
              <w:autoSpaceDN/>
              <w:ind w:right="-167" w:hanging="96"/>
              <w:contextualSpacing/>
              <w:jc w:val="center"/>
              <w:rPr>
                <w:rFonts w:eastAsia="Calibri"/>
                <w:sz w:val="20"/>
                <w:szCs w:val="20"/>
                <w:lang w:val="pt-BR"/>
              </w:rPr>
            </w:pPr>
            <w:r w:rsidRPr="009B0D84">
              <w:rPr>
                <w:rFonts w:eastAsia="Calibri"/>
                <w:sz w:val="20"/>
                <w:szCs w:val="20"/>
                <w:lang w:val="pt-BR"/>
              </w:rPr>
              <w:t>3,76 b</w:t>
            </w:r>
          </w:p>
        </w:tc>
        <w:tc>
          <w:tcPr>
            <w:tcW w:w="799" w:type="dxa"/>
          </w:tcPr>
          <w:p w14:paraId="3D896CB6" w14:textId="77777777" w:rsidR="009B0D84" w:rsidRPr="009B0D84" w:rsidRDefault="009B0D84" w:rsidP="009B0D84">
            <w:pPr>
              <w:widowControl/>
              <w:autoSpaceDE/>
              <w:autoSpaceDN/>
              <w:jc w:val="center"/>
              <w:rPr>
                <w:rFonts w:eastAsia="Calibri"/>
                <w:sz w:val="20"/>
                <w:szCs w:val="20"/>
                <w:lang w:val="pt-BR"/>
              </w:rPr>
            </w:pPr>
            <w:r w:rsidRPr="009B0D84">
              <w:rPr>
                <w:rFonts w:eastAsia="Calibri"/>
                <w:sz w:val="20"/>
                <w:szCs w:val="20"/>
                <w:lang w:val="pt-BR"/>
              </w:rPr>
              <w:t>7,26a</w:t>
            </w:r>
          </w:p>
        </w:tc>
        <w:tc>
          <w:tcPr>
            <w:tcW w:w="975" w:type="dxa"/>
          </w:tcPr>
          <w:p w14:paraId="5C1C67DE" w14:textId="77777777" w:rsidR="009B0D84" w:rsidRPr="009B0D84" w:rsidRDefault="009B0D84" w:rsidP="009B0D84">
            <w:pPr>
              <w:widowControl/>
              <w:autoSpaceDE/>
              <w:autoSpaceDN/>
              <w:ind w:right="-104" w:hanging="137"/>
              <w:contextualSpacing/>
              <w:jc w:val="center"/>
              <w:rPr>
                <w:rFonts w:eastAsia="Calibri"/>
                <w:sz w:val="20"/>
                <w:szCs w:val="20"/>
                <w:lang w:val="pt-BR"/>
              </w:rPr>
            </w:pPr>
            <w:r w:rsidRPr="009B0D84">
              <w:rPr>
                <w:rFonts w:eastAsia="Calibri"/>
                <w:sz w:val="20"/>
                <w:szCs w:val="20"/>
                <w:lang w:val="pt-BR"/>
              </w:rPr>
              <w:t>16,95</w:t>
            </w:r>
          </w:p>
        </w:tc>
      </w:tr>
      <w:tr w:rsidR="0006372B" w:rsidRPr="009B0D84" w14:paraId="2EF02E28" w14:textId="77777777" w:rsidTr="007A7ED3">
        <w:trPr>
          <w:trHeight w:val="23"/>
          <w:jc w:val="center"/>
        </w:trPr>
        <w:tc>
          <w:tcPr>
            <w:tcW w:w="1678" w:type="dxa"/>
          </w:tcPr>
          <w:p w14:paraId="7A8365D9" w14:textId="77777777" w:rsidR="009B0D84" w:rsidRPr="009B0D84" w:rsidRDefault="009B0D84" w:rsidP="009B0D84">
            <w:pPr>
              <w:widowControl/>
              <w:autoSpaceDE/>
              <w:autoSpaceDN/>
              <w:ind w:right="-108"/>
              <w:contextualSpacing/>
              <w:jc w:val="center"/>
              <w:rPr>
                <w:rFonts w:eastAsia="Calibri"/>
                <w:kern w:val="1"/>
                <w:sz w:val="20"/>
                <w:szCs w:val="20"/>
                <w:lang w:val="pt-BR"/>
              </w:rPr>
            </w:pPr>
            <w:r w:rsidRPr="009B0D84">
              <w:rPr>
                <w:rFonts w:eastAsia="Calibri"/>
                <w:kern w:val="1"/>
                <w:sz w:val="20"/>
                <w:szCs w:val="20"/>
                <w:lang w:val="pt-BR"/>
              </w:rPr>
              <w:t>50</w:t>
            </w:r>
          </w:p>
        </w:tc>
        <w:tc>
          <w:tcPr>
            <w:tcW w:w="798" w:type="dxa"/>
          </w:tcPr>
          <w:p w14:paraId="1DE73FA1" w14:textId="77777777" w:rsidR="009B0D84" w:rsidRPr="009B0D84" w:rsidRDefault="009B0D84" w:rsidP="009B0D84">
            <w:pPr>
              <w:widowControl/>
              <w:autoSpaceDE/>
              <w:autoSpaceDN/>
              <w:ind w:right="-98" w:hanging="97"/>
              <w:contextualSpacing/>
              <w:jc w:val="center"/>
              <w:rPr>
                <w:rFonts w:eastAsia="Calibri"/>
                <w:sz w:val="20"/>
                <w:szCs w:val="20"/>
                <w:lang w:val="pt-BR"/>
              </w:rPr>
            </w:pPr>
            <w:r w:rsidRPr="009B0D84">
              <w:rPr>
                <w:rFonts w:eastAsia="Calibri"/>
                <w:sz w:val="20"/>
                <w:szCs w:val="20"/>
                <w:lang w:val="pt-BR"/>
              </w:rPr>
              <w:t>89,71</w:t>
            </w:r>
          </w:p>
        </w:tc>
        <w:tc>
          <w:tcPr>
            <w:tcW w:w="798" w:type="dxa"/>
          </w:tcPr>
          <w:p w14:paraId="4B80B876" w14:textId="77777777" w:rsidR="009B0D84" w:rsidRPr="009B0D84" w:rsidRDefault="009B0D84" w:rsidP="009B0D84">
            <w:pPr>
              <w:widowControl/>
              <w:autoSpaceDE/>
              <w:autoSpaceDN/>
              <w:ind w:right="-131" w:hanging="163"/>
              <w:contextualSpacing/>
              <w:jc w:val="center"/>
              <w:rPr>
                <w:rFonts w:eastAsia="Calibri"/>
                <w:sz w:val="20"/>
                <w:szCs w:val="20"/>
                <w:lang w:val="pt-BR"/>
              </w:rPr>
            </w:pPr>
            <w:r w:rsidRPr="009B0D84">
              <w:rPr>
                <w:rFonts w:eastAsia="Calibri"/>
                <w:sz w:val="20"/>
                <w:szCs w:val="20"/>
                <w:lang w:val="pt-BR"/>
              </w:rPr>
              <w:t>8,87</w:t>
            </w:r>
          </w:p>
        </w:tc>
        <w:tc>
          <w:tcPr>
            <w:tcW w:w="799" w:type="dxa"/>
          </w:tcPr>
          <w:p w14:paraId="243170D1" w14:textId="77777777" w:rsidR="009B0D84" w:rsidRPr="009B0D84" w:rsidRDefault="009B0D84" w:rsidP="009B0D84">
            <w:pPr>
              <w:widowControl/>
              <w:autoSpaceDE/>
              <w:autoSpaceDN/>
              <w:ind w:left="-171" w:right="-75" w:firstLine="86"/>
              <w:contextualSpacing/>
              <w:jc w:val="center"/>
              <w:rPr>
                <w:rFonts w:eastAsia="Calibri"/>
                <w:sz w:val="20"/>
                <w:szCs w:val="20"/>
                <w:lang w:val="pt-BR"/>
              </w:rPr>
            </w:pPr>
            <w:r w:rsidRPr="009B0D84">
              <w:rPr>
                <w:rFonts w:eastAsia="Calibri"/>
                <w:sz w:val="20"/>
                <w:szCs w:val="20"/>
                <w:lang w:val="pt-BR"/>
              </w:rPr>
              <w:t>3,28</w:t>
            </w:r>
          </w:p>
        </w:tc>
        <w:tc>
          <w:tcPr>
            <w:tcW w:w="798" w:type="dxa"/>
          </w:tcPr>
          <w:p w14:paraId="17C1D5A0" w14:textId="77777777" w:rsidR="009B0D84" w:rsidRPr="009B0D84" w:rsidRDefault="009B0D84" w:rsidP="009B0D84">
            <w:pPr>
              <w:widowControl/>
              <w:autoSpaceDE/>
              <w:autoSpaceDN/>
              <w:ind w:left="-67" w:right="-144" w:hanging="82"/>
              <w:contextualSpacing/>
              <w:jc w:val="center"/>
              <w:rPr>
                <w:rFonts w:eastAsia="Calibri"/>
                <w:sz w:val="20"/>
                <w:szCs w:val="20"/>
                <w:lang w:val="pt-BR"/>
              </w:rPr>
            </w:pPr>
            <w:r w:rsidRPr="009B0D84">
              <w:rPr>
                <w:rFonts w:eastAsia="Calibri"/>
                <w:sz w:val="20"/>
                <w:szCs w:val="20"/>
                <w:lang w:val="pt-BR"/>
              </w:rPr>
              <w:t>2,78</w:t>
            </w:r>
          </w:p>
        </w:tc>
        <w:tc>
          <w:tcPr>
            <w:tcW w:w="798" w:type="dxa"/>
          </w:tcPr>
          <w:p w14:paraId="022D0A7C" w14:textId="77777777" w:rsidR="009B0D84" w:rsidRPr="009B0D84" w:rsidRDefault="009B0D84" w:rsidP="009B0D84">
            <w:pPr>
              <w:widowControl/>
              <w:autoSpaceDE/>
              <w:autoSpaceDN/>
              <w:contextualSpacing/>
              <w:jc w:val="center"/>
              <w:rPr>
                <w:rFonts w:eastAsia="Calibri"/>
                <w:sz w:val="20"/>
                <w:szCs w:val="20"/>
                <w:lang w:val="pt-BR"/>
              </w:rPr>
            </w:pPr>
            <w:r w:rsidRPr="009B0D84">
              <w:rPr>
                <w:rFonts w:eastAsia="Calibri"/>
                <w:sz w:val="20"/>
                <w:szCs w:val="20"/>
                <w:lang w:val="pt-BR"/>
              </w:rPr>
              <w:t>15,07</w:t>
            </w:r>
          </w:p>
        </w:tc>
        <w:tc>
          <w:tcPr>
            <w:tcW w:w="799" w:type="dxa"/>
          </w:tcPr>
          <w:p w14:paraId="14F7E2BC" w14:textId="77777777" w:rsidR="009B0D84" w:rsidRPr="009B0D84" w:rsidRDefault="009B0D84" w:rsidP="009B0D84">
            <w:pPr>
              <w:widowControl/>
              <w:autoSpaceDE/>
              <w:autoSpaceDN/>
              <w:ind w:right="-153" w:hanging="187"/>
              <w:contextualSpacing/>
              <w:jc w:val="center"/>
              <w:rPr>
                <w:rFonts w:eastAsia="Calibri"/>
                <w:sz w:val="20"/>
                <w:szCs w:val="20"/>
                <w:lang w:val="pt-BR"/>
              </w:rPr>
            </w:pPr>
            <w:r w:rsidRPr="009B0D84">
              <w:rPr>
                <w:rFonts w:eastAsia="Calibri"/>
                <w:sz w:val="20"/>
                <w:szCs w:val="20"/>
                <w:lang w:val="pt-BR"/>
              </w:rPr>
              <w:t>0,65b</w:t>
            </w:r>
          </w:p>
        </w:tc>
        <w:tc>
          <w:tcPr>
            <w:tcW w:w="798" w:type="dxa"/>
          </w:tcPr>
          <w:p w14:paraId="04C1F5CF" w14:textId="77777777" w:rsidR="009B0D84" w:rsidRPr="009B0D84" w:rsidRDefault="009B0D84" w:rsidP="009B0D84">
            <w:pPr>
              <w:widowControl/>
              <w:autoSpaceDE/>
              <w:autoSpaceDN/>
              <w:ind w:right="-167" w:hanging="96"/>
              <w:contextualSpacing/>
              <w:jc w:val="center"/>
              <w:rPr>
                <w:rFonts w:eastAsia="Calibri"/>
                <w:sz w:val="20"/>
                <w:szCs w:val="20"/>
                <w:lang w:val="pt-BR"/>
              </w:rPr>
            </w:pPr>
            <w:r w:rsidRPr="009B0D84">
              <w:rPr>
                <w:rFonts w:eastAsia="Calibri"/>
                <w:sz w:val="20"/>
                <w:szCs w:val="20"/>
                <w:lang w:val="pt-BR"/>
              </w:rPr>
              <w:t>3,30b</w:t>
            </w:r>
          </w:p>
        </w:tc>
        <w:tc>
          <w:tcPr>
            <w:tcW w:w="799" w:type="dxa"/>
          </w:tcPr>
          <w:p w14:paraId="1FFFB076" w14:textId="77777777" w:rsidR="009B0D84" w:rsidRPr="009B0D84" w:rsidRDefault="009B0D84" w:rsidP="009B0D84">
            <w:pPr>
              <w:widowControl/>
              <w:autoSpaceDE/>
              <w:autoSpaceDN/>
              <w:jc w:val="center"/>
              <w:rPr>
                <w:rFonts w:eastAsia="Calibri"/>
                <w:sz w:val="20"/>
                <w:szCs w:val="20"/>
                <w:lang w:val="pt-BR"/>
              </w:rPr>
            </w:pPr>
            <w:r w:rsidRPr="009B0D84">
              <w:rPr>
                <w:rFonts w:eastAsia="Calibri"/>
                <w:sz w:val="20"/>
                <w:szCs w:val="20"/>
                <w:lang w:val="pt-BR"/>
              </w:rPr>
              <w:t>6,99c</w:t>
            </w:r>
          </w:p>
        </w:tc>
        <w:tc>
          <w:tcPr>
            <w:tcW w:w="975" w:type="dxa"/>
          </w:tcPr>
          <w:p w14:paraId="2F21636E" w14:textId="77777777" w:rsidR="009B0D84" w:rsidRPr="009B0D84" w:rsidRDefault="009B0D84" w:rsidP="009B0D84">
            <w:pPr>
              <w:widowControl/>
              <w:autoSpaceDE/>
              <w:autoSpaceDN/>
              <w:ind w:right="-104" w:hanging="137"/>
              <w:contextualSpacing/>
              <w:jc w:val="center"/>
              <w:rPr>
                <w:rFonts w:eastAsia="Calibri"/>
                <w:sz w:val="20"/>
                <w:szCs w:val="20"/>
                <w:lang w:val="pt-BR"/>
              </w:rPr>
            </w:pPr>
            <w:r w:rsidRPr="009B0D84">
              <w:rPr>
                <w:rFonts w:eastAsia="Calibri"/>
                <w:sz w:val="20"/>
                <w:szCs w:val="20"/>
                <w:lang w:val="pt-BR"/>
              </w:rPr>
              <w:t>15,94</w:t>
            </w:r>
          </w:p>
        </w:tc>
      </w:tr>
      <w:tr w:rsidR="0006372B" w:rsidRPr="009B0D84" w14:paraId="4FA92937" w14:textId="77777777" w:rsidTr="007A7ED3">
        <w:trPr>
          <w:trHeight w:val="63"/>
          <w:jc w:val="center"/>
        </w:trPr>
        <w:tc>
          <w:tcPr>
            <w:tcW w:w="1678" w:type="dxa"/>
          </w:tcPr>
          <w:p w14:paraId="4F277B0A" w14:textId="77777777" w:rsidR="009B0D84" w:rsidRPr="009B0D84" w:rsidRDefault="009B0D84" w:rsidP="009B0D84">
            <w:pPr>
              <w:widowControl/>
              <w:autoSpaceDE/>
              <w:autoSpaceDN/>
              <w:ind w:right="-108"/>
              <w:contextualSpacing/>
              <w:jc w:val="center"/>
              <w:rPr>
                <w:rFonts w:eastAsia="Calibri"/>
                <w:kern w:val="1"/>
                <w:sz w:val="20"/>
                <w:szCs w:val="20"/>
                <w:lang w:val="pt-BR"/>
              </w:rPr>
            </w:pPr>
            <w:r w:rsidRPr="009B0D84">
              <w:rPr>
                <w:rFonts w:eastAsia="Calibri"/>
                <w:kern w:val="1"/>
                <w:sz w:val="20"/>
                <w:szCs w:val="20"/>
                <w:lang w:val="pt-BR"/>
              </w:rPr>
              <w:t>75</w:t>
            </w:r>
          </w:p>
        </w:tc>
        <w:tc>
          <w:tcPr>
            <w:tcW w:w="798" w:type="dxa"/>
          </w:tcPr>
          <w:p w14:paraId="38A8058D" w14:textId="77777777" w:rsidR="009B0D84" w:rsidRPr="009B0D84" w:rsidRDefault="009B0D84" w:rsidP="009B0D84">
            <w:pPr>
              <w:widowControl/>
              <w:autoSpaceDE/>
              <w:autoSpaceDN/>
              <w:ind w:right="-98" w:hanging="97"/>
              <w:contextualSpacing/>
              <w:jc w:val="center"/>
              <w:rPr>
                <w:rFonts w:eastAsia="Calibri"/>
                <w:sz w:val="20"/>
                <w:szCs w:val="20"/>
                <w:lang w:val="pt-BR"/>
              </w:rPr>
            </w:pPr>
            <w:r w:rsidRPr="009B0D84">
              <w:rPr>
                <w:rFonts w:eastAsia="Calibri"/>
                <w:sz w:val="20"/>
                <w:szCs w:val="20"/>
                <w:lang w:val="pt-BR"/>
              </w:rPr>
              <w:t>89,05</w:t>
            </w:r>
          </w:p>
        </w:tc>
        <w:tc>
          <w:tcPr>
            <w:tcW w:w="798" w:type="dxa"/>
          </w:tcPr>
          <w:p w14:paraId="20E9C0AD" w14:textId="77777777" w:rsidR="009B0D84" w:rsidRPr="009B0D84" w:rsidRDefault="009B0D84" w:rsidP="009B0D84">
            <w:pPr>
              <w:widowControl/>
              <w:autoSpaceDE/>
              <w:autoSpaceDN/>
              <w:ind w:right="-131" w:hanging="163"/>
              <w:contextualSpacing/>
              <w:jc w:val="center"/>
              <w:rPr>
                <w:rFonts w:eastAsia="Calibri"/>
                <w:sz w:val="20"/>
                <w:szCs w:val="20"/>
                <w:lang w:val="pt-BR"/>
              </w:rPr>
            </w:pPr>
            <w:r w:rsidRPr="009B0D84">
              <w:rPr>
                <w:rFonts w:eastAsia="Calibri"/>
                <w:sz w:val="20"/>
                <w:szCs w:val="20"/>
                <w:lang w:val="pt-BR"/>
              </w:rPr>
              <w:t>8,52</w:t>
            </w:r>
          </w:p>
        </w:tc>
        <w:tc>
          <w:tcPr>
            <w:tcW w:w="799" w:type="dxa"/>
          </w:tcPr>
          <w:p w14:paraId="42916724" w14:textId="77777777" w:rsidR="009B0D84" w:rsidRPr="009B0D84" w:rsidRDefault="009B0D84" w:rsidP="009B0D84">
            <w:pPr>
              <w:widowControl/>
              <w:autoSpaceDE/>
              <w:autoSpaceDN/>
              <w:ind w:left="-171" w:right="-75" w:firstLine="86"/>
              <w:contextualSpacing/>
              <w:jc w:val="center"/>
              <w:rPr>
                <w:rFonts w:eastAsia="Calibri"/>
                <w:sz w:val="20"/>
                <w:szCs w:val="20"/>
                <w:lang w:val="pt-BR"/>
              </w:rPr>
            </w:pPr>
            <w:r w:rsidRPr="009B0D84">
              <w:rPr>
                <w:rFonts w:eastAsia="Calibri"/>
                <w:sz w:val="20"/>
                <w:szCs w:val="20"/>
                <w:lang w:val="pt-BR"/>
              </w:rPr>
              <w:t>3,29</w:t>
            </w:r>
          </w:p>
        </w:tc>
        <w:tc>
          <w:tcPr>
            <w:tcW w:w="798" w:type="dxa"/>
          </w:tcPr>
          <w:p w14:paraId="5F2EB60E" w14:textId="77777777" w:rsidR="009B0D84" w:rsidRPr="009B0D84" w:rsidRDefault="009B0D84" w:rsidP="009B0D84">
            <w:pPr>
              <w:widowControl/>
              <w:autoSpaceDE/>
              <w:autoSpaceDN/>
              <w:ind w:left="-67" w:right="-144" w:hanging="82"/>
              <w:contextualSpacing/>
              <w:jc w:val="center"/>
              <w:rPr>
                <w:rFonts w:eastAsia="Calibri"/>
                <w:sz w:val="20"/>
                <w:szCs w:val="20"/>
                <w:lang w:val="pt-BR"/>
              </w:rPr>
            </w:pPr>
            <w:r w:rsidRPr="009B0D84">
              <w:rPr>
                <w:rFonts w:eastAsia="Calibri"/>
                <w:sz w:val="20"/>
                <w:szCs w:val="20"/>
                <w:lang w:val="pt-BR"/>
              </w:rPr>
              <w:t>2,80</w:t>
            </w:r>
          </w:p>
        </w:tc>
        <w:tc>
          <w:tcPr>
            <w:tcW w:w="798" w:type="dxa"/>
          </w:tcPr>
          <w:p w14:paraId="1E0B1918" w14:textId="77777777" w:rsidR="009B0D84" w:rsidRPr="009B0D84" w:rsidRDefault="009B0D84" w:rsidP="009B0D84">
            <w:pPr>
              <w:widowControl/>
              <w:autoSpaceDE/>
              <w:autoSpaceDN/>
              <w:contextualSpacing/>
              <w:jc w:val="center"/>
              <w:rPr>
                <w:rFonts w:eastAsia="Calibri"/>
                <w:sz w:val="20"/>
                <w:szCs w:val="20"/>
                <w:lang w:val="pt-BR"/>
              </w:rPr>
            </w:pPr>
            <w:r w:rsidRPr="009B0D84">
              <w:rPr>
                <w:rFonts w:eastAsia="Calibri"/>
                <w:sz w:val="20"/>
                <w:szCs w:val="20"/>
                <w:lang w:val="pt-BR"/>
              </w:rPr>
              <w:t>16,25</w:t>
            </w:r>
          </w:p>
        </w:tc>
        <w:tc>
          <w:tcPr>
            <w:tcW w:w="799" w:type="dxa"/>
          </w:tcPr>
          <w:p w14:paraId="2ACE77AD" w14:textId="77777777" w:rsidR="009B0D84" w:rsidRPr="009B0D84" w:rsidRDefault="009B0D84" w:rsidP="009B0D84">
            <w:pPr>
              <w:widowControl/>
              <w:autoSpaceDE/>
              <w:autoSpaceDN/>
              <w:ind w:right="-48" w:hanging="87"/>
              <w:contextualSpacing/>
              <w:jc w:val="center"/>
              <w:rPr>
                <w:rFonts w:eastAsia="Calibri"/>
                <w:sz w:val="20"/>
                <w:szCs w:val="20"/>
                <w:lang w:val="pt-BR"/>
              </w:rPr>
            </w:pPr>
            <w:r w:rsidRPr="009B0D84">
              <w:rPr>
                <w:rFonts w:eastAsia="Calibri"/>
                <w:sz w:val="20"/>
                <w:szCs w:val="20"/>
                <w:lang w:val="pt-BR"/>
              </w:rPr>
              <w:t>0,58b</w:t>
            </w:r>
          </w:p>
        </w:tc>
        <w:tc>
          <w:tcPr>
            <w:tcW w:w="798" w:type="dxa"/>
          </w:tcPr>
          <w:p w14:paraId="4DD1E60A" w14:textId="77777777" w:rsidR="009B0D84" w:rsidRPr="009B0D84" w:rsidRDefault="009B0D84" w:rsidP="009B0D84">
            <w:pPr>
              <w:widowControl/>
              <w:autoSpaceDE/>
              <w:autoSpaceDN/>
              <w:ind w:right="-167" w:hanging="96"/>
              <w:contextualSpacing/>
              <w:jc w:val="center"/>
              <w:rPr>
                <w:rFonts w:eastAsia="Calibri"/>
                <w:sz w:val="20"/>
                <w:szCs w:val="20"/>
                <w:lang w:val="pt-BR"/>
              </w:rPr>
            </w:pPr>
            <w:r w:rsidRPr="009B0D84">
              <w:rPr>
                <w:rFonts w:eastAsia="Calibri"/>
                <w:sz w:val="20"/>
                <w:szCs w:val="20"/>
                <w:lang w:val="pt-BR"/>
              </w:rPr>
              <w:t>3,50b</w:t>
            </w:r>
          </w:p>
        </w:tc>
        <w:tc>
          <w:tcPr>
            <w:tcW w:w="799" w:type="dxa"/>
          </w:tcPr>
          <w:p w14:paraId="0872DE56" w14:textId="77777777" w:rsidR="009B0D84" w:rsidRPr="009B0D84" w:rsidRDefault="009B0D84" w:rsidP="009B0D84">
            <w:pPr>
              <w:widowControl/>
              <w:autoSpaceDE/>
              <w:autoSpaceDN/>
              <w:jc w:val="center"/>
              <w:rPr>
                <w:rFonts w:eastAsia="Calibri"/>
                <w:sz w:val="20"/>
                <w:szCs w:val="20"/>
                <w:lang w:val="pt-BR"/>
              </w:rPr>
            </w:pPr>
            <w:r w:rsidRPr="009B0D84">
              <w:rPr>
                <w:rFonts w:eastAsia="Calibri"/>
                <w:sz w:val="20"/>
                <w:szCs w:val="20"/>
                <w:lang w:val="pt-BR"/>
              </w:rPr>
              <w:t>7,10b</w:t>
            </w:r>
          </w:p>
        </w:tc>
        <w:tc>
          <w:tcPr>
            <w:tcW w:w="975" w:type="dxa"/>
          </w:tcPr>
          <w:p w14:paraId="39C82E68" w14:textId="77777777" w:rsidR="009B0D84" w:rsidRPr="009B0D84" w:rsidRDefault="009B0D84" w:rsidP="009B0D84">
            <w:pPr>
              <w:widowControl/>
              <w:autoSpaceDE/>
              <w:autoSpaceDN/>
              <w:ind w:left="-47" w:right="-104" w:hanging="137"/>
              <w:contextualSpacing/>
              <w:jc w:val="center"/>
              <w:rPr>
                <w:rFonts w:eastAsia="Calibri"/>
                <w:sz w:val="20"/>
                <w:szCs w:val="20"/>
                <w:lang w:val="pt-BR"/>
              </w:rPr>
            </w:pPr>
            <w:r w:rsidRPr="009B0D84">
              <w:rPr>
                <w:rFonts w:eastAsia="Calibri"/>
                <w:sz w:val="20"/>
                <w:szCs w:val="20"/>
                <w:lang w:val="pt-BR"/>
              </w:rPr>
              <w:t>18,88</w:t>
            </w:r>
          </w:p>
        </w:tc>
      </w:tr>
      <w:tr w:rsidR="0006372B" w:rsidRPr="009B0D84" w14:paraId="58BDC999" w14:textId="77777777" w:rsidTr="007A7ED3">
        <w:trPr>
          <w:trHeight w:val="66"/>
          <w:jc w:val="center"/>
        </w:trPr>
        <w:tc>
          <w:tcPr>
            <w:tcW w:w="1678" w:type="dxa"/>
            <w:tcBorders>
              <w:bottom w:val="single" w:sz="4" w:space="0" w:color="auto"/>
            </w:tcBorders>
          </w:tcPr>
          <w:p w14:paraId="279F103A" w14:textId="77777777" w:rsidR="009B0D84" w:rsidRPr="009B0D84" w:rsidRDefault="009B0D84" w:rsidP="009B0D84">
            <w:pPr>
              <w:widowControl/>
              <w:autoSpaceDE/>
              <w:autoSpaceDN/>
              <w:ind w:right="-108"/>
              <w:contextualSpacing/>
              <w:jc w:val="center"/>
              <w:rPr>
                <w:rFonts w:eastAsia="Calibri"/>
                <w:kern w:val="1"/>
                <w:sz w:val="20"/>
                <w:szCs w:val="20"/>
                <w:lang w:val="pt-BR"/>
              </w:rPr>
            </w:pPr>
            <w:r w:rsidRPr="009B0D84">
              <w:rPr>
                <w:rFonts w:eastAsia="Calibri"/>
                <w:kern w:val="1"/>
                <w:sz w:val="20"/>
                <w:szCs w:val="20"/>
                <w:lang w:val="pt-BR"/>
              </w:rPr>
              <w:t>100</w:t>
            </w:r>
          </w:p>
        </w:tc>
        <w:tc>
          <w:tcPr>
            <w:tcW w:w="798" w:type="dxa"/>
            <w:tcBorders>
              <w:bottom w:val="single" w:sz="4" w:space="0" w:color="auto"/>
            </w:tcBorders>
          </w:tcPr>
          <w:p w14:paraId="1C3E5478" w14:textId="77777777" w:rsidR="009B0D84" w:rsidRPr="009B0D84" w:rsidRDefault="009B0D84" w:rsidP="009B0D84">
            <w:pPr>
              <w:widowControl/>
              <w:autoSpaceDE/>
              <w:autoSpaceDN/>
              <w:ind w:right="-100" w:hanging="97"/>
              <w:contextualSpacing/>
              <w:jc w:val="center"/>
              <w:rPr>
                <w:rFonts w:eastAsia="Calibri"/>
                <w:sz w:val="20"/>
                <w:szCs w:val="20"/>
                <w:lang w:val="pt-BR"/>
              </w:rPr>
            </w:pPr>
            <w:r w:rsidRPr="009B0D84">
              <w:rPr>
                <w:rFonts w:eastAsia="Calibri"/>
                <w:sz w:val="20"/>
                <w:szCs w:val="20"/>
                <w:lang w:val="pt-BR"/>
              </w:rPr>
              <w:t>90,13</w:t>
            </w:r>
          </w:p>
        </w:tc>
        <w:tc>
          <w:tcPr>
            <w:tcW w:w="798" w:type="dxa"/>
            <w:tcBorders>
              <w:bottom w:val="single" w:sz="4" w:space="0" w:color="auto"/>
            </w:tcBorders>
          </w:tcPr>
          <w:p w14:paraId="1E3B3971" w14:textId="77777777" w:rsidR="009B0D84" w:rsidRPr="009B0D84" w:rsidRDefault="009B0D84" w:rsidP="009B0D84">
            <w:pPr>
              <w:widowControl/>
              <w:autoSpaceDE/>
              <w:autoSpaceDN/>
              <w:ind w:right="-131" w:hanging="163"/>
              <w:contextualSpacing/>
              <w:jc w:val="center"/>
              <w:rPr>
                <w:rFonts w:eastAsia="Calibri"/>
                <w:sz w:val="20"/>
                <w:szCs w:val="20"/>
                <w:lang w:val="pt-BR"/>
              </w:rPr>
            </w:pPr>
            <w:r w:rsidRPr="009B0D84">
              <w:rPr>
                <w:rFonts w:eastAsia="Calibri"/>
                <w:sz w:val="20"/>
                <w:szCs w:val="20"/>
                <w:lang w:val="pt-BR"/>
              </w:rPr>
              <w:t>9,06</w:t>
            </w:r>
          </w:p>
        </w:tc>
        <w:tc>
          <w:tcPr>
            <w:tcW w:w="799" w:type="dxa"/>
            <w:tcBorders>
              <w:bottom w:val="single" w:sz="4" w:space="0" w:color="auto"/>
            </w:tcBorders>
          </w:tcPr>
          <w:p w14:paraId="61176037" w14:textId="77777777" w:rsidR="009B0D84" w:rsidRPr="009B0D84" w:rsidRDefault="009B0D84" w:rsidP="009B0D84">
            <w:pPr>
              <w:widowControl/>
              <w:autoSpaceDE/>
              <w:autoSpaceDN/>
              <w:ind w:left="-171" w:right="-75" w:firstLine="86"/>
              <w:contextualSpacing/>
              <w:jc w:val="center"/>
              <w:rPr>
                <w:rFonts w:eastAsia="Calibri"/>
                <w:sz w:val="20"/>
                <w:szCs w:val="20"/>
                <w:lang w:val="pt-BR"/>
              </w:rPr>
            </w:pPr>
            <w:r w:rsidRPr="009B0D84">
              <w:rPr>
                <w:rFonts w:eastAsia="Calibri"/>
                <w:sz w:val="20"/>
                <w:szCs w:val="20"/>
                <w:lang w:val="pt-BR"/>
              </w:rPr>
              <w:t>3,55</w:t>
            </w:r>
          </w:p>
        </w:tc>
        <w:tc>
          <w:tcPr>
            <w:tcW w:w="798" w:type="dxa"/>
            <w:tcBorders>
              <w:bottom w:val="single" w:sz="4" w:space="0" w:color="auto"/>
            </w:tcBorders>
          </w:tcPr>
          <w:p w14:paraId="58D318B6" w14:textId="77777777" w:rsidR="009B0D84" w:rsidRPr="009B0D84" w:rsidRDefault="009B0D84" w:rsidP="009B0D84">
            <w:pPr>
              <w:widowControl/>
              <w:autoSpaceDE/>
              <w:autoSpaceDN/>
              <w:ind w:left="-67" w:right="-144" w:hanging="82"/>
              <w:contextualSpacing/>
              <w:jc w:val="center"/>
              <w:rPr>
                <w:rFonts w:eastAsia="Calibri"/>
                <w:sz w:val="20"/>
                <w:szCs w:val="20"/>
                <w:lang w:val="pt-BR"/>
              </w:rPr>
            </w:pPr>
            <w:r w:rsidRPr="009B0D84">
              <w:rPr>
                <w:rFonts w:eastAsia="Calibri"/>
                <w:sz w:val="20"/>
                <w:szCs w:val="20"/>
                <w:lang w:val="pt-BR"/>
              </w:rPr>
              <w:t>2,75</w:t>
            </w:r>
          </w:p>
        </w:tc>
        <w:tc>
          <w:tcPr>
            <w:tcW w:w="798" w:type="dxa"/>
            <w:tcBorders>
              <w:bottom w:val="single" w:sz="4" w:space="0" w:color="auto"/>
            </w:tcBorders>
          </w:tcPr>
          <w:p w14:paraId="3567EC30" w14:textId="77777777" w:rsidR="009B0D84" w:rsidRPr="009B0D84" w:rsidRDefault="009B0D84" w:rsidP="009B0D84">
            <w:pPr>
              <w:widowControl/>
              <w:autoSpaceDE/>
              <w:autoSpaceDN/>
              <w:contextualSpacing/>
              <w:jc w:val="center"/>
              <w:rPr>
                <w:rFonts w:eastAsia="Calibri"/>
                <w:sz w:val="20"/>
                <w:szCs w:val="20"/>
                <w:lang w:val="pt-BR"/>
              </w:rPr>
            </w:pPr>
            <w:r w:rsidRPr="009B0D84">
              <w:rPr>
                <w:rFonts w:eastAsia="Calibri"/>
                <w:sz w:val="20"/>
                <w:szCs w:val="20"/>
                <w:lang w:val="pt-BR"/>
              </w:rPr>
              <w:t>15,19</w:t>
            </w:r>
          </w:p>
        </w:tc>
        <w:tc>
          <w:tcPr>
            <w:tcW w:w="799" w:type="dxa"/>
            <w:tcBorders>
              <w:bottom w:val="single" w:sz="4" w:space="0" w:color="auto"/>
            </w:tcBorders>
          </w:tcPr>
          <w:p w14:paraId="6EDCC0C1" w14:textId="77777777" w:rsidR="009B0D84" w:rsidRPr="009B0D84" w:rsidRDefault="009B0D84" w:rsidP="009B0D84">
            <w:pPr>
              <w:widowControl/>
              <w:autoSpaceDE/>
              <w:autoSpaceDN/>
              <w:ind w:right="-48" w:hanging="87"/>
              <w:contextualSpacing/>
              <w:jc w:val="center"/>
              <w:rPr>
                <w:rFonts w:eastAsia="Calibri"/>
                <w:sz w:val="20"/>
                <w:szCs w:val="20"/>
                <w:lang w:val="pt-BR"/>
              </w:rPr>
            </w:pPr>
            <w:r w:rsidRPr="009B0D84">
              <w:rPr>
                <w:rFonts w:eastAsia="Calibri"/>
                <w:sz w:val="20"/>
                <w:szCs w:val="20"/>
                <w:lang w:val="pt-BR"/>
              </w:rPr>
              <w:t xml:space="preserve">0,72a </w:t>
            </w:r>
          </w:p>
        </w:tc>
        <w:tc>
          <w:tcPr>
            <w:tcW w:w="798" w:type="dxa"/>
            <w:tcBorders>
              <w:bottom w:val="single" w:sz="4" w:space="0" w:color="auto"/>
            </w:tcBorders>
          </w:tcPr>
          <w:p w14:paraId="25DBABB8" w14:textId="77777777" w:rsidR="009B0D84" w:rsidRPr="009B0D84" w:rsidRDefault="009B0D84" w:rsidP="009B0D84">
            <w:pPr>
              <w:widowControl/>
              <w:autoSpaceDE/>
              <w:autoSpaceDN/>
              <w:ind w:right="-167" w:hanging="96"/>
              <w:contextualSpacing/>
              <w:jc w:val="center"/>
              <w:rPr>
                <w:rFonts w:eastAsia="Calibri"/>
                <w:sz w:val="20"/>
                <w:szCs w:val="20"/>
                <w:lang w:val="pt-BR"/>
              </w:rPr>
            </w:pPr>
            <w:r w:rsidRPr="009B0D84">
              <w:rPr>
                <w:rFonts w:eastAsia="Calibri"/>
                <w:sz w:val="20"/>
                <w:szCs w:val="20"/>
                <w:lang w:val="pt-BR"/>
              </w:rPr>
              <w:t>4,28a</w:t>
            </w:r>
          </w:p>
        </w:tc>
        <w:tc>
          <w:tcPr>
            <w:tcW w:w="799" w:type="dxa"/>
            <w:tcBorders>
              <w:bottom w:val="single" w:sz="4" w:space="0" w:color="auto"/>
            </w:tcBorders>
          </w:tcPr>
          <w:p w14:paraId="77577234" w14:textId="77777777" w:rsidR="009B0D84" w:rsidRPr="009B0D84" w:rsidRDefault="009B0D84" w:rsidP="009B0D84">
            <w:pPr>
              <w:widowControl/>
              <w:autoSpaceDE/>
              <w:autoSpaceDN/>
              <w:jc w:val="center"/>
              <w:rPr>
                <w:rFonts w:eastAsia="Calibri"/>
                <w:sz w:val="20"/>
                <w:szCs w:val="20"/>
                <w:lang w:val="pt-BR"/>
              </w:rPr>
            </w:pPr>
            <w:r w:rsidRPr="009B0D84">
              <w:rPr>
                <w:rFonts w:eastAsia="Calibri"/>
                <w:sz w:val="20"/>
                <w:szCs w:val="20"/>
                <w:lang w:val="pt-BR"/>
              </w:rPr>
              <w:t>7,16a</w:t>
            </w:r>
          </w:p>
        </w:tc>
        <w:tc>
          <w:tcPr>
            <w:tcW w:w="975" w:type="dxa"/>
            <w:tcBorders>
              <w:bottom w:val="single" w:sz="4" w:space="0" w:color="auto"/>
            </w:tcBorders>
          </w:tcPr>
          <w:p w14:paraId="70C53637" w14:textId="77777777" w:rsidR="009B0D84" w:rsidRPr="009B0D84" w:rsidRDefault="009B0D84" w:rsidP="009B0D84">
            <w:pPr>
              <w:widowControl/>
              <w:autoSpaceDE/>
              <w:autoSpaceDN/>
              <w:ind w:left="-47" w:right="-104" w:hanging="137"/>
              <w:contextualSpacing/>
              <w:jc w:val="center"/>
              <w:rPr>
                <w:rFonts w:eastAsia="Calibri"/>
                <w:sz w:val="20"/>
                <w:szCs w:val="20"/>
                <w:lang w:val="pt-BR"/>
              </w:rPr>
            </w:pPr>
            <w:r w:rsidRPr="009B0D84">
              <w:rPr>
                <w:rFonts w:eastAsia="Calibri"/>
                <w:sz w:val="20"/>
                <w:szCs w:val="20"/>
                <w:lang w:val="pt-BR"/>
              </w:rPr>
              <w:t>19,03</w:t>
            </w:r>
          </w:p>
        </w:tc>
      </w:tr>
      <w:tr w:rsidR="0006372B" w:rsidRPr="009B0D84" w14:paraId="204AC469" w14:textId="77777777" w:rsidTr="007A7ED3">
        <w:trPr>
          <w:trHeight w:val="60"/>
          <w:jc w:val="center"/>
        </w:trPr>
        <w:tc>
          <w:tcPr>
            <w:tcW w:w="1678" w:type="dxa"/>
            <w:tcBorders>
              <w:top w:val="single" w:sz="4" w:space="0" w:color="auto"/>
            </w:tcBorders>
            <w:vAlign w:val="bottom"/>
          </w:tcPr>
          <w:p w14:paraId="03EBE8E6" w14:textId="77777777" w:rsidR="009B0D84" w:rsidRPr="009B0D84" w:rsidRDefault="009B0D84" w:rsidP="009B0D84">
            <w:pPr>
              <w:widowControl/>
              <w:autoSpaceDE/>
              <w:autoSpaceDN/>
              <w:ind w:right="-108" w:hanging="102"/>
              <w:contextualSpacing/>
              <w:jc w:val="both"/>
              <w:rPr>
                <w:rFonts w:eastAsia="Calibri"/>
                <w:bCs/>
                <w:iCs/>
                <w:sz w:val="20"/>
                <w:szCs w:val="20"/>
                <w:lang w:val="pt-BR" w:eastAsia="pt-BR"/>
              </w:rPr>
            </w:pPr>
            <w:r w:rsidRPr="009B0D84">
              <w:rPr>
                <w:sz w:val="20"/>
                <w:szCs w:val="20"/>
                <w:lang w:val="pt-BR" w:eastAsia="pt-BR"/>
              </w:rPr>
              <w:t>Teste F para F</w:t>
            </w:r>
          </w:p>
        </w:tc>
        <w:tc>
          <w:tcPr>
            <w:tcW w:w="798" w:type="dxa"/>
            <w:tcBorders>
              <w:top w:val="single" w:sz="4" w:space="0" w:color="auto"/>
            </w:tcBorders>
          </w:tcPr>
          <w:p w14:paraId="0C526BC4" w14:textId="77777777" w:rsidR="009B0D84" w:rsidRPr="009B0D84" w:rsidRDefault="009B0D84" w:rsidP="009B0D84">
            <w:pPr>
              <w:adjustRightInd w:val="0"/>
              <w:ind w:right="-100" w:hanging="86"/>
              <w:contextualSpacing/>
              <w:jc w:val="center"/>
              <w:rPr>
                <w:rFonts w:eastAsia="Calibri"/>
                <w:sz w:val="20"/>
                <w:szCs w:val="20"/>
                <w:lang w:val="pt-BR"/>
              </w:rPr>
            </w:pPr>
            <w:r w:rsidRPr="009B0D84">
              <w:rPr>
                <w:rFonts w:eastAsia="Calibri"/>
                <w:sz w:val="20"/>
                <w:szCs w:val="20"/>
                <w:lang w:val="pt-BR"/>
              </w:rPr>
              <w:t>0,93</w:t>
            </w:r>
            <w:r w:rsidRPr="009B0D84">
              <w:rPr>
                <w:rFonts w:eastAsia="Calibri"/>
                <w:sz w:val="20"/>
                <w:szCs w:val="20"/>
                <w:vertAlign w:val="superscript"/>
                <w:lang w:val="pt-BR"/>
              </w:rPr>
              <w:t>ns</w:t>
            </w:r>
          </w:p>
        </w:tc>
        <w:tc>
          <w:tcPr>
            <w:tcW w:w="798" w:type="dxa"/>
            <w:tcBorders>
              <w:top w:val="single" w:sz="4" w:space="0" w:color="auto"/>
            </w:tcBorders>
          </w:tcPr>
          <w:p w14:paraId="50FCF81F" w14:textId="77777777" w:rsidR="009B0D84" w:rsidRPr="009B0D84" w:rsidRDefault="009B0D84" w:rsidP="009B0D84">
            <w:pPr>
              <w:widowControl/>
              <w:autoSpaceDE/>
              <w:autoSpaceDN/>
              <w:ind w:right="-46" w:hanging="108"/>
              <w:contextualSpacing/>
              <w:jc w:val="center"/>
              <w:rPr>
                <w:rFonts w:eastAsia="Calibri"/>
                <w:sz w:val="20"/>
                <w:szCs w:val="20"/>
                <w:lang w:val="pt-BR" w:eastAsia="zh-CN"/>
              </w:rPr>
            </w:pPr>
            <w:r w:rsidRPr="009B0D84">
              <w:rPr>
                <w:rFonts w:eastAsia="Calibri"/>
                <w:sz w:val="20"/>
                <w:szCs w:val="20"/>
                <w:lang w:val="pt-BR" w:eastAsia="zh-CN"/>
              </w:rPr>
              <w:t xml:space="preserve">  0,16</w:t>
            </w:r>
            <w:r w:rsidRPr="009B0D84">
              <w:rPr>
                <w:rFonts w:eastAsia="Calibri"/>
                <w:sz w:val="20"/>
                <w:szCs w:val="20"/>
                <w:vertAlign w:val="superscript"/>
                <w:lang w:val="pt-BR" w:eastAsia="zh-CN"/>
              </w:rPr>
              <w:t>ns</w:t>
            </w:r>
          </w:p>
        </w:tc>
        <w:tc>
          <w:tcPr>
            <w:tcW w:w="799" w:type="dxa"/>
            <w:tcBorders>
              <w:top w:val="single" w:sz="4" w:space="0" w:color="auto"/>
            </w:tcBorders>
          </w:tcPr>
          <w:p w14:paraId="13C7A6C4" w14:textId="77777777" w:rsidR="009B0D84" w:rsidRPr="009B0D84" w:rsidRDefault="009B0D84" w:rsidP="009B0D84">
            <w:pPr>
              <w:widowControl/>
              <w:adjustRightInd w:val="0"/>
              <w:ind w:right="-67" w:hanging="128"/>
              <w:contextualSpacing/>
              <w:jc w:val="center"/>
              <w:rPr>
                <w:rFonts w:eastAsia="Calibri"/>
                <w:sz w:val="20"/>
                <w:szCs w:val="20"/>
                <w:lang w:val="pt-BR"/>
              </w:rPr>
            </w:pPr>
            <w:r w:rsidRPr="009B0D84">
              <w:rPr>
                <w:rFonts w:eastAsia="Calibri"/>
                <w:sz w:val="20"/>
                <w:szCs w:val="20"/>
                <w:lang w:val="pt-BR"/>
              </w:rPr>
              <w:t xml:space="preserve"> 7,15</w:t>
            </w:r>
            <w:r w:rsidRPr="009B0D84">
              <w:rPr>
                <w:rFonts w:eastAsia="Calibri"/>
                <w:sz w:val="20"/>
                <w:szCs w:val="20"/>
                <w:vertAlign w:val="superscript"/>
                <w:lang w:val="pt-BR"/>
              </w:rPr>
              <w:t>ns</w:t>
            </w:r>
          </w:p>
        </w:tc>
        <w:tc>
          <w:tcPr>
            <w:tcW w:w="798" w:type="dxa"/>
            <w:tcBorders>
              <w:top w:val="single" w:sz="4" w:space="0" w:color="auto"/>
            </w:tcBorders>
          </w:tcPr>
          <w:p w14:paraId="6D555716" w14:textId="77777777" w:rsidR="009B0D84" w:rsidRPr="009B0D84" w:rsidRDefault="009B0D84" w:rsidP="009B0D84">
            <w:pPr>
              <w:widowControl/>
              <w:autoSpaceDE/>
              <w:autoSpaceDN/>
              <w:ind w:right="-144" w:hanging="149"/>
              <w:contextualSpacing/>
              <w:jc w:val="center"/>
              <w:rPr>
                <w:sz w:val="20"/>
                <w:szCs w:val="20"/>
                <w:lang w:val="pt-BR" w:eastAsia="zh-CN"/>
              </w:rPr>
            </w:pPr>
            <w:r w:rsidRPr="009B0D84">
              <w:rPr>
                <w:sz w:val="20"/>
                <w:szCs w:val="20"/>
                <w:lang w:val="pt-BR" w:eastAsia="zh-CN"/>
              </w:rPr>
              <w:t>0,83</w:t>
            </w:r>
            <w:r w:rsidRPr="009B0D84">
              <w:rPr>
                <w:sz w:val="20"/>
                <w:szCs w:val="20"/>
                <w:vertAlign w:val="superscript"/>
                <w:lang w:val="pt-BR" w:eastAsia="zh-CN"/>
              </w:rPr>
              <w:t>ns</w:t>
            </w:r>
          </w:p>
        </w:tc>
        <w:tc>
          <w:tcPr>
            <w:tcW w:w="798" w:type="dxa"/>
            <w:tcBorders>
              <w:top w:val="single" w:sz="4" w:space="0" w:color="auto"/>
            </w:tcBorders>
          </w:tcPr>
          <w:p w14:paraId="7DFAD56F" w14:textId="77777777" w:rsidR="009B0D84" w:rsidRPr="009B0D84" w:rsidRDefault="009B0D84" w:rsidP="009B0D84">
            <w:pPr>
              <w:widowControl/>
              <w:autoSpaceDE/>
              <w:autoSpaceDN/>
              <w:ind w:right="-108" w:hanging="111"/>
              <w:contextualSpacing/>
              <w:jc w:val="center"/>
              <w:rPr>
                <w:rFonts w:eastAsia="Calibri"/>
                <w:bCs/>
                <w:iCs/>
                <w:sz w:val="20"/>
                <w:szCs w:val="20"/>
                <w:lang w:val="pt-BR"/>
              </w:rPr>
            </w:pPr>
            <w:r w:rsidRPr="009B0D84">
              <w:rPr>
                <w:rFonts w:eastAsia="Calibri"/>
                <w:bCs/>
                <w:iCs/>
                <w:sz w:val="20"/>
                <w:szCs w:val="20"/>
                <w:lang w:val="pt-BR"/>
              </w:rPr>
              <w:t>2,08</w:t>
            </w:r>
            <w:r w:rsidRPr="009B0D84">
              <w:rPr>
                <w:rFonts w:eastAsia="Calibri"/>
                <w:bCs/>
                <w:iCs/>
                <w:sz w:val="20"/>
                <w:szCs w:val="20"/>
                <w:vertAlign w:val="superscript"/>
                <w:lang w:val="pt-BR"/>
              </w:rPr>
              <w:t>ns</w:t>
            </w:r>
          </w:p>
        </w:tc>
        <w:tc>
          <w:tcPr>
            <w:tcW w:w="799" w:type="dxa"/>
            <w:tcBorders>
              <w:top w:val="single" w:sz="4" w:space="0" w:color="auto"/>
            </w:tcBorders>
          </w:tcPr>
          <w:p w14:paraId="1ADAF9A3" w14:textId="77777777" w:rsidR="009B0D84" w:rsidRPr="009B0D84" w:rsidRDefault="009B0D84" w:rsidP="009B0D84">
            <w:pPr>
              <w:adjustRightInd w:val="0"/>
              <w:ind w:right="-158" w:hanging="135"/>
              <w:contextualSpacing/>
              <w:jc w:val="center"/>
              <w:rPr>
                <w:rFonts w:eastAsia="Calibri"/>
                <w:sz w:val="20"/>
                <w:szCs w:val="20"/>
                <w:lang w:val="pt-BR"/>
              </w:rPr>
            </w:pPr>
            <w:r w:rsidRPr="009B0D84">
              <w:rPr>
                <w:rFonts w:eastAsia="Calibri"/>
                <w:sz w:val="20"/>
                <w:szCs w:val="20"/>
                <w:lang w:val="pt-BR"/>
              </w:rPr>
              <w:t>1,18</w:t>
            </w:r>
            <w:r w:rsidRPr="009B0D84">
              <w:rPr>
                <w:rFonts w:eastAsia="Calibri"/>
                <w:sz w:val="20"/>
                <w:szCs w:val="20"/>
                <w:vertAlign w:val="superscript"/>
                <w:lang w:val="pt-BR"/>
              </w:rPr>
              <w:t>ns</w:t>
            </w:r>
          </w:p>
        </w:tc>
        <w:tc>
          <w:tcPr>
            <w:tcW w:w="798" w:type="dxa"/>
            <w:tcBorders>
              <w:top w:val="single" w:sz="4" w:space="0" w:color="auto"/>
            </w:tcBorders>
          </w:tcPr>
          <w:p w14:paraId="5DA7B4DC" w14:textId="77777777" w:rsidR="009B0D84" w:rsidRPr="009B0D84" w:rsidRDefault="009B0D84" w:rsidP="009B0D84">
            <w:pPr>
              <w:widowControl/>
              <w:autoSpaceDE/>
              <w:autoSpaceDN/>
              <w:ind w:right="-167" w:hanging="168"/>
              <w:contextualSpacing/>
              <w:jc w:val="center"/>
              <w:rPr>
                <w:rFonts w:eastAsia="Calibri"/>
                <w:sz w:val="20"/>
                <w:szCs w:val="20"/>
                <w:lang w:val="pt-BR" w:eastAsia="zh-CN"/>
              </w:rPr>
            </w:pPr>
            <w:r w:rsidRPr="009B0D84">
              <w:rPr>
                <w:rFonts w:eastAsia="Calibri"/>
                <w:sz w:val="20"/>
                <w:szCs w:val="20"/>
                <w:lang w:val="pt-BR" w:eastAsia="zh-CN"/>
              </w:rPr>
              <w:t>13,54*</w:t>
            </w:r>
          </w:p>
        </w:tc>
        <w:tc>
          <w:tcPr>
            <w:tcW w:w="799" w:type="dxa"/>
            <w:tcBorders>
              <w:top w:val="single" w:sz="4" w:space="0" w:color="auto"/>
            </w:tcBorders>
          </w:tcPr>
          <w:p w14:paraId="05D2432D" w14:textId="77777777" w:rsidR="009B0D84" w:rsidRPr="009B0D84" w:rsidRDefault="009B0D84" w:rsidP="009B0D84">
            <w:pPr>
              <w:adjustRightInd w:val="0"/>
              <w:ind w:right="-104" w:hanging="167"/>
              <w:contextualSpacing/>
              <w:jc w:val="center"/>
              <w:rPr>
                <w:rFonts w:eastAsia="Calibri"/>
                <w:sz w:val="20"/>
                <w:szCs w:val="20"/>
                <w:lang w:val="pt-BR"/>
              </w:rPr>
            </w:pPr>
            <w:r w:rsidRPr="009B0D84">
              <w:rPr>
                <w:rFonts w:eastAsia="Calibri"/>
                <w:sz w:val="20"/>
                <w:szCs w:val="20"/>
                <w:lang w:val="pt-BR"/>
              </w:rPr>
              <w:t xml:space="preserve"> 27,81**</w:t>
            </w:r>
          </w:p>
        </w:tc>
        <w:tc>
          <w:tcPr>
            <w:tcW w:w="975" w:type="dxa"/>
            <w:tcBorders>
              <w:top w:val="single" w:sz="4" w:space="0" w:color="auto"/>
            </w:tcBorders>
          </w:tcPr>
          <w:p w14:paraId="6E67D45C" w14:textId="77777777" w:rsidR="009B0D84" w:rsidRPr="009B0D84" w:rsidRDefault="009B0D84" w:rsidP="009B0D84">
            <w:pPr>
              <w:widowControl/>
              <w:autoSpaceDE/>
              <w:autoSpaceDN/>
              <w:ind w:right="-87" w:hanging="90"/>
              <w:contextualSpacing/>
              <w:jc w:val="center"/>
              <w:rPr>
                <w:sz w:val="20"/>
                <w:szCs w:val="20"/>
                <w:lang w:val="pt-BR" w:eastAsia="zh-CN"/>
              </w:rPr>
            </w:pPr>
            <w:r w:rsidRPr="009B0D84">
              <w:rPr>
                <w:sz w:val="20"/>
                <w:szCs w:val="20"/>
                <w:lang w:val="pt-BR" w:eastAsia="zh-CN"/>
              </w:rPr>
              <w:t>4,27</w:t>
            </w:r>
            <w:r w:rsidRPr="009B0D84">
              <w:rPr>
                <w:sz w:val="20"/>
                <w:szCs w:val="20"/>
                <w:vertAlign w:val="superscript"/>
                <w:lang w:val="pt-BR" w:eastAsia="zh-CN"/>
              </w:rPr>
              <w:t>ns</w:t>
            </w:r>
          </w:p>
        </w:tc>
      </w:tr>
      <w:tr w:rsidR="0006372B" w:rsidRPr="009B0D84" w14:paraId="321497C9" w14:textId="77777777" w:rsidTr="007A7ED3">
        <w:trPr>
          <w:trHeight w:val="70"/>
          <w:jc w:val="center"/>
        </w:trPr>
        <w:tc>
          <w:tcPr>
            <w:tcW w:w="1678" w:type="dxa"/>
            <w:vAlign w:val="bottom"/>
          </w:tcPr>
          <w:p w14:paraId="6F5DB4B4" w14:textId="77777777" w:rsidR="009B0D84" w:rsidRPr="009B0D84" w:rsidRDefault="009B0D84" w:rsidP="009B0D84">
            <w:pPr>
              <w:widowControl/>
              <w:autoSpaceDE/>
              <w:autoSpaceDN/>
              <w:ind w:right="-108" w:hanging="102"/>
              <w:contextualSpacing/>
              <w:jc w:val="both"/>
              <w:rPr>
                <w:rFonts w:eastAsia="Calibri"/>
                <w:bCs/>
                <w:iCs/>
                <w:sz w:val="20"/>
                <w:szCs w:val="20"/>
                <w:lang w:val="pt-BR"/>
              </w:rPr>
            </w:pPr>
            <w:r w:rsidRPr="009B0D84">
              <w:rPr>
                <w:sz w:val="20"/>
                <w:szCs w:val="20"/>
                <w:lang w:val="pt-BR" w:eastAsia="pt-BR"/>
              </w:rPr>
              <w:t>Teste F para D</w:t>
            </w:r>
          </w:p>
        </w:tc>
        <w:tc>
          <w:tcPr>
            <w:tcW w:w="798" w:type="dxa"/>
          </w:tcPr>
          <w:p w14:paraId="78EA3EF2" w14:textId="77777777" w:rsidR="009B0D84" w:rsidRPr="009B0D84" w:rsidRDefault="009B0D84" w:rsidP="009B0D84">
            <w:pPr>
              <w:adjustRightInd w:val="0"/>
              <w:ind w:right="-100" w:hanging="86"/>
              <w:contextualSpacing/>
              <w:jc w:val="center"/>
              <w:rPr>
                <w:rFonts w:eastAsia="Calibri"/>
                <w:sz w:val="20"/>
                <w:szCs w:val="20"/>
                <w:lang w:val="pt-BR"/>
              </w:rPr>
            </w:pPr>
            <w:r w:rsidRPr="009B0D84">
              <w:rPr>
                <w:rFonts w:eastAsia="Calibri"/>
                <w:sz w:val="20"/>
                <w:szCs w:val="20"/>
                <w:lang w:val="pt-BR"/>
              </w:rPr>
              <w:t>1,82</w:t>
            </w:r>
            <w:r w:rsidRPr="009B0D84">
              <w:rPr>
                <w:rFonts w:eastAsia="Calibri"/>
                <w:sz w:val="20"/>
                <w:szCs w:val="20"/>
                <w:vertAlign w:val="superscript"/>
                <w:lang w:val="pt-BR"/>
              </w:rPr>
              <w:t>ns</w:t>
            </w:r>
          </w:p>
        </w:tc>
        <w:tc>
          <w:tcPr>
            <w:tcW w:w="798" w:type="dxa"/>
          </w:tcPr>
          <w:p w14:paraId="4D7DB6EF" w14:textId="77777777" w:rsidR="009B0D84" w:rsidRPr="009B0D84" w:rsidRDefault="009B0D84" w:rsidP="009B0D84">
            <w:pPr>
              <w:widowControl/>
              <w:autoSpaceDE/>
              <w:autoSpaceDN/>
              <w:ind w:right="-46"/>
              <w:contextualSpacing/>
              <w:jc w:val="center"/>
              <w:rPr>
                <w:rFonts w:eastAsia="Calibri"/>
                <w:sz w:val="20"/>
                <w:szCs w:val="20"/>
                <w:lang w:val="pt-BR" w:eastAsia="zh-CN"/>
              </w:rPr>
            </w:pPr>
            <w:r w:rsidRPr="009B0D84">
              <w:rPr>
                <w:rFonts w:eastAsia="Calibri"/>
                <w:sz w:val="20"/>
                <w:szCs w:val="20"/>
                <w:lang w:val="pt-BR" w:eastAsia="zh-CN"/>
              </w:rPr>
              <w:t>2,49</w:t>
            </w:r>
            <w:r w:rsidRPr="009B0D84">
              <w:rPr>
                <w:rFonts w:eastAsia="Calibri"/>
                <w:sz w:val="20"/>
                <w:szCs w:val="20"/>
                <w:vertAlign w:val="superscript"/>
                <w:lang w:val="pt-BR" w:eastAsia="zh-CN"/>
              </w:rPr>
              <w:t>ns</w:t>
            </w:r>
          </w:p>
        </w:tc>
        <w:tc>
          <w:tcPr>
            <w:tcW w:w="799" w:type="dxa"/>
          </w:tcPr>
          <w:p w14:paraId="6ADFD3C0" w14:textId="77777777" w:rsidR="009B0D84" w:rsidRPr="009B0D84" w:rsidRDefault="009B0D84" w:rsidP="009B0D84">
            <w:pPr>
              <w:widowControl/>
              <w:adjustRightInd w:val="0"/>
              <w:ind w:right="-67" w:hanging="128"/>
              <w:contextualSpacing/>
              <w:jc w:val="center"/>
              <w:rPr>
                <w:rFonts w:eastAsia="Calibri"/>
                <w:sz w:val="20"/>
                <w:szCs w:val="20"/>
                <w:lang w:val="pt-BR"/>
              </w:rPr>
            </w:pPr>
            <w:r w:rsidRPr="009B0D84">
              <w:rPr>
                <w:rFonts w:eastAsia="Calibri"/>
                <w:sz w:val="20"/>
                <w:szCs w:val="20"/>
                <w:lang w:val="pt-BR"/>
              </w:rPr>
              <w:t>2,71</w:t>
            </w:r>
            <w:r w:rsidRPr="009B0D84">
              <w:rPr>
                <w:rFonts w:eastAsia="Calibri"/>
                <w:sz w:val="20"/>
                <w:szCs w:val="20"/>
                <w:vertAlign w:val="superscript"/>
                <w:lang w:val="pt-BR"/>
              </w:rPr>
              <w:t>ns</w:t>
            </w:r>
          </w:p>
        </w:tc>
        <w:tc>
          <w:tcPr>
            <w:tcW w:w="798" w:type="dxa"/>
          </w:tcPr>
          <w:p w14:paraId="27CB604B" w14:textId="77777777" w:rsidR="009B0D84" w:rsidRPr="009B0D84" w:rsidRDefault="009B0D84" w:rsidP="009B0D84">
            <w:pPr>
              <w:widowControl/>
              <w:autoSpaceDE/>
              <w:autoSpaceDN/>
              <w:ind w:right="-144" w:hanging="149"/>
              <w:contextualSpacing/>
              <w:jc w:val="center"/>
              <w:rPr>
                <w:sz w:val="20"/>
                <w:szCs w:val="20"/>
                <w:lang w:val="pt-BR" w:eastAsia="zh-CN"/>
              </w:rPr>
            </w:pPr>
            <w:r w:rsidRPr="009B0D84">
              <w:rPr>
                <w:sz w:val="20"/>
                <w:szCs w:val="20"/>
                <w:lang w:val="pt-BR" w:eastAsia="zh-CN"/>
              </w:rPr>
              <w:t>0,70</w:t>
            </w:r>
            <w:r w:rsidRPr="009B0D84">
              <w:rPr>
                <w:sz w:val="20"/>
                <w:szCs w:val="20"/>
                <w:vertAlign w:val="superscript"/>
                <w:lang w:val="pt-BR" w:eastAsia="zh-CN"/>
              </w:rPr>
              <w:t>ns</w:t>
            </w:r>
          </w:p>
        </w:tc>
        <w:tc>
          <w:tcPr>
            <w:tcW w:w="798" w:type="dxa"/>
          </w:tcPr>
          <w:p w14:paraId="4039D452" w14:textId="77777777" w:rsidR="009B0D84" w:rsidRPr="009B0D84" w:rsidRDefault="009B0D84" w:rsidP="009B0D84">
            <w:pPr>
              <w:widowControl/>
              <w:autoSpaceDE/>
              <w:autoSpaceDN/>
              <w:ind w:right="-108" w:hanging="111"/>
              <w:contextualSpacing/>
              <w:jc w:val="center"/>
              <w:rPr>
                <w:rFonts w:eastAsia="Calibri"/>
                <w:bCs/>
                <w:iCs/>
                <w:sz w:val="20"/>
                <w:szCs w:val="20"/>
                <w:lang w:val="pt-BR"/>
              </w:rPr>
            </w:pPr>
            <w:r w:rsidRPr="009B0D84">
              <w:rPr>
                <w:rFonts w:eastAsia="Calibri"/>
                <w:bCs/>
                <w:iCs/>
                <w:sz w:val="20"/>
                <w:szCs w:val="20"/>
                <w:lang w:val="pt-BR"/>
              </w:rPr>
              <w:t>1,08</w:t>
            </w:r>
            <w:r w:rsidRPr="009B0D84">
              <w:rPr>
                <w:rFonts w:eastAsia="Calibri"/>
                <w:bCs/>
                <w:iCs/>
                <w:sz w:val="20"/>
                <w:szCs w:val="20"/>
                <w:vertAlign w:val="superscript"/>
                <w:lang w:val="pt-BR"/>
              </w:rPr>
              <w:t>ns</w:t>
            </w:r>
          </w:p>
        </w:tc>
        <w:tc>
          <w:tcPr>
            <w:tcW w:w="799" w:type="dxa"/>
          </w:tcPr>
          <w:p w14:paraId="059314AD" w14:textId="77777777" w:rsidR="009B0D84" w:rsidRPr="009B0D84" w:rsidRDefault="009B0D84" w:rsidP="009B0D84">
            <w:pPr>
              <w:adjustRightInd w:val="0"/>
              <w:ind w:right="-158" w:hanging="135"/>
              <w:contextualSpacing/>
              <w:jc w:val="center"/>
              <w:rPr>
                <w:rFonts w:eastAsia="Calibri"/>
                <w:sz w:val="20"/>
                <w:szCs w:val="20"/>
                <w:lang w:val="pt-BR"/>
              </w:rPr>
            </w:pPr>
            <w:r w:rsidRPr="009B0D84">
              <w:rPr>
                <w:rFonts w:eastAsia="Calibri"/>
                <w:sz w:val="20"/>
                <w:szCs w:val="20"/>
                <w:lang w:val="pt-BR"/>
              </w:rPr>
              <w:t>4,40*</w:t>
            </w:r>
          </w:p>
        </w:tc>
        <w:tc>
          <w:tcPr>
            <w:tcW w:w="798" w:type="dxa"/>
          </w:tcPr>
          <w:p w14:paraId="768CDDE0" w14:textId="77777777" w:rsidR="009B0D84" w:rsidRPr="009B0D84" w:rsidRDefault="009B0D84" w:rsidP="009B0D84">
            <w:pPr>
              <w:widowControl/>
              <w:autoSpaceDE/>
              <w:autoSpaceDN/>
              <w:ind w:right="-167" w:hanging="168"/>
              <w:contextualSpacing/>
              <w:jc w:val="center"/>
              <w:rPr>
                <w:rFonts w:eastAsia="Calibri"/>
                <w:sz w:val="20"/>
                <w:szCs w:val="20"/>
                <w:lang w:val="pt-BR" w:eastAsia="zh-CN"/>
              </w:rPr>
            </w:pPr>
            <w:r w:rsidRPr="009B0D84">
              <w:rPr>
                <w:rFonts w:eastAsia="Calibri"/>
                <w:sz w:val="20"/>
                <w:szCs w:val="20"/>
                <w:lang w:val="pt-BR" w:eastAsia="zh-CN"/>
              </w:rPr>
              <w:t>4,76*</w:t>
            </w:r>
          </w:p>
        </w:tc>
        <w:tc>
          <w:tcPr>
            <w:tcW w:w="799" w:type="dxa"/>
          </w:tcPr>
          <w:p w14:paraId="1528E0F3" w14:textId="77777777" w:rsidR="009B0D84" w:rsidRPr="009B0D84" w:rsidRDefault="009B0D84" w:rsidP="009B0D84">
            <w:pPr>
              <w:adjustRightInd w:val="0"/>
              <w:ind w:right="-79" w:hanging="167"/>
              <w:contextualSpacing/>
              <w:jc w:val="center"/>
              <w:rPr>
                <w:rFonts w:eastAsia="Calibri"/>
                <w:sz w:val="20"/>
                <w:szCs w:val="20"/>
                <w:lang w:val="pt-BR"/>
              </w:rPr>
            </w:pPr>
            <w:r w:rsidRPr="009B0D84">
              <w:rPr>
                <w:rFonts w:eastAsia="Calibri"/>
                <w:sz w:val="20"/>
                <w:szCs w:val="20"/>
                <w:lang w:val="pt-BR"/>
              </w:rPr>
              <w:t xml:space="preserve">  9,26**</w:t>
            </w:r>
          </w:p>
        </w:tc>
        <w:tc>
          <w:tcPr>
            <w:tcW w:w="975" w:type="dxa"/>
          </w:tcPr>
          <w:p w14:paraId="5C4A8672" w14:textId="77777777" w:rsidR="009B0D84" w:rsidRPr="009B0D84" w:rsidRDefault="009B0D84" w:rsidP="009B0D84">
            <w:pPr>
              <w:widowControl/>
              <w:autoSpaceDE/>
              <w:autoSpaceDN/>
              <w:ind w:right="-87" w:hanging="90"/>
              <w:contextualSpacing/>
              <w:jc w:val="center"/>
              <w:rPr>
                <w:sz w:val="20"/>
                <w:szCs w:val="20"/>
                <w:lang w:val="pt-BR" w:eastAsia="zh-CN"/>
              </w:rPr>
            </w:pPr>
            <w:r w:rsidRPr="009B0D84">
              <w:rPr>
                <w:sz w:val="20"/>
                <w:szCs w:val="20"/>
                <w:lang w:val="pt-BR" w:eastAsia="zh-CN"/>
              </w:rPr>
              <w:t>0,37</w:t>
            </w:r>
            <w:r w:rsidRPr="009B0D84">
              <w:rPr>
                <w:sz w:val="20"/>
                <w:szCs w:val="20"/>
                <w:vertAlign w:val="superscript"/>
                <w:lang w:val="pt-BR" w:eastAsia="zh-CN"/>
              </w:rPr>
              <w:t>ns</w:t>
            </w:r>
          </w:p>
        </w:tc>
      </w:tr>
      <w:tr w:rsidR="0006372B" w:rsidRPr="009B0D84" w14:paraId="18DDB45E" w14:textId="77777777" w:rsidTr="007A7ED3">
        <w:trPr>
          <w:trHeight w:val="76"/>
          <w:jc w:val="center"/>
        </w:trPr>
        <w:tc>
          <w:tcPr>
            <w:tcW w:w="1678" w:type="dxa"/>
            <w:tcBorders>
              <w:bottom w:val="single" w:sz="4" w:space="0" w:color="auto"/>
            </w:tcBorders>
            <w:vAlign w:val="bottom"/>
          </w:tcPr>
          <w:p w14:paraId="5B0FC1B9" w14:textId="77777777" w:rsidR="009B0D84" w:rsidRPr="009B0D84" w:rsidRDefault="009B0D84" w:rsidP="009B0D84">
            <w:pPr>
              <w:widowControl/>
              <w:autoSpaceDE/>
              <w:autoSpaceDN/>
              <w:ind w:right="-108" w:hanging="102"/>
              <w:contextualSpacing/>
              <w:jc w:val="center"/>
              <w:rPr>
                <w:rFonts w:eastAsia="Calibri"/>
                <w:bCs/>
                <w:iCs/>
                <w:sz w:val="20"/>
                <w:szCs w:val="20"/>
                <w:lang w:val="pt-BR"/>
              </w:rPr>
            </w:pPr>
            <w:r w:rsidRPr="009B0D84">
              <w:rPr>
                <w:sz w:val="20"/>
                <w:szCs w:val="20"/>
                <w:lang w:val="pt-BR" w:eastAsia="pt-BR"/>
              </w:rPr>
              <w:t xml:space="preserve">Teste F para </w:t>
            </w:r>
            <w:proofErr w:type="spellStart"/>
            <w:r w:rsidRPr="009B0D84">
              <w:rPr>
                <w:sz w:val="20"/>
                <w:szCs w:val="20"/>
                <w:lang w:val="pt-BR" w:eastAsia="pt-BR"/>
              </w:rPr>
              <w:t>FxD</w:t>
            </w:r>
            <w:proofErr w:type="spellEnd"/>
          </w:p>
        </w:tc>
        <w:tc>
          <w:tcPr>
            <w:tcW w:w="798" w:type="dxa"/>
            <w:tcBorders>
              <w:bottom w:val="single" w:sz="4" w:space="0" w:color="auto"/>
            </w:tcBorders>
          </w:tcPr>
          <w:p w14:paraId="0687CFE5" w14:textId="77777777" w:rsidR="009B0D84" w:rsidRPr="009B0D84" w:rsidRDefault="009B0D84" w:rsidP="009B0D84">
            <w:pPr>
              <w:adjustRightInd w:val="0"/>
              <w:ind w:right="-100" w:hanging="86"/>
              <w:contextualSpacing/>
              <w:jc w:val="center"/>
              <w:rPr>
                <w:rFonts w:eastAsia="Calibri"/>
                <w:sz w:val="20"/>
                <w:szCs w:val="20"/>
                <w:lang w:val="pt-BR"/>
              </w:rPr>
            </w:pPr>
            <w:r w:rsidRPr="009B0D84">
              <w:rPr>
                <w:rFonts w:eastAsia="Calibri"/>
                <w:sz w:val="20"/>
                <w:szCs w:val="20"/>
                <w:lang w:val="pt-BR"/>
              </w:rPr>
              <w:t>0,72</w:t>
            </w:r>
            <w:r w:rsidRPr="009B0D84">
              <w:rPr>
                <w:rFonts w:eastAsia="Calibri"/>
                <w:sz w:val="20"/>
                <w:szCs w:val="20"/>
                <w:vertAlign w:val="superscript"/>
                <w:lang w:val="pt-BR"/>
              </w:rPr>
              <w:t>ns</w:t>
            </w:r>
          </w:p>
        </w:tc>
        <w:tc>
          <w:tcPr>
            <w:tcW w:w="798" w:type="dxa"/>
            <w:tcBorders>
              <w:bottom w:val="single" w:sz="4" w:space="0" w:color="auto"/>
            </w:tcBorders>
          </w:tcPr>
          <w:p w14:paraId="233F3712" w14:textId="77777777" w:rsidR="009B0D84" w:rsidRPr="009B0D84" w:rsidRDefault="009B0D84" w:rsidP="009B0D84">
            <w:pPr>
              <w:widowControl/>
              <w:autoSpaceDE/>
              <w:autoSpaceDN/>
              <w:ind w:right="-51" w:hanging="219"/>
              <w:contextualSpacing/>
              <w:jc w:val="center"/>
              <w:rPr>
                <w:rFonts w:eastAsia="Calibri"/>
                <w:sz w:val="20"/>
                <w:szCs w:val="20"/>
                <w:lang w:val="pt-BR" w:eastAsia="zh-CN"/>
              </w:rPr>
            </w:pPr>
            <w:r w:rsidRPr="009B0D84">
              <w:rPr>
                <w:rFonts w:eastAsia="Calibri"/>
                <w:sz w:val="20"/>
                <w:szCs w:val="20"/>
                <w:lang w:val="pt-BR" w:eastAsia="zh-CN"/>
              </w:rPr>
              <w:t xml:space="preserve">  4,83</w:t>
            </w:r>
            <w:r w:rsidRPr="009B0D84">
              <w:rPr>
                <w:rFonts w:eastAsia="Calibri"/>
                <w:sz w:val="20"/>
                <w:szCs w:val="20"/>
                <w:vertAlign w:val="superscript"/>
                <w:lang w:val="pt-BR" w:eastAsia="zh-CN"/>
              </w:rPr>
              <w:t>ns</w:t>
            </w:r>
          </w:p>
        </w:tc>
        <w:tc>
          <w:tcPr>
            <w:tcW w:w="799" w:type="dxa"/>
            <w:tcBorders>
              <w:bottom w:val="single" w:sz="4" w:space="0" w:color="auto"/>
            </w:tcBorders>
          </w:tcPr>
          <w:p w14:paraId="4B306DD4" w14:textId="77777777" w:rsidR="009B0D84" w:rsidRPr="009B0D84" w:rsidRDefault="009B0D84" w:rsidP="009B0D84">
            <w:pPr>
              <w:widowControl/>
              <w:adjustRightInd w:val="0"/>
              <w:ind w:right="-67" w:hanging="128"/>
              <w:contextualSpacing/>
              <w:jc w:val="center"/>
              <w:rPr>
                <w:rFonts w:eastAsia="Calibri"/>
                <w:sz w:val="20"/>
                <w:szCs w:val="20"/>
                <w:lang w:val="pt-BR"/>
              </w:rPr>
            </w:pPr>
            <w:r w:rsidRPr="009B0D84">
              <w:rPr>
                <w:rFonts w:eastAsia="Calibri"/>
                <w:sz w:val="20"/>
                <w:szCs w:val="20"/>
                <w:lang w:val="pt-BR"/>
              </w:rPr>
              <w:t>0,84</w:t>
            </w:r>
            <w:r w:rsidRPr="009B0D84">
              <w:rPr>
                <w:rFonts w:eastAsia="Calibri"/>
                <w:sz w:val="20"/>
                <w:szCs w:val="20"/>
                <w:vertAlign w:val="superscript"/>
                <w:lang w:val="pt-BR"/>
              </w:rPr>
              <w:t>ns</w:t>
            </w:r>
          </w:p>
        </w:tc>
        <w:tc>
          <w:tcPr>
            <w:tcW w:w="798" w:type="dxa"/>
            <w:tcBorders>
              <w:bottom w:val="single" w:sz="4" w:space="0" w:color="auto"/>
            </w:tcBorders>
          </w:tcPr>
          <w:p w14:paraId="1BF23203" w14:textId="77777777" w:rsidR="009B0D84" w:rsidRPr="009B0D84" w:rsidRDefault="009B0D84" w:rsidP="009B0D84">
            <w:pPr>
              <w:widowControl/>
              <w:autoSpaceDE/>
              <w:autoSpaceDN/>
              <w:ind w:right="-144" w:hanging="149"/>
              <w:contextualSpacing/>
              <w:jc w:val="center"/>
              <w:rPr>
                <w:sz w:val="20"/>
                <w:szCs w:val="20"/>
                <w:lang w:val="pt-BR" w:eastAsia="zh-CN"/>
              </w:rPr>
            </w:pPr>
            <w:r w:rsidRPr="009B0D84">
              <w:rPr>
                <w:sz w:val="20"/>
                <w:szCs w:val="20"/>
                <w:lang w:val="pt-BR" w:eastAsia="zh-CN"/>
              </w:rPr>
              <w:t>2,05</w:t>
            </w:r>
            <w:r w:rsidRPr="009B0D84">
              <w:rPr>
                <w:sz w:val="20"/>
                <w:szCs w:val="20"/>
                <w:vertAlign w:val="superscript"/>
                <w:lang w:val="pt-BR" w:eastAsia="zh-CN"/>
              </w:rPr>
              <w:t>ns</w:t>
            </w:r>
          </w:p>
        </w:tc>
        <w:tc>
          <w:tcPr>
            <w:tcW w:w="798" w:type="dxa"/>
            <w:tcBorders>
              <w:bottom w:val="single" w:sz="4" w:space="0" w:color="auto"/>
            </w:tcBorders>
          </w:tcPr>
          <w:p w14:paraId="35756852" w14:textId="77777777" w:rsidR="009B0D84" w:rsidRPr="009B0D84" w:rsidRDefault="009B0D84" w:rsidP="009B0D84">
            <w:pPr>
              <w:widowControl/>
              <w:autoSpaceDE/>
              <w:autoSpaceDN/>
              <w:ind w:right="-108" w:hanging="111"/>
              <w:contextualSpacing/>
              <w:jc w:val="center"/>
              <w:rPr>
                <w:rFonts w:eastAsia="Calibri"/>
                <w:bCs/>
                <w:iCs/>
                <w:sz w:val="20"/>
                <w:szCs w:val="20"/>
                <w:lang w:val="pt-BR" w:eastAsia="pt-BR"/>
              </w:rPr>
            </w:pPr>
            <w:r w:rsidRPr="009B0D84">
              <w:rPr>
                <w:rFonts w:eastAsia="Calibri"/>
                <w:bCs/>
                <w:iCs/>
                <w:sz w:val="20"/>
                <w:szCs w:val="20"/>
                <w:lang w:val="pt-BR" w:eastAsia="pt-BR"/>
              </w:rPr>
              <w:t>1,62</w:t>
            </w:r>
            <w:r w:rsidRPr="009B0D84">
              <w:rPr>
                <w:rFonts w:eastAsia="Calibri"/>
                <w:bCs/>
                <w:iCs/>
                <w:sz w:val="20"/>
                <w:szCs w:val="20"/>
                <w:vertAlign w:val="superscript"/>
                <w:lang w:val="pt-BR" w:eastAsia="pt-BR"/>
              </w:rPr>
              <w:t>ns</w:t>
            </w:r>
          </w:p>
        </w:tc>
        <w:tc>
          <w:tcPr>
            <w:tcW w:w="799" w:type="dxa"/>
            <w:tcBorders>
              <w:bottom w:val="single" w:sz="4" w:space="0" w:color="auto"/>
            </w:tcBorders>
          </w:tcPr>
          <w:p w14:paraId="742FD359" w14:textId="77777777" w:rsidR="009B0D84" w:rsidRPr="009B0D84" w:rsidRDefault="009B0D84" w:rsidP="009B0D84">
            <w:pPr>
              <w:adjustRightInd w:val="0"/>
              <w:ind w:right="-158" w:hanging="135"/>
              <w:contextualSpacing/>
              <w:jc w:val="center"/>
              <w:rPr>
                <w:rFonts w:eastAsia="Calibri"/>
                <w:sz w:val="20"/>
                <w:szCs w:val="20"/>
                <w:lang w:val="pt-BR"/>
              </w:rPr>
            </w:pPr>
            <w:r w:rsidRPr="009B0D84">
              <w:rPr>
                <w:rFonts w:eastAsia="Calibri"/>
                <w:sz w:val="20"/>
                <w:szCs w:val="20"/>
                <w:lang w:val="pt-BR"/>
              </w:rPr>
              <w:t>7,71**</w:t>
            </w:r>
          </w:p>
        </w:tc>
        <w:tc>
          <w:tcPr>
            <w:tcW w:w="798" w:type="dxa"/>
            <w:tcBorders>
              <w:bottom w:val="single" w:sz="4" w:space="0" w:color="auto"/>
            </w:tcBorders>
          </w:tcPr>
          <w:p w14:paraId="69CBFB0F" w14:textId="77777777" w:rsidR="009B0D84" w:rsidRPr="009B0D84" w:rsidRDefault="009B0D84" w:rsidP="009B0D84">
            <w:pPr>
              <w:widowControl/>
              <w:autoSpaceDE/>
              <w:autoSpaceDN/>
              <w:ind w:right="-167" w:hanging="168"/>
              <w:contextualSpacing/>
              <w:jc w:val="center"/>
              <w:rPr>
                <w:rFonts w:eastAsia="Calibri"/>
                <w:sz w:val="20"/>
                <w:szCs w:val="20"/>
                <w:lang w:val="pt-BR" w:eastAsia="zh-CN"/>
              </w:rPr>
            </w:pPr>
            <w:r w:rsidRPr="009B0D84">
              <w:rPr>
                <w:rFonts w:eastAsia="Calibri"/>
                <w:sz w:val="20"/>
                <w:szCs w:val="20"/>
                <w:lang w:val="pt-BR" w:eastAsia="zh-CN"/>
              </w:rPr>
              <w:t>8,74**</w:t>
            </w:r>
          </w:p>
        </w:tc>
        <w:tc>
          <w:tcPr>
            <w:tcW w:w="799" w:type="dxa"/>
            <w:tcBorders>
              <w:bottom w:val="single" w:sz="4" w:space="0" w:color="auto"/>
            </w:tcBorders>
          </w:tcPr>
          <w:p w14:paraId="516B66DC" w14:textId="77777777" w:rsidR="009B0D84" w:rsidRPr="009B0D84" w:rsidRDefault="009B0D84" w:rsidP="009B0D84">
            <w:pPr>
              <w:adjustRightInd w:val="0"/>
              <w:ind w:right="-79" w:hanging="167"/>
              <w:contextualSpacing/>
              <w:jc w:val="center"/>
              <w:rPr>
                <w:rFonts w:eastAsia="Calibri"/>
                <w:sz w:val="20"/>
                <w:szCs w:val="20"/>
                <w:lang w:val="pt-BR"/>
              </w:rPr>
            </w:pPr>
            <w:r w:rsidRPr="009B0D84">
              <w:rPr>
                <w:rFonts w:eastAsia="Calibri"/>
                <w:sz w:val="20"/>
                <w:szCs w:val="20"/>
                <w:lang w:val="pt-BR"/>
              </w:rPr>
              <w:t xml:space="preserve"> 6,81**</w:t>
            </w:r>
          </w:p>
        </w:tc>
        <w:tc>
          <w:tcPr>
            <w:tcW w:w="975" w:type="dxa"/>
            <w:tcBorders>
              <w:bottom w:val="single" w:sz="4" w:space="0" w:color="auto"/>
            </w:tcBorders>
          </w:tcPr>
          <w:p w14:paraId="2055DBCB" w14:textId="77777777" w:rsidR="009B0D84" w:rsidRPr="009B0D84" w:rsidRDefault="009B0D84" w:rsidP="009B0D84">
            <w:pPr>
              <w:widowControl/>
              <w:autoSpaceDE/>
              <w:autoSpaceDN/>
              <w:ind w:right="-87" w:hanging="90"/>
              <w:contextualSpacing/>
              <w:jc w:val="center"/>
              <w:rPr>
                <w:sz w:val="20"/>
                <w:szCs w:val="20"/>
                <w:lang w:val="pt-BR" w:eastAsia="zh-CN"/>
              </w:rPr>
            </w:pPr>
            <w:r w:rsidRPr="009B0D84">
              <w:rPr>
                <w:sz w:val="20"/>
                <w:szCs w:val="20"/>
                <w:lang w:val="pt-BR" w:eastAsia="zh-CN"/>
              </w:rPr>
              <w:t>7,17</w:t>
            </w:r>
            <w:r w:rsidRPr="009B0D84">
              <w:rPr>
                <w:sz w:val="20"/>
                <w:szCs w:val="20"/>
                <w:vertAlign w:val="superscript"/>
                <w:lang w:val="pt-BR" w:eastAsia="zh-CN"/>
              </w:rPr>
              <w:t>ns</w:t>
            </w:r>
          </w:p>
        </w:tc>
      </w:tr>
      <w:tr w:rsidR="0006372B" w:rsidRPr="009B0D84" w14:paraId="76AEB8AB" w14:textId="77777777" w:rsidTr="007A7ED3">
        <w:trPr>
          <w:jc w:val="center"/>
        </w:trPr>
        <w:tc>
          <w:tcPr>
            <w:tcW w:w="1678" w:type="dxa"/>
            <w:tcBorders>
              <w:top w:val="single" w:sz="4" w:space="0" w:color="auto"/>
            </w:tcBorders>
            <w:vAlign w:val="bottom"/>
          </w:tcPr>
          <w:p w14:paraId="0C5D47C7" w14:textId="77777777" w:rsidR="009B0D84" w:rsidRPr="009B0D84" w:rsidRDefault="009B0D84" w:rsidP="009B0D84">
            <w:pPr>
              <w:widowControl/>
              <w:autoSpaceDE/>
              <w:autoSpaceDN/>
              <w:ind w:right="-108"/>
              <w:contextualSpacing/>
              <w:jc w:val="both"/>
              <w:rPr>
                <w:rFonts w:eastAsia="Calibri"/>
                <w:bCs/>
                <w:iCs/>
                <w:sz w:val="20"/>
                <w:szCs w:val="20"/>
                <w:lang w:val="pt-BR" w:eastAsia="pt-BR"/>
              </w:rPr>
            </w:pPr>
            <w:r w:rsidRPr="009B0D84">
              <w:rPr>
                <w:sz w:val="20"/>
                <w:szCs w:val="20"/>
                <w:lang w:val="pt-BR" w:eastAsia="pt-BR"/>
              </w:rPr>
              <w:t>CV% para F</w:t>
            </w:r>
          </w:p>
        </w:tc>
        <w:tc>
          <w:tcPr>
            <w:tcW w:w="798" w:type="dxa"/>
            <w:tcBorders>
              <w:top w:val="single" w:sz="4" w:space="0" w:color="auto"/>
            </w:tcBorders>
          </w:tcPr>
          <w:p w14:paraId="719757A9" w14:textId="77777777" w:rsidR="009B0D84" w:rsidRPr="009B0D84" w:rsidRDefault="009B0D84" w:rsidP="009B0D84">
            <w:pPr>
              <w:widowControl/>
              <w:autoSpaceDE/>
              <w:autoSpaceDN/>
              <w:ind w:right="-100" w:hanging="86"/>
              <w:contextualSpacing/>
              <w:jc w:val="center"/>
              <w:rPr>
                <w:rFonts w:eastAsia="Calibri"/>
                <w:sz w:val="20"/>
                <w:szCs w:val="20"/>
                <w:lang w:val="pt-BR"/>
              </w:rPr>
            </w:pPr>
            <w:r w:rsidRPr="009B0D84">
              <w:rPr>
                <w:rFonts w:eastAsia="Calibri"/>
                <w:sz w:val="20"/>
                <w:szCs w:val="20"/>
                <w:lang w:val="pt-BR"/>
              </w:rPr>
              <w:t>1,15</w:t>
            </w:r>
          </w:p>
        </w:tc>
        <w:tc>
          <w:tcPr>
            <w:tcW w:w="798" w:type="dxa"/>
            <w:tcBorders>
              <w:top w:val="single" w:sz="4" w:space="0" w:color="auto"/>
            </w:tcBorders>
          </w:tcPr>
          <w:p w14:paraId="560ADB57" w14:textId="77777777" w:rsidR="009B0D84" w:rsidRPr="009B0D84" w:rsidRDefault="009B0D84" w:rsidP="009B0D84">
            <w:pPr>
              <w:widowControl/>
              <w:autoSpaceDE/>
              <w:autoSpaceDN/>
              <w:ind w:right="-46"/>
              <w:contextualSpacing/>
              <w:jc w:val="center"/>
              <w:rPr>
                <w:rFonts w:eastAsia="Calibri"/>
                <w:sz w:val="20"/>
                <w:szCs w:val="20"/>
                <w:lang w:val="pt-BR"/>
              </w:rPr>
            </w:pPr>
            <w:r w:rsidRPr="009B0D84">
              <w:rPr>
                <w:rFonts w:eastAsia="Calibri"/>
                <w:sz w:val="20"/>
                <w:szCs w:val="20"/>
                <w:lang w:val="pt-BR"/>
              </w:rPr>
              <w:t>7,63</w:t>
            </w:r>
          </w:p>
        </w:tc>
        <w:tc>
          <w:tcPr>
            <w:tcW w:w="799" w:type="dxa"/>
            <w:tcBorders>
              <w:top w:val="single" w:sz="4" w:space="0" w:color="auto"/>
            </w:tcBorders>
          </w:tcPr>
          <w:p w14:paraId="798D76A3" w14:textId="77777777" w:rsidR="009B0D84" w:rsidRPr="009B0D84" w:rsidRDefault="009B0D84" w:rsidP="009B0D84">
            <w:pPr>
              <w:widowControl/>
              <w:autoSpaceDE/>
              <w:autoSpaceDN/>
              <w:ind w:right="-67" w:hanging="128"/>
              <w:contextualSpacing/>
              <w:jc w:val="center"/>
              <w:rPr>
                <w:rFonts w:eastAsia="Calibri"/>
                <w:sz w:val="20"/>
                <w:szCs w:val="20"/>
                <w:lang w:val="pt-BR"/>
              </w:rPr>
            </w:pPr>
            <w:r w:rsidRPr="009B0D84">
              <w:rPr>
                <w:rFonts w:eastAsia="Calibri"/>
                <w:sz w:val="20"/>
                <w:szCs w:val="20"/>
                <w:lang w:val="pt-BR"/>
              </w:rPr>
              <w:t>8,14</w:t>
            </w:r>
          </w:p>
        </w:tc>
        <w:tc>
          <w:tcPr>
            <w:tcW w:w="798" w:type="dxa"/>
            <w:tcBorders>
              <w:top w:val="single" w:sz="4" w:space="0" w:color="auto"/>
            </w:tcBorders>
          </w:tcPr>
          <w:p w14:paraId="430D49D8" w14:textId="77777777" w:rsidR="009B0D84" w:rsidRPr="009B0D84" w:rsidRDefault="009B0D84" w:rsidP="009B0D84">
            <w:pPr>
              <w:widowControl/>
              <w:tabs>
                <w:tab w:val="center" w:pos="472"/>
              </w:tabs>
              <w:autoSpaceDE/>
              <w:autoSpaceDN/>
              <w:ind w:right="-144" w:hanging="149"/>
              <w:contextualSpacing/>
              <w:jc w:val="center"/>
              <w:rPr>
                <w:rFonts w:eastAsia="Calibri"/>
                <w:sz w:val="20"/>
                <w:szCs w:val="20"/>
                <w:lang w:val="pt-BR"/>
              </w:rPr>
            </w:pPr>
            <w:r w:rsidRPr="009B0D84">
              <w:rPr>
                <w:rFonts w:eastAsia="Calibri"/>
                <w:sz w:val="20"/>
                <w:szCs w:val="20"/>
                <w:lang w:val="pt-BR"/>
              </w:rPr>
              <w:t>11,25</w:t>
            </w:r>
          </w:p>
        </w:tc>
        <w:tc>
          <w:tcPr>
            <w:tcW w:w="798" w:type="dxa"/>
            <w:tcBorders>
              <w:top w:val="single" w:sz="4" w:space="0" w:color="auto"/>
            </w:tcBorders>
          </w:tcPr>
          <w:p w14:paraId="6FD6BC68" w14:textId="77777777" w:rsidR="009B0D84" w:rsidRPr="009B0D84" w:rsidRDefault="009B0D84" w:rsidP="009B0D84">
            <w:pPr>
              <w:widowControl/>
              <w:autoSpaceDE/>
              <w:autoSpaceDN/>
              <w:ind w:right="-108" w:hanging="111"/>
              <w:contextualSpacing/>
              <w:jc w:val="center"/>
              <w:rPr>
                <w:rFonts w:eastAsia="Calibri"/>
                <w:bCs/>
                <w:iCs/>
                <w:sz w:val="20"/>
                <w:szCs w:val="20"/>
                <w:lang w:val="pt-BR" w:eastAsia="pt-BR"/>
              </w:rPr>
            </w:pPr>
            <w:r w:rsidRPr="009B0D84">
              <w:rPr>
                <w:rFonts w:eastAsia="Calibri"/>
                <w:bCs/>
                <w:iCs/>
                <w:sz w:val="20"/>
                <w:szCs w:val="20"/>
                <w:lang w:val="pt-BR" w:eastAsia="pt-BR"/>
              </w:rPr>
              <w:t>9,98</w:t>
            </w:r>
          </w:p>
        </w:tc>
        <w:tc>
          <w:tcPr>
            <w:tcW w:w="799" w:type="dxa"/>
            <w:tcBorders>
              <w:top w:val="single" w:sz="4" w:space="0" w:color="auto"/>
            </w:tcBorders>
          </w:tcPr>
          <w:p w14:paraId="1C06D2ED" w14:textId="77777777" w:rsidR="009B0D84" w:rsidRPr="009B0D84" w:rsidRDefault="009B0D84" w:rsidP="009B0D84">
            <w:pPr>
              <w:widowControl/>
              <w:autoSpaceDE/>
              <w:autoSpaceDN/>
              <w:ind w:right="-158" w:hanging="135"/>
              <w:contextualSpacing/>
              <w:jc w:val="center"/>
              <w:rPr>
                <w:rFonts w:eastAsia="Calibri"/>
                <w:sz w:val="20"/>
                <w:szCs w:val="20"/>
                <w:lang w:val="pt-BR"/>
              </w:rPr>
            </w:pPr>
            <w:r w:rsidRPr="009B0D84">
              <w:rPr>
                <w:rFonts w:eastAsia="Calibri"/>
                <w:sz w:val="20"/>
                <w:szCs w:val="20"/>
                <w:lang w:val="pt-BR"/>
              </w:rPr>
              <w:t>14,38</w:t>
            </w:r>
          </w:p>
        </w:tc>
        <w:tc>
          <w:tcPr>
            <w:tcW w:w="798" w:type="dxa"/>
            <w:tcBorders>
              <w:top w:val="single" w:sz="4" w:space="0" w:color="auto"/>
            </w:tcBorders>
          </w:tcPr>
          <w:p w14:paraId="4CD68C5D" w14:textId="77777777" w:rsidR="009B0D84" w:rsidRPr="009B0D84" w:rsidRDefault="009B0D84" w:rsidP="009B0D84">
            <w:pPr>
              <w:widowControl/>
              <w:autoSpaceDE/>
              <w:autoSpaceDN/>
              <w:contextualSpacing/>
              <w:jc w:val="center"/>
              <w:rPr>
                <w:rFonts w:eastAsia="Calibri"/>
                <w:sz w:val="20"/>
                <w:szCs w:val="20"/>
                <w:lang w:val="pt-BR"/>
              </w:rPr>
            </w:pPr>
            <w:r w:rsidRPr="009B0D84">
              <w:rPr>
                <w:rFonts w:eastAsia="Calibri"/>
                <w:sz w:val="20"/>
                <w:szCs w:val="20"/>
                <w:lang w:val="pt-BR"/>
              </w:rPr>
              <w:t>14,66</w:t>
            </w:r>
          </w:p>
        </w:tc>
        <w:tc>
          <w:tcPr>
            <w:tcW w:w="799" w:type="dxa"/>
            <w:tcBorders>
              <w:top w:val="single" w:sz="4" w:space="0" w:color="auto"/>
            </w:tcBorders>
          </w:tcPr>
          <w:p w14:paraId="5DD3A373" w14:textId="77777777" w:rsidR="009B0D84" w:rsidRPr="009B0D84" w:rsidRDefault="009B0D84" w:rsidP="009B0D84">
            <w:pPr>
              <w:widowControl/>
              <w:autoSpaceDE/>
              <w:autoSpaceDN/>
              <w:ind w:right="-79" w:hanging="167"/>
              <w:contextualSpacing/>
              <w:jc w:val="center"/>
              <w:rPr>
                <w:rFonts w:eastAsia="Calibri"/>
                <w:sz w:val="20"/>
                <w:szCs w:val="20"/>
                <w:lang w:val="pt-BR"/>
              </w:rPr>
            </w:pPr>
            <w:r w:rsidRPr="009B0D84">
              <w:rPr>
                <w:rFonts w:eastAsia="Calibri"/>
                <w:sz w:val="20"/>
                <w:szCs w:val="20"/>
                <w:lang w:val="pt-BR"/>
              </w:rPr>
              <w:t>1,59</w:t>
            </w:r>
          </w:p>
        </w:tc>
        <w:tc>
          <w:tcPr>
            <w:tcW w:w="975" w:type="dxa"/>
            <w:tcBorders>
              <w:top w:val="single" w:sz="4" w:space="0" w:color="auto"/>
            </w:tcBorders>
          </w:tcPr>
          <w:p w14:paraId="1B32608D" w14:textId="77777777" w:rsidR="009B0D84" w:rsidRPr="009B0D84" w:rsidRDefault="009B0D84" w:rsidP="009B0D84">
            <w:pPr>
              <w:widowControl/>
              <w:tabs>
                <w:tab w:val="center" w:pos="472"/>
              </w:tabs>
              <w:autoSpaceDE/>
              <w:autoSpaceDN/>
              <w:ind w:right="-87" w:hanging="90"/>
              <w:contextualSpacing/>
              <w:jc w:val="center"/>
              <w:rPr>
                <w:rFonts w:eastAsia="Calibri"/>
                <w:sz w:val="20"/>
                <w:szCs w:val="20"/>
                <w:lang w:val="pt-BR"/>
              </w:rPr>
            </w:pPr>
            <w:r w:rsidRPr="009B0D84">
              <w:rPr>
                <w:rFonts w:eastAsia="Calibri"/>
                <w:sz w:val="20"/>
                <w:szCs w:val="20"/>
                <w:lang w:val="pt-BR"/>
              </w:rPr>
              <w:t>20,68</w:t>
            </w:r>
          </w:p>
        </w:tc>
      </w:tr>
      <w:tr w:rsidR="0006372B" w:rsidRPr="009B0D84" w14:paraId="0709EC84" w14:textId="77777777" w:rsidTr="007A7ED3">
        <w:trPr>
          <w:jc w:val="center"/>
        </w:trPr>
        <w:tc>
          <w:tcPr>
            <w:tcW w:w="1678" w:type="dxa"/>
            <w:tcBorders>
              <w:bottom w:val="single" w:sz="4" w:space="0" w:color="auto"/>
            </w:tcBorders>
            <w:vAlign w:val="bottom"/>
          </w:tcPr>
          <w:p w14:paraId="27EF61D9" w14:textId="77777777" w:rsidR="009B0D84" w:rsidRPr="009B0D84" w:rsidRDefault="009B0D84" w:rsidP="009B0D84">
            <w:pPr>
              <w:widowControl/>
              <w:autoSpaceDE/>
              <w:autoSpaceDN/>
              <w:ind w:right="-108"/>
              <w:contextualSpacing/>
              <w:jc w:val="both"/>
              <w:rPr>
                <w:rFonts w:eastAsia="Calibri"/>
                <w:bCs/>
                <w:iCs/>
                <w:sz w:val="20"/>
                <w:szCs w:val="20"/>
                <w:lang w:val="pt-BR"/>
              </w:rPr>
            </w:pPr>
            <w:r w:rsidRPr="009B0D84">
              <w:rPr>
                <w:sz w:val="20"/>
                <w:szCs w:val="20"/>
                <w:lang w:val="pt-BR" w:eastAsia="pt-BR"/>
              </w:rPr>
              <w:t>CV% para D</w:t>
            </w:r>
          </w:p>
        </w:tc>
        <w:tc>
          <w:tcPr>
            <w:tcW w:w="798" w:type="dxa"/>
            <w:tcBorders>
              <w:bottom w:val="single" w:sz="4" w:space="0" w:color="auto"/>
            </w:tcBorders>
          </w:tcPr>
          <w:p w14:paraId="258980B3" w14:textId="77777777" w:rsidR="009B0D84" w:rsidRPr="009B0D84" w:rsidRDefault="009B0D84" w:rsidP="009B0D84">
            <w:pPr>
              <w:widowControl/>
              <w:autoSpaceDE/>
              <w:autoSpaceDN/>
              <w:ind w:right="-100" w:hanging="86"/>
              <w:contextualSpacing/>
              <w:jc w:val="center"/>
              <w:rPr>
                <w:rFonts w:eastAsia="Calibri"/>
                <w:sz w:val="20"/>
                <w:szCs w:val="20"/>
                <w:lang w:val="pt-BR"/>
              </w:rPr>
            </w:pPr>
            <w:r w:rsidRPr="009B0D84">
              <w:rPr>
                <w:rFonts w:eastAsia="Calibri"/>
                <w:sz w:val="20"/>
                <w:szCs w:val="20"/>
                <w:lang w:val="pt-BR"/>
              </w:rPr>
              <w:t>1,30</w:t>
            </w:r>
          </w:p>
        </w:tc>
        <w:tc>
          <w:tcPr>
            <w:tcW w:w="798" w:type="dxa"/>
            <w:tcBorders>
              <w:bottom w:val="single" w:sz="4" w:space="0" w:color="auto"/>
            </w:tcBorders>
          </w:tcPr>
          <w:p w14:paraId="271B15B7" w14:textId="77777777" w:rsidR="009B0D84" w:rsidRPr="009B0D84" w:rsidRDefault="009B0D84" w:rsidP="009B0D84">
            <w:pPr>
              <w:widowControl/>
              <w:autoSpaceDE/>
              <w:autoSpaceDN/>
              <w:ind w:right="-46"/>
              <w:contextualSpacing/>
              <w:jc w:val="center"/>
              <w:rPr>
                <w:rFonts w:eastAsia="Calibri"/>
                <w:sz w:val="20"/>
                <w:szCs w:val="20"/>
                <w:lang w:val="pt-BR"/>
              </w:rPr>
            </w:pPr>
            <w:r w:rsidRPr="009B0D84">
              <w:rPr>
                <w:rFonts w:eastAsia="Calibri"/>
                <w:sz w:val="20"/>
                <w:szCs w:val="20"/>
                <w:lang w:val="pt-BR"/>
              </w:rPr>
              <w:t>5,66</w:t>
            </w:r>
          </w:p>
        </w:tc>
        <w:tc>
          <w:tcPr>
            <w:tcW w:w="799" w:type="dxa"/>
            <w:tcBorders>
              <w:bottom w:val="single" w:sz="4" w:space="0" w:color="auto"/>
            </w:tcBorders>
          </w:tcPr>
          <w:p w14:paraId="551CDA48" w14:textId="77777777" w:rsidR="009B0D84" w:rsidRPr="009B0D84" w:rsidRDefault="009B0D84" w:rsidP="009B0D84">
            <w:pPr>
              <w:widowControl/>
              <w:autoSpaceDE/>
              <w:autoSpaceDN/>
              <w:ind w:right="-67" w:hanging="128"/>
              <w:contextualSpacing/>
              <w:jc w:val="center"/>
              <w:rPr>
                <w:rFonts w:eastAsia="Calibri"/>
                <w:sz w:val="20"/>
                <w:szCs w:val="20"/>
                <w:lang w:val="pt-BR"/>
              </w:rPr>
            </w:pPr>
            <w:r w:rsidRPr="009B0D84">
              <w:rPr>
                <w:rFonts w:eastAsia="Calibri"/>
                <w:sz w:val="20"/>
                <w:szCs w:val="20"/>
                <w:lang w:val="pt-BR"/>
              </w:rPr>
              <w:t>9,62</w:t>
            </w:r>
          </w:p>
        </w:tc>
        <w:tc>
          <w:tcPr>
            <w:tcW w:w="798" w:type="dxa"/>
            <w:tcBorders>
              <w:bottom w:val="single" w:sz="4" w:space="0" w:color="auto"/>
            </w:tcBorders>
          </w:tcPr>
          <w:p w14:paraId="4EEEDCF7" w14:textId="77777777" w:rsidR="009B0D84" w:rsidRPr="009B0D84" w:rsidRDefault="009B0D84" w:rsidP="009B0D84">
            <w:pPr>
              <w:widowControl/>
              <w:tabs>
                <w:tab w:val="center" w:pos="472"/>
              </w:tabs>
              <w:autoSpaceDE/>
              <w:autoSpaceDN/>
              <w:ind w:right="-144" w:hanging="149"/>
              <w:contextualSpacing/>
              <w:jc w:val="center"/>
              <w:rPr>
                <w:rFonts w:eastAsia="Calibri"/>
                <w:sz w:val="20"/>
                <w:szCs w:val="20"/>
                <w:lang w:val="pt-BR"/>
              </w:rPr>
            </w:pPr>
            <w:r w:rsidRPr="009B0D84">
              <w:rPr>
                <w:rFonts w:eastAsia="Calibri"/>
                <w:sz w:val="20"/>
                <w:szCs w:val="20"/>
                <w:lang w:val="pt-BR"/>
              </w:rPr>
              <w:t>7,84</w:t>
            </w:r>
          </w:p>
        </w:tc>
        <w:tc>
          <w:tcPr>
            <w:tcW w:w="798" w:type="dxa"/>
            <w:tcBorders>
              <w:bottom w:val="single" w:sz="4" w:space="0" w:color="auto"/>
            </w:tcBorders>
          </w:tcPr>
          <w:p w14:paraId="3C9FBD48" w14:textId="77777777" w:rsidR="009B0D84" w:rsidRPr="009B0D84" w:rsidRDefault="009B0D84" w:rsidP="009B0D84">
            <w:pPr>
              <w:widowControl/>
              <w:autoSpaceDE/>
              <w:autoSpaceDN/>
              <w:ind w:right="-108" w:hanging="111"/>
              <w:contextualSpacing/>
              <w:jc w:val="center"/>
              <w:rPr>
                <w:rFonts w:eastAsia="Calibri"/>
                <w:bCs/>
                <w:iCs/>
                <w:sz w:val="20"/>
                <w:szCs w:val="20"/>
                <w:lang w:val="pt-BR" w:eastAsia="pt-BR"/>
              </w:rPr>
            </w:pPr>
            <w:r w:rsidRPr="009B0D84">
              <w:rPr>
                <w:rFonts w:eastAsia="Calibri"/>
                <w:bCs/>
                <w:iCs/>
                <w:sz w:val="20"/>
                <w:szCs w:val="20"/>
                <w:lang w:val="pt-BR" w:eastAsia="pt-BR"/>
              </w:rPr>
              <w:t>9,90</w:t>
            </w:r>
          </w:p>
        </w:tc>
        <w:tc>
          <w:tcPr>
            <w:tcW w:w="799" w:type="dxa"/>
            <w:tcBorders>
              <w:bottom w:val="single" w:sz="4" w:space="0" w:color="auto"/>
            </w:tcBorders>
          </w:tcPr>
          <w:p w14:paraId="572D4CEB" w14:textId="77777777" w:rsidR="009B0D84" w:rsidRPr="009B0D84" w:rsidRDefault="009B0D84" w:rsidP="009B0D84">
            <w:pPr>
              <w:widowControl/>
              <w:autoSpaceDE/>
              <w:autoSpaceDN/>
              <w:ind w:right="-158" w:hanging="135"/>
              <w:contextualSpacing/>
              <w:jc w:val="center"/>
              <w:rPr>
                <w:rFonts w:eastAsia="Calibri"/>
                <w:sz w:val="20"/>
                <w:szCs w:val="20"/>
                <w:lang w:val="pt-BR"/>
              </w:rPr>
            </w:pPr>
            <w:r w:rsidRPr="009B0D84">
              <w:rPr>
                <w:rFonts w:eastAsia="Calibri"/>
                <w:sz w:val="20"/>
                <w:szCs w:val="20"/>
                <w:lang w:val="pt-BR"/>
              </w:rPr>
              <w:t>13,91</w:t>
            </w:r>
          </w:p>
        </w:tc>
        <w:tc>
          <w:tcPr>
            <w:tcW w:w="798" w:type="dxa"/>
            <w:tcBorders>
              <w:bottom w:val="single" w:sz="4" w:space="0" w:color="auto"/>
            </w:tcBorders>
          </w:tcPr>
          <w:p w14:paraId="7FECC46F" w14:textId="77777777" w:rsidR="009B0D84" w:rsidRPr="009B0D84" w:rsidRDefault="009B0D84" w:rsidP="009B0D84">
            <w:pPr>
              <w:widowControl/>
              <w:autoSpaceDE/>
              <w:autoSpaceDN/>
              <w:contextualSpacing/>
              <w:jc w:val="center"/>
              <w:rPr>
                <w:rFonts w:eastAsia="Calibri"/>
                <w:sz w:val="20"/>
                <w:szCs w:val="20"/>
                <w:lang w:val="pt-BR"/>
              </w:rPr>
            </w:pPr>
            <w:r w:rsidRPr="009B0D84">
              <w:rPr>
                <w:rFonts w:eastAsia="Calibri"/>
                <w:sz w:val="20"/>
                <w:szCs w:val="20"/>
                <w:lang w:val="pt-BR"/>
              </w:rPr>
              <w:t>15,69</w:t>
            </w:r>
          </w:p>
        </w:tc>
        <w:tc>
          <w:tcPr>
            <w:tcW w:w="799" w:type="dxa"/>
            <w:tcBorders>
              <w:bottom w:val="single" w:sz="4" w:space="0" w:color="auto"/>
            </w:tcBorders>
          </w:tcPr>
          <w:p w14:paraId="3938DA33" w14:textId="77777777" w:rsidR="009B0D84" w:rsidRPr="009B0D84" w:rsidRDefault="009B0D84" w:rsidP="009B0D84">
            <w:pPr>
              <w:widowControl/>
              <w:autoSpaceDE/>
              <w:autoSpaceDN/>
              <w:ind w:right="-79" w:hanging="167"/>
              <w:contextualSpacing/>
              <w:jc w:val="center"/>
              <w:rPr>
                <w:rFonts w:eastAsia="Calibri"/>
                <w:sz w:val="20"/>
                <w:szCs w:val="20"/>
                <w:lang w:val="pt-BR"/>
              </w:rPr>
            </w:pPr>
            <w:r w:rsidRPr="009B0D84">
              <w:rPr>
                <w:rFonts w:eastAsia="Calibri"/>
                <w:sz w:val="20"/>
                <w:szCs w:val="20"/>
                <w:lang w:val="pt-BR"/>
              </w:rPr>
              <w:t>1,56</w:t>
            </w:r>
          </w:p>
        </w:tc>
        <w:tc>
          <w:tcPr>
            <w:tcW w:w="975" w:type="dxa"/>
            <w:tcBorders>
              <w:bottom w:val="single" w:sz="4" w:space="0" w:color="auto"/>
            </w:tcBorders>
          </w:tcPr>
          <w:p w14:paraId="5517A460" w14:textId="77777777" w:rsidR="009B0D84" w:rsidRPr="009B0D84" w:rsidRDefault="009B0D84" w:rsidP="009B0D84">
            <w:pPr>
              <w:widowControl/>
              <w:tabs>
                <w:tab w:val="center" w:pos="472"/>
              </w:tabs>
              <w:autoSpaceDE/>
              <w:autoSpaceDN/>
              <w:ind w:right="-87" w:hanging="90"/>
              <w:contextualSpacing/>
              <w:jc w:val="center"/>
              <w:rPr>
                <w:rFonts w:eastAsia="Calibri"/>
                <w:sz w:val="20"/>
                <w:szCs w:val="20"/>
                <w:lang w:val="pt-BR"/>
              </w:rPr>
            </w:pPr>
            <w:r w:rsidRPr="009B0D84">
              <w:rPr>
                <w:rFonts w:eastAsia="Calibri"/>
                <w:sz w:val="20"/>
                <w:szCs w:val="20"/>
                <w:lang w:val="pt-BR"/>
              </w:rPr>
              <w:t>18,04</w:t>
            </w:r>
          </w:p>
        </w:tc>
      </w:tr>
      <w:tr w:rsidR="0006372B" w:rsidRPr="009B0D84" w14:paraId="3734FCFF" w14:textId="77777777" w:rsidTr="007A7ED3">
        <w:trPr>
          <w:trHeight w:val="64"/>
          <w:jc w:val="center"/>
        </w:trPr>
        <w:tc>
          <w:tcPr>
            <w:tcW w:w="9040" w:type="dxa"/>
            <w:gridSpan w:val="10"/>
            <w:tcBorders>
              <w:top w:val="single" w:sz="4" w:space="0" w:color="auto"/>
            </w:tcBorders>
          </w:tcPr>
          <w:p w14:paraId="22C33E2D" w14:textId="77777777" w:rsidR="009B0D84" w:rsidRPr="009B0D84" w:rsidRDefault="009B0D84" w:rsidP="009B0D84">
            <w:pPr>
              <w:widowControl/>
              <w:autoSpaceDE/>
              <w:autoSpaceDN/>
              <w:contextualSpacing/>
              <w:jc w:val="both"/>
              <w:rPr>
                <w:rFonts w:eastAsia="Calibri"/>
                <w:sz w:val="20"/>
                <w:szCs w:val="20"/>
                <w:lang w:val="pt-BR"/>
              </w:rPr>
            </w:pPr>
            <w:r w:rsidRPr="009B0D84">
              <w:rPr>
                <w:rFonts w:eastAsia="Calibri"/>
                <w:sz w:val="20"/>
                <w:szCs w:val="20"/>
                <w:lang w:val="pt-BR"/>
              </w:rPr>
              <w:t>* = Significativo (p&lt;0,01);</w:t>
            </w:r>
            <w:r w:rsidRPr="009B0D84">
              <w:rPr>
                <w:rFonts w:eastAsia="Calibri"/>
                <w:sz w:val="20"/>
                <w:szCs w:val="20"/>
                <w:vertAlign w:val="superscript"/>
                <w:lang w:val="pt-BR"/>
              </w:rPr>
              <w:t xml:space="preserve"> </w:t>
            </w:r>
            <w:r w:rsidRPr="009B0D84">
              <w:rPr>
                <w:rFonts w:eastAsia="Calibri"/>
                <w:sz w:val="20"/>
                <w:szCs w:val="20"/>
                <w:lang w:val="pt-BR"/>
              </w:rPr>
              <w:t>** = Significativo (p&lt;0,05);</w:t>
            </w:r>
            <w:r w:rsidRPr="009B0D84">
              <w:rPr>
                <w:rFonts w:eastAsia="Calibri"/>
                <w:sz w:val="20"/>
                <w:szCs w:val="20"/>
                <w:vertAlign w:val="superscript"/>
                <w:lang w:val="pt-BR"/>
              </w:rPr>
              <w:t xml:space="preserve"> </w:t>
            </w:r>
            <w:proofErr w:type="spellStart"/>
            <w:r w:rsidRPr="009B0D84">
              <w:rPr>
                <w:rFonts w:eastAsia="Calibri"/>
                <w:sz w:val="20"/>
                <w:szCs w:val="20"/>
                <w:vertAlign w:val="superscript"/>
                <w:lang w:val="pt-BR"/>
              </w:rPr>
              <w:t>ns</w:t>
            </w:r>
            <w:proofErr w:type="spellEnd"/>
            <w:r w:rsidRPr="009B0D84">
              <w:rPr>
                <w:rFonts w:eastAsia="Calibri"/>
                <w:sz w:val="20"/>
                <w:szCs w:val="20"/>
                <w:lang w:val="pt-BR"/>
              </w:rPr>
              <w:t xml:space="preserve"> = Não significativo</w:t>
            </w:r>
            <w:r w:rsidRPr="009B0D84">
              <w:rPr>
                <w:rFonts w:eastAsia="Calibri"/>
                <w:bCs/>
                <w:iCs/>
                <w:sz w:val="20"/>
                <w:szCs w:val="20"/>
                <w:lang w:val="pt-BR"/>
              </w:rPr>
              <w:t>. Médias seguidas de mesma letra minúscula na coluna comparam os atributos dentro de cada época, enquanto que as letras maiúsculas nas colunas comparam os atributos entre as épocas, que não diferem entre si pelo teste Scott-</w:t>
            </w:r>
            <w:proofErr w:type="spellStart"/>
            <w:r w:rsidRPr="009B0D84">
              <w:rPr>
                <w:rFonts w:eastAsia="Calibri"/>
                <w:bCs/>
                <w:iCs/>
                <w:sz w:val="20"/>
                <w:szCs w:val="20"/>
                <w:lang w:val="pt-BR"/>
              </w:rPr>
              <w:t>Knott</w:t>
            </w:r>
            <w:proofErr w:type="spellEnd"/>
            <w:r w:rsidRPr="009B0D84">
              <w:rPr>
                <w:rFonts w:eastAsia="Calibri"/>
                <w:bCs/>
                <w:iCs/>
                <w:sz w:val="20"/>
                <w:szCs w:val="20"/>
                <w:lang w:val="pt-BR"/>
              </w:rPr>
              <w:t xml:space="preserve"> (p&lt;0,05).   CV% = Coeficiente de variação; UM = Umidade; CZ = C</w:t>
            </w:r>
            <w:r w:rsidRPr="009B0D84">
              <w:rPr>
                <w:rFonts w:eastAsia="Calibri"/>
                <w:sz w:val="20"/>
                <w:szCs w:val="20"/>
                <w:lang w:val="pt-BR"/>
              </w:rPr>
              <w:t xml:space="preserve">inzas; LIP = Lipídeos; PTN = Proteínas; FB = Fibra bruta; SST = Sólidos solúveis totais; ATT = Acidez total </w:t>
            </w:r>
            <w:proofErr w:type="spellStart"/>
            <w:r w:rsidRPr="009B0D84">
              <w:rPr>
                <w:rFonts w:eastAsia="Calibri"/>
                <w:sz w:val="20"/>
                <w:szCs w:val="20"/>
                <w:lang w:val="pt-BR"/>
              </w:rPr>
              <w:t>titulável</w:t>
            </w:r>
            <w:proofErr w:type="spellEnd"/>
            <w:r w:rsidRPr="009B0D84">
              <w:rPr>
                <w:rFonts w:eastAsia="Calibri"/>
                <w:sz w:val="20"/>
                <w:szCs w:val="20"/>
                <w:lang w:val="pt-BR"/>
              </w:rPr>
              <w:t xml:space="preserve">; pH = Potencial hidrogeniônico (pH) e; AA </w:t>
            </w:r>
            <w:r w:rsidRPr="009B0D84">
              <w:rPr>
                <w:rFonts w:eastAsia="Calibri"/>
                <w:sz w:val="20"/>
                <w:szCs w:val="20"/>
                <w:lang w:val="pt-BR"/>
              </w:rPr>
              <w:lastRenderedPageBreak/>
              <w:t>= Ácido ascórbico.</w:t>
            </w:r>
          </w:p>
        </w:tc>
      </w:tr>
    </w:tbl>
    <w:p w14:paraId="2D89033A" w14:textId="7C4D92BC" w:rsidR="009B0D84" w:rsidRPr="0006372B" w:rsidRDefault="009B0D84" w:rsidP="004A1986">
      <w:pPr>
        <w:widowControl/>
        <w:autoSpaceDE/>
        <w:autoSpaceDN/>
        <w:jc w:val="both"/>
        <w:rPr>
          <w:rFonts w:eastAsia="Calibri"/>
          <w:sz w:val="20"/>
          <w:szCs w:val="20"/>
          <w:lang w:val="pt-BR"/>
        </w:rPr>
      </w:pPr>
    </w:p>
    <w:p w14:paraId="593F8AF6" w14:textId="77777777" w:rsidR="00BA0774" w:rsidRPr="0006372B" w:rsidRDefault="00BA0774" w:rsidP="004A1986">
      <w:pPr>
        <w:widowControl/>
        <w:autoSpaceDE/>
        <w:autoSpaceDN/>
        <w:spacing w:line="360" w:lineRule="auto"/>
        <w:ind w:firstLine="709"/>
        <w:jc w:val="both"/>
        <w:rPr>
          <w:sz w:val="24"/>
          <w:szCs w:val="24"/>
          <w:lang w:val="pt-BR" w:eastAsia="pt-BR"/>
        </w:rPr>
      </w:pPr>
      <w:r w:rsidRPr="004A1986">
        <w:rPr>
          <w:sz w:val="24"/>
          <w:szCs w:val="24"/>
          <w:lang w:val="pt-BR" w:eastAsia="pt-BR"/>
        </w:rPr>
        <w:t>Os teores de umidade, cinzas, proteínas, lipídeos, fibra bruta e ácido ascórbico não apresentaram diferenças significativas entre as fontes de fósforo, evidenciando que os fertilizantes especiais mantiveram o valor nutricional do alimento. Esses resultados são relevantes, pois indicam que o aumento da eficiência da adubação fosfatada pode ser alcançado sem comprometer os atributos nutricionais da cultura. Resultados semelhantes foram relatados por Li et al. (2022), que observaram manutenção da composição nutricional de hortaliças submetidas a diferentes estratégias de fertilização, e por Montaner et al. (2023), que destacam a importância de tecnologias sustentáveis capazes de conciliar produtividade e qualidade alimentar.</w:t>
      </w:r>
      <w:r w:rsidRPr="0006372B">
        <w:rPr>
          <w:sz w:val="24"/>
          <w:szCs w:val="24"/>
          <w:lang w:val="pt-BR" w:eastAsia="pt-BR"/>
        </w:rPr>
        <w:t xml:space="preserve"> </w:t>
      </w:r>
    </w:p>
    <w:p w14:paraId="5EB577CD" w14:textId="77777777" w:rsidR="00F3046B" w:rsidRPr="0006372B" w:rsidRDefault="00F3046B" w:rsidP="004A1986">
      <w:pPr>
        <w:widowControl/>
        <w:autoSpaceDE/>
        <w:autoSpaceDN/>
        <w:spacing w:line="360" w:lineRule="auto"/>
        <w:ind w:firstLine="709"/>
        <w:jc w:val="both"/>
        <w:rPr>
          <w:sz w:val="24"/>
          <w:szCs w:val="24"/>
          <w:lang w:val="pt-BR" w:eastAsia="pt-BR"/>
        </w:rPr>
      </w:pPr>
      <w:r w:rsidRPr="0006372B">
        <w:rPr>
          <w:sz w:val="24"/>
          <w:szCs w:val="24"/>
          <w:lang w:val="pt-BR" w:eastAsia="pt-BR"/>
        </w:rPr>
        <w:t xml:space="preserve">A manutenção dos teores de proteínas, fibras e ácido ascórbico observada neste estudo demonstra que as fontes alternativas de fósforo foram capazes de suprir adequadamente as exigências nutricionais da cultura, sem comprometer a composição química das inflorescências. O ácido ascórbico é um dos principais compostos antioxidantes presentes no brócolis, enquanto proteínas e fibras contribuem significativamente para o valor nutricional da hortaliça. Segundo Li et al. (2022) e Montaner et al. (2023), a preservação desses compostos está diretamente relacionada à qualidade funcional e ao potencial </w:t>
      </w:r>
      <w:proofErr w:type="spellStart"/>
      <w:r w:rsidRPr="0006372B">
        <w:rPr>
          <w:sz w:val="24"/>
          <w:szCs w:val="24"/>
          <w:lang w:val="pt-BR" w:eastAsia="pt-BR"/>
        </w:rPr>
        <w:t>nutracêutico</w:t>
      </w:r>
      <w:proofErr w:type="spellEnd"/>
      <w:r w:rsidRPr="0006372B">
        <w:rPr>
          <w:sz w:val="24"/>
          <w:szCs w:val="24"/>
          <w:lang w:val="pt-BR" w:eastAsia="pt-BR"/>
        </w:rPr>
        <w:t xml:space="preserve"> do produto.</w:t>
      </w:r>
    </w:p>
    <w:p w14:paraId="37C7B87B" w14:textId="0AD66A37" w:rsidR="004A1986" w:rsidRPr="0006372B" w:rsidRDefault="004A1986" w:rsidP="004A1986">
      <w:pPr>
        <w:widowControl/>
        <w:autoSpaceDE/>
        <w:autoSpaceDN/>
        <w:spacing w:line="360" w:lineRule="auto"/>
        <w:ind w:firstLine="709"/>
        <w:jc w:val="both"/>
        <w:rPr>
          <w:sz w:val="24"/>
          <w:szCs w:val="24"/>
          <w:lang w:val="pt-BR" w:eastAsia="pt-BR"/>
        </w:rPr>
      </w:pPr>
      <w:r w:rsidRPr="004A1986">
        <w:rPr>
          <w:sz w:val="24"/>
          <w:szCs w:val="24"/>
          <w:lang w:val="pt-BR" w:eastAsia="pt-BR"/>
        </w:rPr>
        <w:t xml:space="preserve">Os atributos físico-químicos apresentaram resposta às doses de fósforo aplicadas (Figura 1). A acidez total </w:t>
      </w:r>
      <w:proofErr w:type="spellStart"/>
      <w:r w:rsidRPr="004A1986">
        <w:rPr>
          <w:sz w:val="24"/>
          <w:szCs w:val="24"/>
          <w:lang w:val="pt-BR" w:eastAsia="pt-BR"/>
        </w:rPr>
        <w:t>titulável</w:t>
      </w:r>
      <w:proofErr w:type="spellEnd"/>
      <w:r w:rsidRPr="004A1986">
        <w:rPr>
          <w:sz w:val="24"/>
          <w:szCs w:val="24"/>
          <w:lang w:val="pt-BR" w:eastAsia="pt-BR"/>
        </w:rPr>
        <w:t xml:space="preserve"> (ATT), os sólidos solúveis totais (SST) e o potencial hidrogeniônico (pH) foram influenciados pelas doses de P₂O₅, demonstrando que a disponibilidade do nutriente interfere diretamente na qualidade pós-colheita do produto. </w:t>
      </w:r>
    </w:p>
    <w:p w14:paraId="0AF728AE" w14:textId="77777777" w:rsidR="00C15C8F" w:rsidRPr="0006372B" w:rsidRDefault="00C15C8F" w:rsidP="00C15C8F">
      <w:pPr>
        <w:widowControl/>
        <w:autoSpaceDE/>
        <w:autoSpaceDN/>
        <w:spacing w:line="360" w:lineRule="auto"/>
        <w:ind w:firstLine="709"/>
        <w:jc w:val="both"/>
        <w:rPr>
          <w:sz w:val="24"/>
          <w:szCs w:val="24"/>
          <w:lang w:val="pt-BR" w:eastAsia="pt-BR"/>
        </w:rPr>
      </w:pPr>
      <w:r w:rsidRPr="004A1986">
        <w:rPr>
          <w:sz w:val="24"/>
          <w:szCs w:val="24"/>
          <w:lang w:val="pt-BR" w:eastAsia="pt-BR"/>
        </w:rPr>
        <w:t xml:space="preserve">O incremento dos valores de SST indica maior concentração de compostos solúveis associados ao sabor e à qualidade comercial das inflorescências, enquanto as alterações observadas para ATT e pH refletem modificações no metabolismo vegetal relacionadas ao acúmulo de compostos orgânicos durante o desenvolvimento da cultura. Segundo Ferrari et al. (2024), o adequado suprimento de fósforo favorece processos metabólicos relacionados à síntese e ao transporte de </w:t>
      </w:r>
      <w:proofErr w:type="spellStart"/>
      <w:r w:rsidRPr="004A1986">
        <w:rPr>
          <w:sz w:val="24"/>
          <w:szCs w:val="24"/>
          <w:lang w:val="pt-BR" w:eastAsia="pt-BR"/>
        </w:rPr>
        <w:t>fotoassimilados</w:t>
      </w:r>
      <w:proofErr w:type="spellEnd"/>
      <w:r w:rsidRPr="004A1986">
        <w:rPr>
          <w:sz w:val="24"/>
          <w:szCs w:val="24"/>
          <w:lang w:val="pt-BR" w:eastAsia="pt-BR"/>
        </w:rPr>
        <w:t>, contribuindo para melhorias nos atributos qualitativos dos produtos hortícolas.</w:t>
      </w:r>
    </w:p>
    <w:p w14:paraId="46E05E80" w14:textId="77777777" w:rsidR="00C15C8F" w:rsidRPr="0006372B" w:rsidRDefault="00C15C8F" w:rsidP="00C15C8F">
      <w:pPr>
        <w:widowControl/>
        <w:autoSpaceDE/>
        <w:autoSpaceDN/>
        <w:spacing w:line="360" w:lineRule="auto"/>
        <w:ind w:firstLine="709"/>
        <w:jc w:val="both"/>
        <w:rPr>
          <w:sz w:val="24"/>
          <w:szCs w:val="24"/>
          <w:lang w:val="pt-BR" w:eastAsia="pt-BR"/>
        </w:rPr>
      </w:pPr>
      <w:r w:rsidRPr="0006372B">
        <w:rPr>
          <w:sz w:val="24"/>
          <w:szCs w:val="24"/>
          <w:lang w:val="pt-BR" w:eastAsia="pt-BR"/>
        </w:rPr>
        <w:t xml:space="preserve">Os sólidos solúveis totais são frequentemente utilizados como indicadores da qualidade sensorial e da aceitação comercial de hortaliças, estando associados à concentração de açúcares, ácidos orgânicos e outros compostos solúveis presentes nos tecidos vegetais. Dessa forma, o aumento observado nos valores de SST nas maiores doses de fósforo sugere melhora potencial das características organolépticas do produto. Adicionalmente, a </w:t>
      </w:r>
      <w:r w:rsidRPr="0006372B">
        <w:rPr>
          <w:sz w:val="24"/>
          <w:szCs w:val="24"/>
          <w:lang w:val="pt-BR" w:eastAsia="pt-BR"/>
        </w:rPr>
        <w:lastRenderedPageBreak/>
        <w:t>manutenção dos valores de pH em faixas adequadas contribui para a conservação pós-colheita e para a estabilidade dos compostos bioativos presentes nas inflorescências.</w:t>
      </w:r>
    </w:p>
    <w:p w14:paraId="6402E109" w14:textId="5D7FF188" w:rsidR="004A1986" w:rsidRPr="0006372B" w:rsidRDefault="004A1986" w:rsidP="004A1986">
      <w:pPr>
        <w:widowControl/>
        <w:autoSpaceDE/>
        <w:autoSpaceDN/>
        <w:spacing w:line="360" w:lineRule="auto"/>
        <w:ind w:firstLine="709"/>
        <w:jc w:val="both"/>
        <w:rPr>
          <w:sz w:val="24"/>
          <w:szCs w:val="24"/>
          <w:lang w:val="pt-BR" w:eastAsia="pt-BR"/>
        </w:rPr>
      </w:pPr>
    </w:p>
    <w:p w14:paraId="1061D164" w14:textId="02E782E9" w:rsidR="004A1986" w:rsidRPr="0006372B" w:rsidRDefault="004A1986" w:rsidP="004A1986">
      <w:pPr>
        <w:widowControl/>
        <w:autoSpaceDE/>
        <w:autoSpaceDN/>
        <w:spacing w:line="360" w:lineRule="auto"/>
        <w:jc w:val="both"/>
        <w:rPr>
          <w:sz w:val="24"/>
          <w:szCs w:val="24"/>
          <w:lang w:eastAsia="pt-BR"/>
        </w:rPr>
      </w:pPr>
      <w:r w:rsidRPr="0006372B">
        <w:rPr>
          <w:b/>
          <w:sz w:val="24"/>
          <w:szCs w:val="24"/>
          <w:lang w:val="pt-BR" w:eastAsia="pt-BR"/>
        </w:rPr>
        <w:t>Figura 1</w:t>
      </w:r>
      <w:r w:rsidRPr="0006372B">
        <w:rPr>
          <w:sz w:val="24"/>
          <w:szCs w:val="24"/>
          <w:lang w:val="pt-BR" w:eastAsia="pt-BR"/>
        </w:rPr>
        <w:t xml:space="preserve">. </w:t>
      </w:r>
      <w:r w:rsidR="00534760" w:rsidRPr="0006372B">
        <w:rPr>
          <w:sz w:val="24"/>
          <w:szCs w:val="24"/>
          <w:lang w:val="pt-BR" w:eastAsia="pt-BR"/>
        </w:rPr>
        <w:t xml:space="preserve">Efeito de fontes e doses de fósforo sobre atributos físico-químicos do brócolis: acidez total </w:t>
      </w:r>
      <w:proofErr w:type="spellStart"/>
      <w:r w:rsidR="00534760" w:rsidRPr="0006372B">
        <w:rPr>
          <w:sz w:val="24"/>
          <w:szCs w:val="24"/>
          <w:lang w:val="pt-BR" w:eastAsia="pt-BR"/>
        </w:rPr>
        <w:t>titulável</w:t>
      </w:r>
      <w:proofErr w:type="spellEnd"/>
      <w:r w:rsidR="00534760" w:rsidRPr="0006372B">
        <w:rPr>
          <w:sz w:val="24"/>
          <w:szCs w:val="24"/>
          <w:lang w:val="pt-BR" w:eastAsia="pt-BR"/>
        </w:rPr>
        <w:t xml:space="preserve"> (ATT), sólidos solúveis totais (SST) e potencial hidrogeniônico (pH), Uberaba, MG, 2024.</w:t>
      </w:r>
    </w:p>
    <w:p w14:paraId="7F48B131" w14:textId="22C2A65B" w:rsidR="009B0D84" w:rsidRPr="004A1986" w:rsidRDefault="009B0D84" w:rsidP="004A1986">
      <w:pPr>
        <w:widowControl/>
        <w:autoSpaceDE/>
        <w:autoSpaceDN/>
        <w:spacing w:line="360" w:lineRule="auto"/>
        <w:jc w:val="both"/>
        <w:rPr>
          <w:sz w:val="24"/>
          <w:szCs w:val="24"/>
          <w:lang w:val="pt-BR" w:eastAsia="pt-BR"/>
        </w:rPr>
      </w:pPr>
      <w:r w:rsidRPr="0006372B">
        <w:rPr>
          <w:rFonts w:eastAsia="Calibri"/>
          <w:b/>
          <w:noProof/>
          <w:sz w:val="24"/>
          <w:szCs w:val="24"/>
          <w:lang w:val="pt-BR" w:eastAsia="pt-BR"/>
        </w:rPr>
        <w:drawing>
          <wp:inline distT="0" distB="0" distL="0" distR="0" wp14:anchorId="2074A6C9" wp14:editId="362F2990">
            <wp:extent cx="5357728" cy="4108450"/>
            <wp:effectExtent l="0" t="0" r="0" b="635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a 6 copy.jpg"/>
                    <pic:cNvPicPr/>
                  </pic:nvPicPr>
                  <pic:blipFill rotWithShape="1">
                    <a:blip r:embed="rId9" cstate="print">
                      <a:extLst>
                        <a:ext uri="{28A0092B-C50C-407E-A947-70E740481C1C}">
                          <a14:useLocalDpi xmlns:a14="http://schemas.microsoft.com/office/drawing/2010/main" val="0"/>
                        </a:ext>
                      </a:extLst>
                    </a:blip>
                    <a:srcRect l="1411" t="917" r="752" b="1439"/>
                    <a:stretch/>
                  </pic:blipFill>
                  <pic:spPr bwMode="auto">
                    <a:xfrm>
                      <a:off x="0" y="0"/>
                      <a:ext cx="5358454" cy="4109007"/>
                    </a:xfrm>
                    <a:prstGeom prst="rect">
                      <a:avLst/>
                    </a:prstGeom>
                    <a:ln>
                      <a:noFill/>
                    </a:ln>
                    <a:extLst>
                      <a:ext uri="{53640926-AAD7-44D8-BBD7-CCE9431645EC}">
                        <a14:shadowObscured xmlns:a14="http://schemas.microsoft.com/office/drawing/2010/main"/>
                      </a:ext>
                    </a:extLst>
                  </pic:spPr>
                </pic:pic>
              </a:graphicData>
            </a:graphic>
          </wp:inline>
        </w:drawing>
      </w:r>
    </w:p>
    <w:p w14:paraId="0F205F9A" w14:textId="7F17E997" w:rsidR="00F1301C" w:rsidRPr="0006372B" w:rsidRDefault="002A22D0" w:rsidP="002A22D0">
      <w:pPr>
        <w:spacing w:line="360" w:lineRule="auto"/>
        <w:ind w:firstLine="709"/>
        <w:jc w:val="both"/>
        <w:rPr>
          <w:sz w:val="24"/>
          <w:szCs w:val="24"/>
        </w:rPr>
      </w:pPr>
      <w:r w:rsidRPr="0006372B">
        <w:rPr>
          <w:sz w:val="24"/>
          <w:szCs w:val="24"/>
        </w:rPr>
        <w:t>Em conjunto, os resultados bromatológicos (Tabela 1) e físico-químicos (Figura 1) demonstram que a adoção de fertilizantes fosfatados especiais não apenas favorece o desempenho agronômico da cultura, mas também contribui para a manutenção da qualidade nutricional e tecnológica das inflorescências. Os resultados obtidos demonstram que fertilizantes fosfatados especiais, especialmente o fertilizante organomineral e o fosfato monoamônico polimerizado, constituem alternativas promissoras para sistemas agrícolas mais sustentáveis. Além de promoverem adequado desempenho agronômico, essas tecnologias permitiram a produção de brócolis com qualidade nutricional preservada e atributos físico-químicos compatíveis com a produção de alimentos de elevada qualidade, reforçando seu potencial para utilização em sistemas de produção sustentáveis no Cerrado brasileiro.</w:t>
      </w:r>
    </w:p>
    <w:p w14:paraId="53693041" w14:textId="77777777" w:rsidR="002A22D0" w:rsidRPr="0006372B" w:rsidRDefault="002A22D0" w:rsidP="00BA0774">
      <w:pPr>
        <w:spacing w:line="360" w:lineRule="auto"/>
        <w:jc w:val="both"/>
        <w:rPr>
          <w:rFonts w:eastAsia="Calibri"/>
          <w:b/>
          <w:sz w:val="24"/>
          <w:szCs w:val="24"/>
        </w:rPr>
      </w:pPr>
    </w:p>
    <w:p w14:paraId="77D0C4AE" w14:textId="226B0B4A" w:rsidR="00303FEE" w:rsidRPr="0006372B" w:rsidRDefault="00303FEE" w:rsidP="00BA0774">
      <w:pPr>
        <w:pStyle w:val="Corpodetexto"/>
        <w:spacing w:line="360" w:lineRule="auto"/>
        <w:jc w:val="both"/>
        <w:rPr>
          <w:b/>
          <w:bCs/>
          <w:sz w:val="28"/>
          <w:szCs w:val="28"/>
          <w:lang w:val="pt-BR"/>
        </w:rPr>
      </w:pPr>
      <w:r w:rsidRPr="0006372B">
        <w:rPr>
          <w:b/>
          <w:bCs/>
          <w:sz w:val="28"/>
          <w:szCs w:val="28"/>
          <w:lang w:val="pt-BR"/>
        </w:rPr>
        <w:lastRenderedPageBreak/>
        <w:t>Conclusão</w:t>
      </w:r>
    </w:p>
    <w:p w14:paraId="0F263541" w14:textId="7B0B314F" w:rsidR="00BA0774" w:rsidRPr="0006372B" w:rsidRDefault="00534760" w:rsidP="00534760">
      <w:pPr>
        <w:pStyle w:val="Corpodetexto"/>
        <w:spacing w:line="360" w:lineRule="auto"/>
        <w:ind w:firstLine="709"/>
        <w:jc w:val="both"/>
        <w:rPr>
          <w:sz w:val="24"/>
          <w:szCs w:val="24"/>
          <w:lang w:val="pt-BR" w:eastAsia="pt-BR"/>
        </w:rPr>
      </w:pPr>
      <w:r w:rsidRPr="0006372B">
        <w:rPr>
          <w:sz w:val="24"/>
          <w:szCs w:val="24"/>
          <w:lang w:val="pt-BR" w:eastAsia="pt-BR"/>
        </w:rPr>
        <w:t xml:space="preserve">Os fertilizantes fosfatados especiais representam uma tecnologia promissora para sistemas agrícolas mais sustentáveis no Cerrado brasileiro. O uso de fertilizante </w:t>
      </w:r>
      <w:proofErr w:type="spellStart"/>
      <w:r w:rsidRPr="0006372B">
        <w:rPr>
          <w:sz w:val="24"/>
          <w:szCs w:val="24"/>
          <w:lang w:val="pt-BR" w:eastAsia="pt-BR"/>
        </w:rPr>
        <w:t>organomineral</w:t>
      </w:r>
      <w:proofErr w:type="spellEnd"/>
      <w:r w:rsidRPr="0006372B">
        <w:rPr>
          <w:sz w:val="24"/>
          <w:szCs w:val="24"/>
          <w:lang w:val="pt-BR" w:eastAsia="pt-BR"/>
        </w:rPr>
        <w:t xml:space="preserve"> e fosfato </w:t>
      </w:r>
      <w:proofErr w:type="spellStart"/>
      <w:r w:rsidRPr="0006372B">
        <w:rPr>
          <w:sz w:val="24"/>
          <w:szCs w:val="24"/>
          <w:lang w:val="pt-BR" w:eastAsia="pt-BR"/>
        </w:rPr>
        <w:t>monoamônico</w:t>
      </w:r>
      <w:proofErr w:type="spellEnd"/>
      <w:r w:rsidRPr="0006372B">
        <w:rPr>
          <w:sz w:val="24"/>
          <w:szCs w:val="24"/>
          <w:lang w:val="pt-BR" w:eastAsia="pt-BR"/>
        </w:rPr>
        <w:t xml:space="preserve"> polimerizado permitiu a produção de brócolis com qualidade nutricional preservada e atributos físico-químicos adequados ao consumo, demonstrando que o aumento da eficiência da adubação fosfatada pode ser conciliado com a produção sustentável de alimentos de elevada qualidade.</w:t>
      </w:r>
    </w:p>
    <w:p w14:paraId="776F9C08" w14:textId="77777777" w:rsidR="00534760" w:rsidRPr="0006372B" w:rsidRDefault="00534760" w:rsidP="007869EB">
      <w:pPr>
        <w:pStyle w:val="Corpodetexto"/>
        <w:spacing w:line="360" w:lineRule="auto"/>
        <w:rPr>
          <w:b/>
          <w:bCs/>
          <w:sz w:val="24"/>
          <w:szCs w:val="24"/>
          <w:lang w:val="pt-BR"/>
        </w:rPr>
      </w:pPr>
    </w:p>
    <w:p w14:paraId="46C53EB6" w14:textId="69524CAB" w:rsidR="00624629" w:rsidRPr="0006372B" w:rsidRDefault="00624629" w:rsidP="007869EB">
      <w:pPr>
        <w:pStyle w:val="Corpodetexto"/>
        <w:spacing w:line="360" w:lineRule="auto"/>
        <w:rPr>
          <w:b/>
          <w:bCs/>
          <w:sz w:val="28"/>
          <w:szCs w:val="28"/>
          <w:lang w:val="pt-BR"/>
        </w:rPr>
      </w:pPr>
      <w:r w:rsidRPr="0006372B">
        <w:rPr>
          <w:b/>
          <w:bCs/>
          <w:sz w:val="28"/>
          <w:szCs w:val="28"/>
          <w:lang w:val="pt-BR"/>
        </w:rPr>
        <w:t>Referências</w:t>
      </w:r>
    </w:p>
    <w:p w14:paraId="64ADF075" w14:textId="77777777" w:rsidR="00534760" w:rsidRPr="0006372B" w:rsidRDefault="00534760" w:rsidP="00534760">
      <w:pPr>
        <w:pStyle w:val="Corpodetexto"/>
        <w:spacing w:after="120"/>
        <w:jc w:val="both"/>
        <w:rPr>
          <w:sz w:val="24"/>
          <w:szCs w:val="24"/>
          <w:lang w:val="pt-BR" w:eastAsia="pt-BR"/>
        </w:rPr>
      </w:pPr>
      <w:r w:rsidRPr="0006372B">
        <w:rPr>
          <w:sz w:val="24"/>
          <w:szCs w:val="24"/>
          <w:lang w:val="pt-BR" w:eastAsia="pt-BR"/>
        </w:rPr>
        <w:t xml:space="preserve">FERRARI, A. C.; FAGUNDES, H. S.; PEREIRA, M. G.; ZONTA, E. </w:t>
      </w:r>
      <w:proofErr w:type="spellStart"/>
      <w:r w:rsidRPr="0006372B">
        <w:rPr>
          <w:sz w:val="24"/>
          <w:szCs w:val="24"/>
          <w:lang w:val="pt-BR" w:eastAsia="pt-BR"/>
        </w:rPr>
        <w:t>Organomineral</w:t>
      </w:r>
      <w:proofErr w:type="spellEnd"/>
      <w:r w:rsidRPr="0006372B">
        <w:rPr>
          <w:sz w:val="24"/>
          <w:szCs w:val="24"/>
          <w:lang w:val="pt-BR" w:eastAsia="pt-BR"/>
        </w:rPr>
        <w:t xml:space="preserve"> </w:t>
      </w:r>
      <w:proofErr w:type="spellStart"/>
      <w:r w:rsidRPr="0006372B">
        <w:rPr>
          <w:sz w:val="24"/>
          <w:szCs w:val="24"/>
          <w:lang w:val="pt-BR" w:eastAsia="pt-BR"/>
        </w:rPr>
        <w:t>fertilizers</w:t>
      </w:r>
      <w:proofErr w:type="spellEnd"/>
      <w:r w:rsidRPr="0006372B">
        <w:rPr>
          <w:sz w:val="24"/>
          <w:szCs w:val="24"/>
          <w:lang w:val="pt-BR" w:eastAsia="pt-BR"/>
        </w:rPr>
        <w:t xml:space="preserve"> </w:t>
      </w:r>
      <w:proofErr w:type="spellStart"/>
      <w:r w:rsidRPr="0006372B">
        <w:rPr>
          <w:sz w:val="24"/>
          <w:szCs w:val="24"/>
          <w:lang w:val="pt-BR" w:eastAsia="pt-BR"/>
        </w:rPr>
        <w:t>from</w:t>
      </w:r>
      <w:proofErr w:type="spellEnd"/>
      <w:r w:rsidRPr="0006372B">
        <w:rPr>
          <w:sz w:val="24"/>
          <w:szCs w:val="24"/>
          <w:lang w:val="pt-BR" w:eastAsia="pt-BR"/>
        </w:rPr>
        <w:t xml:space="preserve"> </w:t>
      </w:r>
      <w:proofErr w:type="spellStart"/>
      <w:r w:rsidRPr="0006372B">
        <w:rPr>
          <w:sz w:val="24"/>
          <w:szCs w:val="24"/>
          <w:lang w:val="pt-BR" w:eastAsia="pt-BR"/>
        </w:rPr>
        <w:t>oilseed</w:t>
      </w:r>
      <w:proofErr w:type="spellEnd"/>
      <w:r w:rsidRPr="0006372B">
        <w:rPr>
          <w:sz w:val="24"/>
          <w:szCs w:val="24"/>
          <w:lang w:val="pt-BR" w:eastAsia="pt-BR"/>
        </w:rPr>
        <w:t xml:space="preserve"> pies. Revista de Gestão Social e Ambiental, v. 18, n. 4, p. 1-19, 2024. DOI: https://doi.org/10.24857/rgsa.v18n4-043.</w:t>
      </w:r>
    </w:p>
    <w:p w14:paraId="5624B3D9" w14:textId="77777777" w:rsidR="00381DC8" w:rsidRPr="0006372B" w:rsidRDefault="00381DC8" w:rsidP="00534760">
      <w:pPr>
        <w:pStyle w:val="Corpodetexto"/>
        <w:spacing w:after="120"/>
        <w:jc w:val="both"/>
        <w:rPr>
          <w:sz w:val="24"/>
          <w:szCs w:val="24"/>
          <w:lang w:val="en-US" w:eastAsia="pt-BR"/>
        </w:rPr>
      </w:pPr>
      <w:r w:rsidRPr="0006372B">
        <w:rPr>
          <w:sz w:val="24"/>
          <w:szCs w:val="24"/>
          <w:lang w:val="en-US" w:eastAsia="pt-BR"/>
        </w:rPr>
        <w:t xml:space="preserve">GUDIÑO, I.; MARTÍN, A.; CASQUETE, R.; PRIETO, M. H.; AYUSO, M. C.; CÓRDOBA, M. G. Evaluation of broccoli (Brassica oleracea var. </w:t>
      </w:r>
      <w:proofErr w:type="spellStart"/>
      <w:r w:rsidRPr="0006372B">
        <w:rPr>
          <w:sz w:val="24"/>
          <w:szCs w:val="24"/>
          <w:lang w:val="en-US" w:eastAsia="pt-BR"/>
        </w:rPr>
        <w:t>italica</w:t>
      </w:r>
      <w:proofErr w:type="spellEnd"/>
      <w:r w:rsidRPr="0006372B">
        <w:rPr>
          <w:sz w:val="24"/>
          <w:szCs w:val="24"/>
          <w:lang w:val="en-US" w:eastAsia="pt-BR"/>
        </w:rPr>
        <w:t xml:space="preserve">) crop by-products as sources of bioactive compounds. Scientia </w:t>
      </w:r>
      <w:proofErr w:type="spellStart"/>
      <w:r w:rsidRPr="0006372B">
        <w:rPr>
          <w:sz w:val="24"/>
          <w:szCs w:val="24"/>
          <w:lang w:val="en-US" w:eastAsia="pt-BR"/>
        </w:rPr>
        <w:t>Horticulturae</w:t>
      </w:r>
      <w:proofErr w:type="spellEnd"/>
      <w:r w:rsidRPr="0006372B">
        <w:rPr>
          <w:sz w:val="24"/>
          <w:szCs w:val="24"/>
          <w:lang w:val="en-US" w:eastAsia="pt-BR"/>
        </w:rPr>
        <w:t>, v. 304, p. 111284, 2022. https://doi.org/10.1016/j.scienta.2022.111284.</w:t>
      </w:r>
    </w:p>
    <w:p w14:paraId="7EBBC846" w14:textId="4922C678" w:rsidR="00534760" w:rsidRPr="0006372B" w:rsidRDefault="00534760" w:rsidP="00534760">
      <w:pPr>
        <w:pStyle w:val="Corpodetexto"/>
        <w:spacing w:after="120"/>
        <w:jc w:val="both"/>
        <w:rPr>
          <w:sz w:val="24"/>
          <w:szCs w:val="24"/>
          <w:lang w:val="en-US" w:eastAsia="pt-BR"/>
        </w:rPr>
      </w:pPr>
      <w:r w:rsidRPr="0006372B">
        <w:rPr>
          <w:sz w:val="24"/>
          <w:szCs w:val="24"/>
          <w:lang w:val="en-US" w:eastAsia="pt-BR"/>
        </w:rPr>
        <w:t xml:space="preserve">LI, H.; XIA, Y.; LIU, H. Y.; GUO, H.; HE, X. Q.; LIU, Y.; WU, D. T.; MAI, Y. H.; LI, H. B.; ZOU, L.; GAN, R. Y. Nutritional values, beneficial effects, and food applications of broccoli (Brassica oleracea var. </w:t>
      </w:r>
      <w:proofErr w:type="spellStart"/>
      <w:r w:rsidRPr="0006372B">
        <w:rPr>
          <w:sz w:val="24"/>
          <w:szCs w:val="24"/>
          <w:lang w:val="en-US" w:eastAsia="pt-BR"/>
        </w:rPr>
        <w:t>italica</w:t>
      </w:r>
      <w:proofErr w:type="spellEnd"/>
      <w:r w:rsidRPr="0006372B">
        <w:rPr>
          <w:sz w:val="24"/>
          <w:szCs w:val="24"/>
          <w:lang w:val="en-US" w:eastAsia="pt-BR"/>
        </w:rPr>
        <w:t>). Trends in Food Science &amp; Technology, v. 119, p. 288-308, 2022. DOI: https://doi.org/10.1016/j.tifs.2021.12.015.</w:t>
      </w:r>
    </w:p>
    <w:p w14:paraId="4C72FCAA" w14:textId="77777777" w:rsidR="00534760" w:rsidRPr="0006372B" w:rsidRDefault="00534760" w:rsidP="00534760">
      <w:pPr>
        <w:pStyle w:val="Corpodetexto"/>
        <w:spacing w:after="120"/>
        <w:jc w:val="both"/>
        <w:rPr>
          <w:sz w:val="24"/>
          <w:szCs w:val="24"/>
          <w:lang w:val="en-US" w:eastAsia="pt-BR"/>
        </w:rPr>
      </w:pPr>
      <w:r w:rsidRPr="0006372B">
        <w:rPr>
          <w:sz w:val="24"/>
          <w:szCs w:val="24"/>
          <w:lang w:val="en-US" w:eastAsia="pt-BR"/>
        </w:rPr>
        <w:t xml:space="preserve">MONTANER, C.; MALLOR, C.; LAGUNA, S.; ZUFIAURRE, R. Bioactive compounds, antioxidant activity, and mineral content of </w:t>
      </w:r>
      <w:proofErr w:type="spellStart"/>
      <w:r w:rsidRPr="0006372B">
        <w:rPr>
          <w:sz w:val="24"/>
          <w:szCs w:val="24"/>
          <w:lang w:val="en-US" w:eastAsia="pt-BR"/>
        </w:rPr>
        <w:t>bróquil</w:t>
      </w:r>
      <w:proofErr w:type="spellEnd"/>
      <w:r w:rsidRPr="0006372B">
        <w:rPr>
          <w:sz w:val="24"/>
          <w:szCs w:val="24"/>
          <w:lang w:val="en-US" w:eastAsia="pt-BR"/>
        </w:rPr>
        <w:t xml:space="preserve">: A traditional crop of Brassica oleracea var. </w:t>
      </w:r>
      <w:proofErr w:type="spellStart"/>
      <w:r w:rsidRPr="0006372B">
        <w:rPr>
          <w:sz w:val="24"/>
          <w:szCs w:val="24"/>
          <w:lang w:val="en-US" w:eastAsia="pt-BR"/>
        </w:rPr>
        <w:t>italica</w:t>
      </w:r>
      <w:proofErr w:type="spellEnd"/>
      <w:r w:rsidRPr="0006372B">
        <w:rPr>
          <w:sz w:val="24"/>
          <w:szCs w:val="24"/>
          <w:lang w:val="en-US" w:eastAsia="pt-BR"/>
        </w:rPr>
        <w:t>. Frontiers in Nutrition, v. 9, p. 1-14, 2023. DOI: https://doi.org/10.3389/fnut.2022.1006012.</w:t>
      </w:r>
    </w:p>
    <w:p w14:paraId="15541B22" w14:textId="192B45EF" w:rsidR="00303FEE" w:rsidRPr="0006372B" w:rsidRDefault="00534760" w:rsidP="00534760">
      <w:pPr>
        <w:pStyle w:val="Corpodetexto"/>
        <w:spacing w:after="120"/>
        <w:jc w:val="both"/>
        <w:rPr>
          <w:sz w:val="24"/>
          <w:szCs w:val="24"/>
          <w:lang w:val="en-US"/>
        </w:rPr>
      </w:pPr>
      <w:r w:rsidRPr="0006372B">
        <w:rPr>
          <w:sz w:val="24"/>
          <w:szCs w:val="24"/>
          <w:lang w:val="en-US" w:eastAsia="pt-BR"/>
        </w:rPr>
        <w:t xml:space="preserve">VIEIRA, D. M. S.; TORRES, J. L. R.; CAMARGO, R.; SILVA, A. A.; LANA, R. M. Q.; CHARLO, H. C. O.; LEMES, E. M.; CARVALHO, E. R. Residual Effects of Phosphorus and Micronutrients in Vegetable Growing Areas under Different </w:t>
      </w:r>
      <w:proofErr w:type="spellStart"/>
      <w:r w:rsidRPr="0006372B">
        <w:rPr>
          <w:sz w:val="24"/>
          <w:szCs w:val="24"/>
          <w:lang w:val="en-US" w:eastAsia="pt-BR"/>
        </w:rPr>
        <w:t>Organomineral</w:t>
      </w:r>
      <w:proofErr w:type="spellEnd"/>
      <w:r w:rsidRPr="0006372B">
        <w:rPr>
          <w:sz w:val="24"/>
          <w:szCs w:val="24"/>
          <w:lang w:val="en-US" w:eastAsia="pt-BR"/>
        </w:rPr>
        <w:t xml:space="preserve"> Fertilizer Doses. </w:t>
      </w:r>
      <w:proofErr w:type="spellStart"/>
      <w:r w:rsidRPr="0006372B">
        <w:rPr>
          <w:sz w:val="24"/>
          <w:szCs w:val="24"/>
          <w:lang w:val="en-US" w:eastAsia="pt-BR"/>
        </w:rPr>
        <w:t>Horticulturae</w:t>
      </w:r>
      <w:proofErr w:type="spellEnd"/>
      <w:r w:rsidRPr="0006372B">
        <w:rPr>
          <w:sz w:val="24"/>
          <w:szCs w:val="24"/>
          <w:lang w:val="en-US" w:eastAsia="pt-BR"/>
        </w:rPr>
        <w:t>, v. 9, n. 7, p. 761, 2023.</w:t>
      </w:r>
    </w:p>
    <w:sectPr w:rsidR="00303FEE" w:rsidRPr="0006372B" w:rsidSect="008913F4">
      <w:headerReference w:type="default" r:id="rId10"/>
      <w:footerReference w:type="default" r:id="rId11"/>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437120" w14:textId="77777777" w:rsidR="00EA25BE" w:rsidRDefault="00EA25BE">
      <w:r>
        <w:separator/>
      </w:r>
    </w:p>
  </w:endnote>
  <w:endnote w:type="continuationSeparator" w:id="0">
    <w:p w14:paraId="3120FCFD" w14:textId="77777777" w:rsidR="00EA25BE" w:rsidRDefault="00EA2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panose1 w:val="020B060302020203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1CC61F" w14:textId="77777777" w:rsidR="00EA25BE" w:rsidRDefault="00EA25BE">
      <w:r>
        <w:separator/>
      </w:r>
    </w:p>
  </w:footnote>
  <w:footnote w:type="continuationSeparator" w:id="0">
    <w:p w14:paraId="597EA1F7" w14:textId="77777777" w:rsidR="00EA25BE" w:rsidRDefault="00EA25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835E2" w14:textId="07FBC6F3"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25BECEE">
          <wp:simplePos x="0" y="0"/>
          <wp:positionH relativeFrom="page">
            <wp:posOffset>-85725</wp:posOffset>
          </wp:positionH>
          <wp:positionV relativeFrom="page">
            <wp:posOffset>0</wp:posOffset>
          </wp:positionV>
          <wp:extent cx="7629525" cy="1066800"/>
          <wp:effectExtent l="0" t="0" r="9525" b="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9525" cy="106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5E5220"/>
    <w:multiLevelType w:val="multilevel"/>
    <w:tmpl w:val="BF826BC4"/>
    <w:lvl w:ilvl="0">
      <w:start w:val="1"/>
      <w:numFmt w:val="decimal"/>
      <w:lvlText w:val="%1"/>
      <w:lvlJc w:val="left"/>
      <w:pPr>
        <w:ind w:left="720"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275" w:hanging="108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5769" w:hanging="1440"/>
      </w:pPr>
      <w:rPr>
        <w:rFonts w:hint="default"/>
      </w:rPr>
    </w:lvl>
    <w:lvl w:ilvl="8">
      <w:start w:val="1"/>
      <w:numFmt w:val="decimal"/>
      <w:isLgl/>
      <w:lvlText w:val="%1.%2.%3.%4.%5.%6.%7.%8.%9"/>
      <w:lvlJc w:val="left"/>
      <w:pPr>
        <w:ind w:left="6696" w:hanging="1800"/>
      </w:pPr>
      <w:rPr>
        <w:rFonts w:hint="default"/>
      </w:rPr>
    </w:lvl>
  </w:abstractNum>
  <w:abstractNum w:abstractNumId="1"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3891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5BCC"/>
    <w:rsid w:val="00003F47"/>
    <w:rsid w:val="00013182"/>
    <w:rsid w:val="00031CF8"/>
    <w:rsid w:val="000449F4"/>
    <w:rsid w:val="0006162C"/>
    <w:rsid w:val="0006372B"/>
    <w:rsid w:val="000815CB"/>
    <w:rsid w:val="000D34E3"/>
    <w:rsid w:val="000E69A9"/>
    <w:rsid w:val="000F18EE"/>
    <w:rsid w:val="00154A32"/>
    <w:rsid w:val="001B38A6"/>
    <w:rsid w:val="001C1D9D"/>
    <w:rsid w:val="001C5BCC"/>
    <w:rsid w:val="00231DBC"/>
    <w:rsid w:val="00243512"/>
    <w:rsid w:val="00272187"/>
    <w:rsid w:val="00297801"/>
    <w:rsid w:val="002A22D0"/>
    <w:rsid w:val="002B0FAD"/>
    <w:rsid w:val="002C62A1"/>
    <w:rsid w:val="002E4D61"/>
    <w:rsid w:val="00303FEE"/>
    <w:rsid w:val="0036697E"/>
    <w:rsid w:val="00381DC8"/>
    <w:rsid w:val="003B119B"/>
    <w:rsid w:val="003B173C"/>
    <w:rsid w:val="003E6F37"/>
    <w:rsid w:val="00403675"/>
    <w:rsid w:val="00427CD5"/>
    <w:rsid w:val="004307C9"/>
    <w:rsid w:val="004452D7"/>
    <w:rsid w:val="004A1986"/>
    <w:rsid w:val="004B0F66"/>
    <w:rsid w:val="004E2169"/>
    <w:rsid w:val="004F6536"/>
    <w:rsid w:val="004F6A9E"/>
    <w:rsid w:val="005259CE"/>
    <w:rsid w:val="00534760"/>
    <w:rsid w:val="00541E47"/>
    <w:rsid w:val="00543BF0"/>
    <w:rsid w:val="00562E9F"/>
    <w:rsid w:val="00581A3E"/>
    <w:rsid w:val="005A27F2"/>
    <w:rsid w:val="005B4296"/>
    <w:rsid w:val="005D54CD"/>
    <w:rsid w:val="005D75C3"/>
    <w:rsid w:val="005F70B0"/>
    <w:rsid w:val="00613137"/>
    <w:rsid w:val="00615184"/>
    <w:rsid w:val="00624629"/>
    <w:rsid w:val="00683BFA"/>
    <w:rsid w:val="00683CE9"/>
    <w:rsid w:val="00694319"/>
    <w:rsid w:val="007049D0"/>
    <w:rsid w:val="00704DE3"/>
    <w:rsid w:val="007130C3"/>
    <w:rsid w:val="00714E14"/>
    <w:rsid w:val="007561D8"/>
    <w:rsid w:val="007869EB"/>
    <w:rsid w:val="007D44DE"/>
    <w:rsid w:val="007E38CA"/>
    <w:rsid w:val="007E789B"/>
    <w:rsid w:val="008246E3"/>
    <w:rsid w:val="0082494A"/>
    <w:rsid w:val="0083315B"/>
    <w:rsid w:val="00845A6F"/>
    <w:rsid w:val="00846B02"/>
    <w:rsid w:val="00847938"/>
    <w:rsid w:val="00861013"/>
    <w:rsid w:val="00863352"/>
    <w:rsid w:val="008645D6"/>
    <w:rsid w:val="0087425B"/>
    <w:rsid w:val="008769CE"/>
    <w:rsid w:val="008858BD"/>
    <w:rsid w:val="008913F4"/>
    <w:rsid w:val="00896446"/>
    <w:rsid w:val="008B175F"/>
    <w:rsid w:val="008B766C"/>
    <w:rsid w:val="008C4131"/>
    <w:rsid w:val="008E14C5"/>
    <w:rsid w:val="00945FB7"/>
    <w:rsid w:val="009B0D84"/>
    <w:rsid w:val="009C4B75"/>
    <w:rsid w:val="00A07996"/>
    <w:rsid w:val="00A22855"/>
    <w:rsid w:val="00A33E6F"/>
    <w:rsid w:val="00A36A9D"/>
    <w:rsid w:val="00A40B77"/>
    <w:rsid w:val="00A42A79"/>
    <w:rsid w:val="00A44C9F"/>
    <w:rsid w:val="00A45C6E"/>
    <w:rsid w:val="00A801A9"/>
    <w:rsid w:val="00A841BE"/>
    <w:rsid w:val="00AD22F1"/>
    <w:rsid w:val="00AE4987"/>
    <w:rsid w:val="00AF5124"/>
    <w:rsid w:val="00B04EF3"/>
    <w:rsid w:val="00B12510"/>
    <w:rsid w:val="00B1653B"/>
    <w:rsid w:val="00B63076"/>
    <w:rsid w:val="00B832DA"/>
    <w:rsid w:val="00BA0774"/>
    <w:rsid w:val="00BB05D0"/>
    <w:rsid w:val="00C15C8F"/>
    <w:rsid w:val="00C305A5"/>
    <w:rsid w:val="00C538C1"/>
    <w:rsid w:val="00C60F3C"/>
    <w:rsid w:val="00C75A60"/>
    <w:rsid w:val="00C923CB"/>
    <w:rsid w:val="00CA76D3"/>
    <w:rsid w:val="00CB2D99"/>
    <w:rsid w:val="00CB7603"/>
    <w:rsid w:val="00CB7608"/>
    <w:rsid w:val="00CC14B4"/>
    <w:rsid w:val="00CC4C50"/>
    <w:rsid w:val="00CE7EA7"/>
    <w:rsid w:val="00D24B54"/>
    <w:rsid w:val="00D25394"/>
    <w:rsid w:val="00D469F6"/>
    <w:rsid w:val="00D852A2"/>
    <w:rsid w:val="00DB702C"/>
    <w:rsid w:val="00DD5821"/>
    <w:rsid w:val="00DF433F"/>
    <w:rsid w:val="00DF4904"/>
    <w:rsid w:val="00E25CDA"/>
    <w:rsid w:val="00E32B6C"/>
    <w:rsid w:val="00E34780"/>
    <w:rsid w:val="00E3782C"/>
    <w:rsid w:val="00E77E61"/>
    <w:rsid w:val="00EA1189"/>
    <w:rsid w:val="00EA25BE"/>
    <w:rsid w:val="00EA526F"/>
    <w:rsid w:val="00ED3269"/>
    <w:rsid w:val="00EE1954"/>
    <w:rsid w:val="00EE509B"/>
    <w:rsid w:val="00F12354"/>
    <w:rsid w:val="00F12449"/>
    <w:rsid w:val="00F1301C"/>
    <w:rsid w:val="00F17222"/>
    <w:rsid w:val="00F3046B"/>
    <w:rsid w:val="00FA02C6"/>
    <w:rsid w:val="00FD4BC7"/>
    <w:rsid w:val="00FF2C8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3B3154C0"/>
  <w15:docId w15:val="{E745A8B7-BDCB-4026-95EA-881B0F943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paragraph" w:styleId="Ttulo2">
    <w:name w:val="heading 2"/>
    <w:basedOn w:val="Normal"/>
    <w:next w:val="Normal"/>
    <w:link w:val="Ttulo2Char"/>
    <w:uiPriority w:val="9"/>
    <w:semiHidden/>
    <w:unhideWhenUsed/>
    <w:qFormat/>
    <w:rsid w:val="00C923C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character" w:customStyle="1" w:styleId="A6">
    <w:name w:val="A6"/>
    <w:uiPriority w:val="99"/>
    <w:rsid w:val="008645D6"/>
    <w:rPr>
      <w:rFonts w:cs="Univers"/>
      <w:color w:val="000000"/>
      <w:sz w:val="16"/>
      <w:szCs w:val="16"/>
    </w:rPr>
  </w:style>
  <w:style w:type="character" w:customStyle="1" w:styleId="Ttulo2Char">
    <w:name w:val="Título 2 Char"/>
    <w:basedOn w:val="Fontepargpadro"/>
    <w:link w:val="Ttulo2"/>
    <w:uiPriority w:val="9"/>
    <w:semiHidden/>
    <w:rsid w:val="00C923CB"/>
    <w:rPr>
      <w:rFonts w:asciiTheme="majorHAnsi" w:eastAsiaTheme="majorEastAsia" w:hAnsiTheme="majorHAnsi" w:cstheme="majorBidi"/>
      <w:b/>
      <w:bCs/>
      <w:color w:val="4F81BD" w:themeColor="accent1"/>
      <w:sz w:val="26"/>
      <w:szCs w:val="26"/>
      <w:lang w:val="pt-PT"/>
    </w:rPr>
  </w:style>
  <w:style w:type="paragraph" w:styleId="SemEspaamento">
    <w:name w:val="No Spacing"/>
    <w:aliases w:val="projeto,Formatação"/>
    <w:basedOn w:val="Normal"/>
    <w:uiPriority w:val="1"/>
    <w:qFormat/>
    <w:rsid w:val="00C923CB"/>
    <w:pPr>
      <w:widowControl/>
      <w:autoSpaceDE/>
      <w:autoSpaceDN/>
      <w:spacing w:line="360" w:lineRule="auto"/>
      <w:ind w:firstLine="709"/>
      <w:jc w:val="both"/>
    </w:pPr>
    <w:rPr>
      <w:rFonts w:eastAsia="Calibri"/>
      <w:sz w:val="24"/>
      <w:szCs w:val="18"/>
      <w:lang w:val="pt-BR"/>
    </w:rPr>
  </w:style>
  <w:style w:type="paragraph" w:styleId="Textodebalo">
    <w:name w:val="Balloon Text"/>
    <w:basedOn w:val="Normal"/>
    <w:link w:val="TextodebaloChar"/>
    <w:uiPriority w:val="99"/>
    <w:semiHidden/>
    <w:unhideWhenUsed/>
    <w:rsid w:val="00C923CB"/>
    <w:rPr>
      <w:rFonts w:ascii="Tahoma" w:hAnsi="Tahoma" w:cs="Tahoma"/>
      <w:sz w:val="16"/>
      <w:szCs w:val="16"/>
    </w:rPr>
  </w:style>
  <w:style w:type="character" w:customStyle="1" w:styleId="TextodebaloChar">
    <w:name w:val="Texto de balão Char"/>
    <w:basedOn w:val="Fontepargpadro"/>
    <w:link w:val="Textodebalo"/>
    <w:uiPriority w:val="99"/>
    <w:semiHidden/>
    <w:rsid w:val="00C923CB"/>
    <w:rPr>
      <w:rFonts w:ascii="Tahoma" w:eastAsia="Times New Roman" w:hAnsi="Tahoma" w:cs="Tahoma"/>
      <w:sz w:val="16"/>
      <w:szCs w:val="16"/>
      <w:lang w:val="pt-PT"/>
    </w:rPr>
  </w:style>
  <w:style w:type="paragraph" w:customStyle="1" w:styleId="isselectedend">
    <w:name w:val="isselectedend"/>
    <w:basedOn w:val="Normal"/>
    <w:rsid w:val="00CB7603"/>
    <w:pPr>
      <w:widowControl/>
      <w:autoSpaceDE/>
      <w:autoSpaceDN/>
      <w:spacing w:before="100" w:beforeAutospacing="1" w:after="100" w:afterAutospacing="1"/>
    </w:pPr>
    <w:rPr>
      <w:sz w:val="24"/>
      <w:szCs w:val="24"/>
      <w:lang w:val="pt-BR" w:eastAsia="pt-BR"/>
    </w:rPr>
  </w:style>
  <w:style w:type="paragraph" w:styleId="NormalWeb">
    <w:name w:val="Normal (Web)"/>
    <w:basedOn w:val="Normal"/>
    <w:uiPriority w:val="99"/>
    <w:unhideWhenUsed/>
    <w:rsid w:val="00CB7603"/>
    <w:pPr>
      <w:widowControl/>
      <w:autoSpaceDE/>
      <w:autoSpaceDN/>
      <w:spacing w:before="100" w:beforeAutospacing="1" w:after="100" w:afterAutospacing="1"/>
    </w:pPr>
    <w:rPr>
      <w:sz w:val="24"/>
      <w:szCs w:val="24"/>
      <w:lang w:val="pt-BR" w:eastAsia="pt-BR"/>
    </w:rPr>
  </w:style>
  <w:style w:type="character" w:styleId="Hyperlink">
    <w:name w:val="Hyperlink"/>
    <w:basedOn w:val="Fontepargpadro"/>
    <w:uiPriority w:val="99"/>
    <w:unhideWhenUsed/>
    <w:rsid w:val="004307C9"/>
    <w:rPr>
      <w:color w:val="0000FF" w:themeColor="hyperlink"/>
      <w:u w:val="single"/>
    </w:rPr>
  </w:style>
  <w:style w:type="character" w:styleId="nfase">
    <w:name w:val="Emphasis"/>
    <w:basedOn w:val="Fontepargpadro"/>
    <w:uiPriority w:val="20"/>
    <w:qFormat/>
    <w:rsid w:val="001B38A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294993">
      <w:bodyDiv w:val="1"/>
      <w:marLeft w:val="0"/>
      <w:marRight w:val="0"/>
      <w:marTop w:val="0"/>
      <w:marBottom w:val="0"/>
      <w:divBdr>
        <w:top w:val="none" w:sz="0" w:space="0" w:color="auto"/>
        <w:left w:val="none" w:sz="0" w:space="0" w:color="auto"/>
        <w:bottom w:val="none" w:sz="0" w:space="0" w:color="auto"/>
        <w:right w:val="none" w:sz="0" w:space="0" w:color="auto"/>
      </w:divBdr>
    </w:div>
    <w:div w:id="163129998">
      <w:bodyDiv w:val="1"/>
      <w:marLeft w:val="0"/>
      <w:marRight w:val="0"/>
      <w:marTop w:val="0"/>
      <w:marBottom w:val="0"/>
      <w:divBdr>
        <w:top w:val="none" w:sz="0" w:space="0" w:color="auto"/>
        <w:left w:val="none" w:sz="0" w:space="0" w:color="auto"/>
        <w:bottom w:val="none" w:sz="0" w:space="0" w:color="auto"/>
        <w:right w:val="none" w:sz="0" w:space="0" w:color="auto"/>
      </w:divBdr>
    </w:div>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241724473">
      <w:bodyDiv w:val="1"/>
      <w:marLeft w:val="0"/>
      <w:marRight w:val="0"/>
      <w:marTop w:val="0"/>
      <w:marBottom w:val="0"/>
      <w:divBdr>
        <w:top w:val="none" w:sz="0" w:space="0" w:color="auto"/>
        <w:left w:val="none" w:sz="0" w:space="0" w:color="auto"/>
        <w:bottom w:val="none" w:sz="0" w:space="0" w:color="auto"/>
        <w:right w:val="none" w:sz="0" w:space="0" w:color="auto"/>
      </w:divBdr>
    </w:div>
    <w:div w:id="264382217">
      <w:bodyDiv w:val="1"/>
      <w:marLeft w:val="0"/>
      <w:marRight w:val="0"/>
      <w:marTop w:val="0"/>
      <w:marBottom w:val="0"/>
      <w:divBdr>
        <w:top w:val="none" w:sz="0" w:space="0" w:color="auto"/>
        <w:left w:val="none" w:sz="0" w:space="0" w:color="auto"/>
        <w:bottom w:val="none" w:sz="0" w:space="0" w:color="auto"/>
        <w:right w:val="none" w:sz="0" w:space="0" w:color="auto"/>
      </w:divBdr>
    </w:div>
    <w:div w:id="299042722">
      <w:bodyDiv w:val="1"/>
      <w:marLeft w:val="0"/>
      <w:marRight w:val="0"/>
      <w:marTop w:val="0"/>
      <w:marBottom w:val="0"/>
      <w:divBdr>
        <w:top w:val="none" w:sz="0" w:space="0" w:color="auto"/>
        <w:left w:val="none" w:sz="0" w:space="0" w:color="auto"/>
        <w:bottom w:val="none" w:sz="0" w:space="0" w:color="auto"/>
        <w:right w:val="none" w:sz="0" w:space="0" w:color="auto"/>
      </w:divBdr>
    </w:div>
    <w:div w:id="351497676">
      <w:bodyDiv w:val="1"/>
      <w:marLeft w:val="0"/>
      <w:marRight w:val="0"/>
      <w:marTop w:val="0"/>
      <w:marBottom w:val="0"/>
      <w:divBdr>
        <w:top w:val="none" w:sz="0" w:space="0" w:color="auto"/>
        <w:left w:val="none" w:sz="0" w:space="0" w:color="auto"/>
        <w:bottom w:val="none" w:sz="0" w:space="0" w:color="auto"/>
        <w:right w:val="none" w:sz="0" w:space="0" w:color="auto"/>
      </w:divBdr>
    </w:div>
    <w:div w:id="359554849">
      <w:bodyDiv w:val="1"/>
      <w:marLeft w:val="0"/>
      <w:marRight w:val="0"/>
      <w:marTop w:val="0"/>
      <w:marBottom w:val="0"/>
      <w:divBdr>
        <w:top w:val="none" w:sz="0" w:space="0" w:color="auto"/>
        <w:left w:val="none" w:sz="0" w:space="0" w:color="auto"/>
        <w:bottom w:val="none" w:sz="0" w:space="0" w:color="auto"/>
        <w:right w:val="none" w:sz="0" w:space="0" w:color="auto"/>
      </w:divBdr>
    </w:div>
    <w:div w:id="389228783">
      <w:bodyDiv w:val="1"/>
      <w:marLeft w:val="0"/>
      <w:marRight w:val="0"/>
      <w:marTop w:val="0"/>
      <w:marBottom w:val="0"/>
      <w:divBdr>
        <w:top w:val="none" w:sz="0" w:space="0" w:color="auto"/>
        <w:left w:val="none" w:sz="0" w:space="0" w:color="auto"/>
        <w:bottom w:val="none" w:sz="0" w:space="0" w:color="auto"/>
        <w:right w:val="none" w:sz="0" w:space="0" w:color="auto"/>
      </w:divBdr>
    </w:div>
    <w:div w:id="580137645">
      <w:bodyDiv w:val="1"/>
      <w:marLeft w:val="0"/>
      <w:marRight w:val="0"/>
      <w:marTop w:val="0"/>
      <w:marBottom w:val="0"/>
      <w:divBdr>
        <w:top w:val="none" w:sz="0" w:space="0" w:color="auto"/>
        <w:left w:val="none" w:sz="0" w:space="0" w:color="auto"/>
        <w:bottom w:val="none" w:sz="0" w:space="0" w:color="auto"/>
        <w:right w:val="none" w:sz="0" w:space="0" w:color="auto"/>
      </w:divBdr>
    </w:div>
    <w:div w:id="633947337">
      <w:bodyDiv w:val="1"/>
      <w:marLeft w:val="0"/>
      <w:marRight w:val="0"/>
      <w:marTop w:val="0"/>
      <w:marBottom w:val="0"/>
      <w:divBdr>
        <w:top w:val="none" w:sz="0" w:space="0" w:color="auto"/>
        <w:left w:val="none" w:sz="0" w:space="0" w:color="auto"/>
        <w:bottom w:val="none" w:sz="0" w:space="0" w:color="auto"/>
        <w:right w:val="none" w:sz="0" w:space="0" w:color="auto"/>
      </w:divBdr>
    </w:div>
    <w:div w:id="754982633">
      <w:bodyDiv w:val="1"/>
      <w:marLeft w:val="0"/>
      <w:marRight w:val="0"/>
      <w:marTop w:val="0"/>
      <w:marBottom w:val="0"/>
      <w:divBdr>
        <w:top w:val="none" w:sz="0" w:space="0" w:color="auto"/>
        <w:left w:val="none" w:sz="0" w:space="0" w:color="auto"/>
        <w:bottom w:val="none" w:sz="0" w:space="0" w:color="auto"/>
        <w:right w:val="none" w:sz="0" w:space="0" w:color="auto"/>
      </w:divBdr>
    </w:div>
    <w:div w:id="775563749">
      <w:bodyDiv w:val="1"/>
      <w:marLeft w:val="0"/>
      <w:marRight w:val="0"/>
      <w:marTop w:val="0"/>
      <w:marBottom w:val="0"/>
      <w:divBdr>
        <w:top w:val="none" w:sz="0" w:space="0" w:color="auto"/>
        <w:left w:val="none" w:sz="0" w:space="0" w:color="auto"/>
        <w:bottom w:val="none" w:sz="0" w:space="0" w:color="auto"/>
        <w:right w:val="none" w:sz="0" w:space="0" w:color="auto"/>
      </w:divBdr>
    </w:div>
    <w:div w:id="978998191">
      <w:bodyDiv w:val="1"/>
      <w:marLeft w:val="0"/>
      <w:marRight w:val="0"/>
      <w:marTop w:val="0"/>
      <w:marBottom w:val="0"/>
      <w:divBdr>
        <w:top w:val="none" w:sz="0" w:space="0" w:color="auto"/>
        <w:left w:val="none" w:sz="0" w:space="0" w:color="auto"/>
        <w:bottom w:val="none" w:sz="0" w:space="0" w:color="auto"/>
        <w:right w:val="none" w:sz="0" w:space="0" w:color="auto"/>
      </w:divBdr>
    </w:div>
    <w:div w:id="1170681493">
      <w:bodyDiv w:val="1"/>
      <w:marLeft w:val="0"/>
      <w:marRight w:val="0"/>
      <w:marTop w:val="0"/>
      <w:marBottom w:val="0"/>
      <w:divBdr>
        <w:top w:val="none" w:sz="0" w:space="0" w:color="auto"/>
        <w:left w:val="none" w:sz="0" w:space="0" w:color="auto"/>
        <w:bottom w:val="none" w:sz="0" w:space="0" w:color="auto"/>
        <w:right w:val="none" w:sz="0" w:space="0" w:color="auto"/>
      </w:divBdr>
    </w:div>
    <w:div w:id="1208567737">
      <w:bodyDiv w:val="1"/>
      <w:marLeft w:val="0"/>
      <w:marRight w:val="0"/>
      <w:marTop w:val="0"/>
      <w:marBottom w:val="0"/>
      <w:divBdr>
        <w:top w:val="none" w:sz="0" w:space="0" w:color="auto"/>
        <w:left w:val="none" w:sz="0" w:space="0" w:color="auto"/>
        <w:bottom w:val="none" w:sz="0" w:space="0" w:color="auto"/>
        <w:right w:val="none" w:sz="0" w:space="0" w:color="auto"/>
      </w:divBdr>
    </w:div>
    <w:div w:id="1294746837">
      <w:bodyDiv w:val="1"/>
      <w:marLeft w:val="0"/>
      <w:marRight w:val="0"/>
      <w:marTop w:val="0"/>
      <w:marBottom w:val="0"/>
      <w:divBdr>
        <w:top w:val="none" w:sz="0" w:space="0" w:color="auto"/>
        <w:left w:val="none" w:sz="0" w:space="0" w:color="auto"/>
        <w:bottom w:val="none" w:sz="0" w:space="0" w:color="auto"/>
        <w:right w:val="none" w:sz="0" w:space="0" w:color="auto"/>
      </w:divBdr>
    </w:div>
    <w:div w:id="1327510434">
      <w:bodyDiv w:val="1"/>
      <w:marLeft w:val="0"/>
      <w:marRight w:val="0"/>
      <w:marTop w:val="0"/>
      <w:marBottom w:val="0"/>
      <w:divBdr>
        <w:top w:val="none" w:sz="0" w:space="0" w:color="auto"/>
        <w:left w:val="none" w:sz="0" w:space="0" w:color="auto"/>
        <w:bottom w:val="none" w:sz="0" w:space="0" w:color="auto"/>
        <w:right w:val="none" w:sz="0" w:space="0" w:color="auto"/>
      </w:divBdr>
    </w:div>
    <w:div w:id="1330019992">
      <w:bodyDiv w:val="1"/>
      <w:marLeft w:val="0"/>
      <w:marRight w:val="0"/>
      <w:marTop w:val="0"/>
      <w:marBottom w:val="0"/>
      <w:divBdr>
        <w:top w:val="none" w:sz="0" w:space="0" w:color="auto"/>
        <w:left w:val="none" w:sz="0" w:space="0" w:color="auto"/>
        <w:bottom w:val="none" w:sz="0" w:space="0" w:color="auto"/>
        <w:right w:val="none" w:sz="0" w:space="0" w:color="auto"/>
      </w:divBdr>
    </w:div>
    <w:div w:id="1349526078">
      <w:bodyDiv w:val="1"/>
      <w:marLeft w:val="0"/>
      <w:marRight w:val="0"/>
      <w:marTop w:val="0"/>
      <w:marBottom w:val="0"/>
      <w:divBdr>
        <w:top w:val="none" w:sz="0" w:space="0" w:color="auto"/>
        <w:left w:val="none" w:sz="0" w:space="0" w:color="auto"/>
        <w:bottom w:val="none" w:sz="0" w:space="0" w:color="auto"/>
        <w:right w:val="none" w:sz="0" w:space="0" w:color="auto"/>
      </w:divBdr>
    </w:div>
    <w:div w:id="1382090694">
      <w:bodyDiv w:val="1"/>
      <w:marLeft w:val="0"/>
      <w:marRight w:val="0"/>
      <w:marTop w:val="0"/>
      <w:marBottom w:val="0"/>
      <w:divBdr>
        <w:top w:val="none" w:sz="0" w:space="0" w:color="auto"/>
        <w:left w:val="none" w:sz="0" w:space="0" w:color="auto"/>
        <w:bottom w:val="none" w:sz="0" w:space="0" w:color="auto"/>
        <w:right w:val="none" w:sz="0" w:space="0" w:color="auto"/>
      </w:divBdr>
    </w:div>
    <w:div w:id="1468469204">
      <w:bodyDiv w:val="1"/>
      <w:marLeft w:val="0"/>
      <w:marRight w:val="0"/>
      <w:marTop w:val="0"/>
      <w:marBottom w:val="0"/>
      <w:divBdr>
        <w:top w:val="none" w:sz="0" w:space="0" w:color="auto"/>
        <w:left w:val="none" w:sz="0" w:space="0" w:color="auto"/>
        <w:bottom w:val="none" w:sz="0" w:space="0" w:color="auto"/>
        <w:right w:val="none" w:sz="0" w:space="0" w:color="auto"/>
      </w:divBdr>
    </w:div>
    <w:div w:id="1581059893">
      <w:bodyDiv w:val="1"/>
      <w:marLeft w:val="0"/>
      <w:marRight w:val="0"/>
      <w:marTop w:val="0"/>
      <w:marBottom w:val="0"/>
      <w:divBdr>
        <w:top w:val="none" w:sz="0" w:space="0" w:color="auto"/>
        <w:left w:val="none" w:sz="0" w:space="0" w:color="auto"/>
        <w:bottom w:val="none" w:sz="0" w:space="0" w:color="auto"/>
        <w:right w:val="none" w:sz="0" w:space="0" w:color="auto"/>
      </w:divBdr>
    </w:div>
    <w:div w:id="1603612546">
      <w:bodyDiv w:val="1"/>
      <w:marLeft w:val="0"/>
      <w:marRight w:val="0"/>
      <w:marTop w:val="0"/>
      <w:marBottom w:val="0"/>
      <w:divBdr>
        <w:top w:val="none" w:sz="0" w:space="0" w:color="auto"/>
        <w:left w:val="none" w:sz="0" w:space="0" w:color="auto"/>
        <w:bottom w:val="none" w:sz="0" w:space="0" w:color="auto"/>
        <w:right w:val="none" w:sz="0" w:space="0" w:color="auto"/>
      </w:divBdr>
    </w:div>
    <w:div w:id="1607809083">
      <w:bodyDiv w:val="1"/>
      <w:marLeft w:val="0"/>
      <w:marRight w:val="0"/>
      <w:marTop w:val="0"/>
      <w:marBottom w:val="0"/>
      <w:divBdr>
        <w:top w:val="none" w:sz="0" w:space="0" w:color="auto"/>
        <w:left w:val="none" w:sz="0" w:space="0" w:color="auto"/>
        <w:bottom w:val="none" w:sz="0" w:space="0" w:color="auto"/>
        <w:right w:val="none" w:sz="0" w:space="0" w:color="auto"/>
      </w:divBdr>
    </w:div>
    <w:div w:id="1678843873">
      <w:bodyDiv w:val="1"/>
      <w:marLeft w:val="0"/>
      <w:marRight w:val="0"/>
      <w:marTop w:val="0"/>
      <w:marBottom w:val="0"/>
      <w:divBdr>
        <w:top w:val="none" w:sz="0" w:space="0" w:color="auto"/>
        <w:left w:val="none" w:sz="0" w:space="0" w:color="auto"/>
        <w:bottom w:val="none" w:sz="0" w:space="0" w:color="auto"/>
        <w:right w:val="none" w:sz="0" w:space="0" w:color="auto"/>
      </w:divBdr>
    </w:div>
    <w:div w:id="1712411813">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 w:id="1820734093">
      <w:bodyDiv w:val="1"/>
      <w:marLeft w:val="0"/>
      <w:marRight w:val="0"/>
      <w:marTop w:val="0"/>
      <w:marBottom w:val="0"/>
      <w:divBdr>
        <w:top w:val="none" w:sz="0" w:space="0" w:color="auto"/>
        <w:left w:val="none" w:sz="0" w:space="0" w:color="auto"/>
        <w:bottom w:val="none" w:sz="0" w:space="0" w:color="auto"/>
        <w:right w:val="none" w:sz="0" w:space="0" w:color="auto"/>
      </w:divBdr>
    </w:div>
    <w:div w:id="1920362787">
      <w:bodyDiv w:val="1"/>
      <w:marLeft w:val="0"/>
      <w:marRight w:val="0"/>
      <w:marTop w:val="0"/>
      <w:marBottom w:val="0"/>
      <w:divBdr>
        <w:top w:val="none" w:sz="0" w:space="0" w:color="auto"/>
        <w:left w:val="none" w:sz="0" w:space="0" w:color="auto"/>
        <w:bottom w:val="none" w:sz="0" w:space="0" w:color="auto"/>
        <w:right w:val="none" w:sz="0" w:space="0" w:color="auto"/>
      </w:divBdr>
    </w:div>
    <w:div w:id="1931615797">
      <w:bodyDiv w:val="1"/>
      <w:marLeft w:val="0"/>
      <w:marRight w:val="0"/>
      <w:marTop w:val="0"/>
      <w:marBottom w:val="0"/>
      <w:divBdr>
        <w:top w:val="none" w:sz="0" w:space="0" w:color="auto"/>
        <w:left w:val="none" w:sz="0" w:space="0" w:color="auto"/>
        <w:bottom w:val="none" w:sz="0" w:space="0" w:color="auto"/>
        <w:right w:val="none" w:sz="0" w:space="0" w:color="auto"/>
      </w:divBdr>
    </w:div>
    <w:div w:id="1993823889">
      <w:bodyDiv w:val="1"/>
      <w:marLeft w:val="0"/>
      <w:marRight w:val="0"/>
      <w:marTop w:val="0"/>
      <w:marBottom w:val="0"/>
      <w:divBdr>
        <w:top w:val="none" w:sz="0" w:space="0" w:color="auto"/>
        <w:left w:val="none" w:sz="0" w:space="0" w:color="auto"/>
        <w:bottom w:val="none" w:sz="0" w:space="0" w:color="auto"/>
        <w:right w:val="none" w:sz="0" w:space="0" w:color="auto"/>
      </w:divBdr>
    </w:div>
    <w:div w:id="2001498602">
      <w:bodyDiv w:val="1"/>
      <w:marLeft w:val="0"/>
      <w:marRight w:val="0"/>
      <w:marTop w:val="0"/>
      <w:marBottom w:val="0"/>
      <w:divBdr>
        <w:top w:val="none" w:sz="0" w:space="0" w:color="auto"/>
        <w:left w:val="none" w:sz="0" w:space="0" w:color="auto"/>
        <w:bottom w:val="none" w:sz="0" w:space="0" w:color="auto"/>
        <w:right w:val="none" w:sz="0" w:space="0" w:color="auto"/>
      </w:divBdr>
    </w:div>
    <w:div w:id="2009669512">
      <w:bodyDiv w:val="1"/>
      <w:marLeft w:val="0"/>
      <w:marRight w:val="0"/>
      <w:marTop w:val="0"/>
      <w:marBottom w:val="0"/>
      <w:divBdr>
        <w:top w:val="none" w:sz="0" w:space="0" w:color="auto"/>
        <w:left w:val="none" w:sz="0" w:space="0" w:color="auto"/>
        <w:bottom w:val="none" w:sz="0" w:space="0" w:color="auto"/>
        <w:right w:val="none" w:sz="0" w:space="0" w:color="auto"/>
      </w:divBdr>
    </w:div>
    <w:div w:id="20337260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arita.carmo@estudante.iftm.edu.b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6</Pages>
  <Words>2208</Words>
  <Characters>11926</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poleto</dc:creator>
  <cp:lastModifiedBy>CTIC UBeraba</cp:lastModifiedBy>
  <cp:revision>42</cp:revision>
  <dcterms:created xsi:type="dcterms:W3CDTF">2026-06-16T16:04:00Z</dcterms:created>
  <dcterms:modified xsi:type="dcterms:W3CDTF">2026-06-25T13:13:00Z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