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336D77F6" w:rsidR="0027518C" w:rsidRDefault="005D7EBD">
          <w:r>
            <w:rPr>
              <w:noProof/>
            </w:rPr>
            <mc:AlternateContent>
              <mc:Choice Requires="wps">
                <w:drawing>
                  <wp:anchor distT="0" distB="0" distL="114300" distR="114300" simplePos="0" relativeHeight="251665408" behindDoc="0" locked="0" layoutInCell="1" allowOverlap="1" wp14:anchorId="784170F8" wp14:editId="3BCE057A">
                    <wp:simplePos x="0" y="0"/>
                    <wp:positionH relativeFrom="column">
                      <wp:posOffset>429177</wp:posOffset>
                    </wp:positionH>
                    <wp:positionV relativeFrom="paragraph">
                      <wp:posOffset>6855185</wp:posOffset>
                    </wp:positionV>
                    <wp:extent cx="936434" cy="798722"/>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936434" cy="798722"/>
                            </a:xfrm>
                            <a:prstGeom prst="rect">
                              <a:avLst/>
                            </a:prstGeom>
                            <a:noFill/>
                            <a:ln w="6350">
                              <a:noFill/>
                            </a:ln>
                          </wps:spPr>
                          <wps:txbx>
                            <w:txbxContent>
                              <w:p w14:paraId="7AC046C5" w14:textId="4E1359E3" w:rsidR="0053021A" w:rsidRPr="00733AFB" w:rsidRDefault="0053021A" w:rsidP="0053021A">
                                <w:pPr>
                                  <w:rPr>
                                    <w:rFonts w:ascii="Antonio" w:hAnsi="Antonio"/>
                                    <w:color w:val="F8EDD1"/>
                                    <w:sz w:val="44"/>
                                    <w:szCs w:val="44"/>
                                  </w:rPr>
                                </w:pPr>
                                <w:r w:rsidRPr="00733AFB">
                                  <w:rPr>
                                    <w:rFonts w:ascii="Antonio" w:hAnsi="Antonio"/>
                                    <w:color w:val="F8EDD1"/>
                                    <w:sz w:val="44"/>
                                    <w:szCs w:val="44"/>
                                  </w:rPr>
                                  <w:t xml:space="preserve">GT </w:t>
                                </w:r>
                                <w:r w:rsidR="005D7EBD">
                                  <w:rPr>
                                    <w:rFonts w:ascii="Antonio" w:hAnsi="Antonio"/>
                                    <w:color w:val="F8EDD1"/>
                                    <w:sz w:val="44"/>
                                    <w:szCs w:val="4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170F8" id="_x0000_t202" coordsize="21600,21600" o:spt="202" path="m,l,21600r21600,l21600,xe">
                    <v:stroke joinstyle="miter"/>
                    <v:path gradientshapeok="t" o:connecttype="rect"/>
                  </v:shapetype>
                  <v:shape id="Caixa de Texto 4" o:spid="_x0000_s1026" type="#_x0000_t202" style="position:absolute;margin-left:33.8pt;margin-top:539.8pt;width:73.75pt;height:6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npFwIAACs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" filled="f" stroked="f" strokeweight=".5pt">
                    <v:textbox>
                      <w:txbxContent>
                        <w:p w14:paraId="7AC046C5" w14:textId="4E1359E3" w:rsidR="0053021A" w:rsidRPr="00733AFB" w:rsidRDefault="0053021A" w:rsidP="0053021A">
                          <w:pPr>
                            <w:rPr>
                              <w:rFonts w:ascii="Antonio" w:hAnsi="Antonio"/>
                              <w:color w:val="F8EDD1"/>
                              <w:sz w:val="44"/>
                              <w:szCs w:val="44"/>
                            </w:rPr>
                          </w:pPr>
                          <w:r w:rsidRPr="00733AFB">
                            <w:rPr>
                              <w:rFonts w:ascii="Antonio" w:hAnsi="Antonio"/>
                              <w:color w:val="F8EDD1"/>
                              <w:sz w:val="44"/>
                              <w:szCs w:val="44"/>
                            </w:rPr>
                            <w:t xml:space="preserve">GT </w:t>
                          </w:r>
                          <w:r w:rsidR="005D7EBD">
                            <w:rPr>
                              <w:rFonts w:ascii="Antonio" w:hAnsi="Antonio"/>
                              <w:color w:val="F8EDD1"/>
                              <w:sz w:val="44"/>
                              <w:szCs w:val="44"/>
                            </w:rPr>
                            <w:t>10</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sidR="0053021A">
            <w:rPr>
              <w:noProof/>
            </w:rPr>
            <mc:AlternateContent>
              <mc:Choice Requires="wps">
                <w:drawing>
                  <wp:anchor distT="0" distB="0" distL="114300" distR="114300" simplePos="0" relativeHeight="251664384" behindDoc="0" locked="0" layoutInCell="1" allowOverlap="1" wp14:anchorId="5E65D060" wp14:editId="69B4F94D">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407C493" w14:textId="77777777" w:rsidR="005D7EBD" w:rsidRPr="005D7EBD" w:rsidRDefault="005D7EBD" w:rsidP="005D7EBD">
                                <w:pPr>
                                  <w:spacing w:line="360" w:lineRule="auto"/>
                                  <w:ind w:hanging="2"/>
                                  <w:rPr>
                                    <w:rFonts w:eastAsia="Arial" w:cs="Arial"/>
                                  </w:rPr>
                                </w:pPr>
                                <w:r w:rsidRPr="0090504B">
                                  <w:rPr>
                                    <w:rFonts w:eastAsia="Arial" w:cs="Arial"/>
                                  </w:rPr>
                                  <w:t>PERSPECTIVA TERRITORIAL DO DESENVOLVIMENTO RURAL: PRÁTICAS, POLÍTICAS E PROCESSOS NO CONTEXTO DAS MUDANÇAS CLIMÁTICAS</w:t>
                                </w:r>
                              </w:p>
                              <w:p w14:paraId="638EDCFA" w14:textId="0D572A8B" w:rsidR="0053021A" w:rsidRPr="00733AFB" w:rsidRDefault="0053021A" w:rsidP="0053021A">
                                <w:pPr>
                                  <w:rPr>
                                    <w:rFonts w:ascii="Antonio" w:hAnsi="Antonio"/>
                                    <w:color w:val="1A9B3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5D060" id="Caixa de Texto 2" o:spid="_x0000_s1027"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x37GQIAADQ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" filled="f" stroked="f" strokeweight=".5pt">
                    <v:textbox>
                      <w:txbxContent>
                        <w:p w14:paraId="6407C493" w14:textId="77777777" w:rsidR="005D7EBD" w:rsidRPr="005D7EBD" w:rsidRDefault="005D7EBD" w:rsidP="005D7EBD">
                          <w:pPr>
                            <w:spacing w:line="360" w:lineRule="auto"/>
                            <w:ind w:hanging="2"/>
                            <w:rPr>
                              <w:rFonts w:eastAsia="Arial" w:cs="Arial"/>
                            </w:rPr>
                          </w:pPr>
                          <w:r w:rsidRPr="0090504B">
                            <w:rPr>
                              <w:rFonts w:eastAsia="Arial" w:cs="Arial"/>
                            </w:rPr>
                            <w:t>PERSPECTIVA TERRITORIAL DO DESENVOLVIMENTO RURAL: PRÁTICAS, POLÍTICAS E PROCESSOS NO CONTEXTO DAS MUDANÇAS CLIMÁTICAS</w:t>
                          </w:r>
                        </w:p>
                        <w:p w14:paraId="638EDCFA" w14:textId="0D572A8B" w:rsidR="0053021A" w:rsidRPr="00733AFB" w:rsidRDefault="0053021A" w:rsidP="0053021A">
                          <w:pPr>
                            <w:rPr>
                              <w:rFonts w:ascii="Antonio" w:hAnsi="Antonio"/>
                              <w:color w:val="1A9B3C"/>
                              <w:sz w:val="36"/>
                              <w:szCs w:val="36"/>
                            </w:rPr>
                          </w:pPr>
                        </w:p>
                      </w:txbxContent>
                    </v:textbox>
                  </v:shape>
                </w:pict>
              </mc:Fallback>
            </mc:AlternateContent>
          </w:r>
          <w:r w:rsidR="0053021A">
            <w:br w:type="page"/>
          </w:r>
        </w:p>
      </w:sdtContent>
    </w:sdt>
    <w:p w14:paraId="0D249CF3" w14:textId="5D063FC1" w:rsidR="00216EFF" w:rsidRPr="005E3A01" w:rsidRDefault="008B1892" w:rsidP="00D84787">
      <w:pPr>
        <w:spacing w:after="240" w:line="360" w:lineRule="auto"/>
        <w:jc w:val="center"/>
        <w:rPr>
          <w:rFonts w:eastAsia="Arial"/>
          <w:b/>
          <w:bCs/>
        </w:rPr>
      </w:pPr>
      <w:r w:rsidRPr="00725AAC">
        <w:rPr>
          <w:rFonts w:ascii="Trebuchet MS" w:hAnsi="Trebuchet MS" w:cs="Arial"/>
          <w:b/>
        </w:rPr>
        <w:lastRenderedPageBreak/>
        <w:t>CONTRIBUIÇÕES À TERRITORIALIZAÇÃO DE POLÍTICAS PÚBLICAS PARA A AGRICULTURA FAMILIAR: PROCEDIMENTOS TEÓRICO-METODOLÓGICOS E AÇÕES ORIENTADORA</w:t>
      </w:r>
      <w:r w:rsidR="005D7EBD">
        <w:rPr>
          <w:rFonts w:ascii="Trebuchet MS" w:hAnsi="Trebuchet MS" w:cs="Arial"/>
          <w:b/>
        </w:rPr>
        <w:t>S</w:t>
      </w:r>
      <w:r w:rsidR="005D7EBD">
        <w:rPr>
          <w:rStyle w:val="Refdenotaderodap"/>
          <w:rFonts w:ascii="Trebuchet MS" w:hAnsi="Trebuchet MS" w:cs="Arial"/>
          <w:b/>
        </w:rPr>
        <w:footnoteReference w:id="1"/>
      </w:r>
    </w:p>
    <w:p w14:paraId="50A5D750" w14:textId="5F4E97F8" w:rsidR="00216EFF" w:rsidRPr="00216EFF" w:rsidRDefault="008B1892" w:rsidP="00216EFF">
      <w:pPr>
        <w:spacing w:line="360" w:lineRule="auto"/>
        <w:ind w:hanging="2"/>
        <w:jc w:val="center"/>
        <w:rPr>
          <w:rFonts w:eastAsia="Arial" w:cs="Arial"/>
          <w:vertAlign w:val="superscript"/>
        </w:rPr>
      </w:pPr>
      <w:r>
        <w:rPr>
          <w:rFonts w:eastAsia="Arial" w:cs="Arial"/>
        </w:rPr>
        <w:t xml:space="preserve">Ademir </w:t>
      </w:r>
      <w:proofErr w:type="spellStart"/>
      <w:r>
        <w:rPr>
          <w:rFonts w:eastAsia="Arial" w:cs="Arial"/>
        </w:rPr>
        <w:t>Antonio</w:t>
      </w:r>
      <w:proofErr w:type="spellEnd"/>
      <w:r>
        <w:rPr>
          <w:rFonts w:eastAsia="Arial" w:cs="Arial"/>
        </w:rPr>
        <w:t xml:space="preserve"> </w:t>
      </w:r>
      <w:proofErr w:type="spellStart"/>
      <w:r>
        <w:rPr>
          <w:rFonts w:eastAsia="Arial" w:cs="Arial"/>
        </w:rPr>
        <w:t>Cazella</w:t>
      </w:r>
      <w:proofErr w:type="spellEnd"/>
      <w:r w:rsidR="00216EFF" w:rsidRPr="00216EFF">
        <w:rPr>
          <w:rStyle w:val="Refdenotaderodap"/>
          <w:rFonts w:eastAsia="Arial" w:cs="Arial"/>
        </w:rPr>
        <w:footnoteReference w:id="2"/>
      </w:r>
    </w:p>
    <w:p w14:paraId="51BB509E" w14:textId="23829FDD" w:rsidR="00216EFF" w:rsidRPr="005D7EBD" w:rsidRDefault="0090504B" w:rsidP="005D7EBD">
      <w:pPr>
        <w:spacing w:line="360" w:lineRule="auto"/>
        <w:ind w:hanging="2"/>
        <w:jc w:val="center"/>
        <w:rPr>
          <w:rFonts w:eastAsia="Arial" w:cs="Arial"/>
        </w:rPr>
      </w:pPr>
      <w:r>
        <w:rPr>
          <w:rFonts w:eastAsia="Arial" w:cs="Arial"/>
        </w:rPr>
        <w:t xml:space="preserve">Moisés </w:t>
      </w:r>
      <w:proofErr w:type="spellStart"/>
      <w:r>
        <w:rPr>
          <w:rFonts w:eastAsia="Arial" w:cs="Arial"/>
        </w:rPr>
        <w:t>Savian</w:t>
      </w:r>
      <w:proofErr w:type="spellEnd"/>
      <w:r w:rsidR="00216EFF" w:rsidRPr="00216EFF">
        <w:rPr>
          <w:rStyle w:val="Refdenotaderodap"/>
          <w:rFonts w:eastAsia="Arial" w:cs="Arial"/>
        </w:rPr>
        <w:footnoteReference w:id="3"/>
      </w:r>
    </w:p>
    <w:p w14:paraId="1A10A913" w14:textId="77777777" w:rsidR="00216EFF" w:rsidRPr="00216EFF" w:rsidRDefault="00216EFF" w:rsidP="00216EFF">
      <w:pPr>
        <w:spacing w:line="360" w:lineRule="auto"/>
        <w:ind w:hanging="2"/>
        <w:rPr>
          <w:rFonts w:eastAsia="Arial" w:cs="Arial"/>
          <w:color w:val="FF0000"/>
        </w:rPr>
      </w:pPr>
    </w:p>
    <w:p w14:paraId="197CC6C0" w14:textId="008328A5" w:rsidR="00216EFF" w:rsidRPr="005D7EBD" w:rsidRDefault="00216EFF" w:rsidP="005D7EBD">
      <w:pPr>
        <w:spacing w:line="360" w:lineRule="auto"/>
        <w:ind w:hanging="2"/>
        <w:rPr>
          <w:rFonts w:eastAsia="Arial" w:cs="Arial"/>
        </w:rPr>
      </w:pPr>
      <w:r w:rsidRPr="00216EFF">
        <w:rPr>
          <w:rFonts w:eastAsia="Arial" w:cs="Arial"/>
          <w:b/>
        </w:rPr>
        <w:t xml:space="preserve">GT </w:t>
      </w:r>
      <w:r w:rsidR="0090504B">
        <w:rPr>
          <w:rFonts w:eastAsia="Arial" w:cs="Arial"/>
          <w:b/>
        </w:rPr>
        <w:t>10</w:t>
      </w:r>
      <w:r w:rsidRPr="00216EFF">
        <w:rPr>
          <w:rFonts w:eastAsia="Arial" w:cs="Arial"/>
          <w:b/>
        </w:rPr>
        <w:t>:</w:t>
      </w:r>
      <w:r w:rsidRPr="00216EFF">
        <w:rPr>
          <w:rFonts w:eastAsia="Arial" w:cs="Arial"/>
        </w:rPr>
        <w:t xml:space="preserve"> </w:t>
      </w:r>
      <w:r w:rsidR="005D7EBD" w:rsidRPr="0090504B">
        <w:rPr>
          <w:rFonts w:eastAsia="Arial" w:cs="Arial"/>
        </w:rPr>
        <w:t>PERSPECTIVA TERRITORIAL DO DESENVOLVIMENTO RURAL: PRÁTICAS, POLÍTICAS E PROCESSOS NO CONTEXTO DAS MUDANÇAS CLIMÁTICAS</w:t>
      </w: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08D77792" w:rsidR="00216EFF" w:rsidRPr="005E3A01" w:rsidRDefault="0090504B" w:rsidP="005D7EBD">
      <w:pPr>
        <w:spacing w:line="360" w:lineRule="auto"/>
        <w:jc w:val="both"/>
        <w:rPr>
          <w:rFonts w:ascii="Trebuchet MS" w:hAnsi="Trebuchet MS" w:cs="Arial"/>
        </w:rPr>
      </w:pPr>
      <w:r>
        <w:rPr>
          <w:rFonts w:ascii="Trebuchet MS" w:hAnsi="Trebuchet MS" w:cs="Arial"/>
        </w:rPr>
        <w:t xml:space="preserve">Este artigo tem por objetivo discutir o </w:t>
      </w:r>
      <w:r w:rsidRPr="00725AAC">
        <w:rPr>
          <w:rFonts w:ascii="Trebuchet MS" w:hAnsi="Trebuchet MS" w:cs="Arial"/>
        </w:rPr>
        <w:t xml:space="preserve">processo de territorialização de políticas públicas, </w:t>
      </w:r>
      <w:r>
        <w:rPr>
          <w:rFonts w:ascii="Trebuchet MS" w:hAnsi="Trebuchet MS" w:cs="Arial"/>
        </w:rPr>
        <w:t>a partir</w:t>
      </w:r>
      <w:r w:rsidRPr="00725AAC">
        <w:rPr>
          <w:rFonts w:ascii="Trebuchet MS" w:hAnsi="Trebuchet MS" w:cs="Arial"/>
        </w:rPr>
        <w:t xml:space="preserve"> </w:t>
      </w:r>
      <w:r>
        <w:rPr>
          <w:rFonts w:ascii="Trebuchet MS" w:hAnsi="Trebuchet MS" w:cs="Arial"/>
        </w:rPr>
        <w:t>d</w:t>
      </w:r>
      <w:r w:rsidRPr="00725AAC">
        <w:rPr>
          <w:rFonts w:ascii="Trebuchet MS" w:hAnsi="Trebuchet MS" w:cs="Arial"/>
        </w:rPr>
        <w:t>o enfoque teórico-metodológico da Cesta de Bens e Serviços Territoriais (CBST)</w:t>
      </w:r>
      <w:r>
        <w:rPr>
          <w:rFonts w:ascii="Trebuchet MS" w:hAnsi="Trebuchet MS" w:cs="Arial"/>
        </w:rPr>
        <w:t>.</w:t>
      </w:r>
      <w:r w:rsidRPr="00725AAC">
        <w:rPr>
          <w:rFonts w:ascii="Trebuchet MS" w:hAnsi="Trebuchet MS" w:cs="Arial"/>
        </w:rPr>
        <w:t xml:space="preserve"> </w:t>
      </w:r>
      <w:r>
        <w:rPr>
          <w:rFonts w:ascii="Trebuchet MS" w:hAnsi="Trebuchet MS" w:cs="Arial"/>
        </w:rPr>
        <w:t xml:space="preserve">Na </w:t>
      </w:r>
      <w:r w:rsidRPr="00725AAC">
        <w:rPr>
          <w:rFonts w:ascii="Trebuchet MS" w:hAnsi="Trebuchet MS" w:cs="Arial"/>
        </w:rPr>
        <w:t>sequência, aponta</w:t>
      </w:r>
      <w:r>
        <w:rPr>
          <w:rFonts w:ascii="Trebuchet MS" w:hAnsi="Trebuchet MS" w:cs="Arial"/>
        </w:rPr>
        <w:t>-se</w:t>
      </w:r>
      <w:r w:rsidRPr="00725AAC">
        <w:rPr>
          <w:rFonts w:ascii="Trebuchet MS" w:hAnsi="Trebuchet MS" w:cs="Arial"/>
        </w:rPr>
        <w:t xml:space="preserve"> exemplos </w:t>
      </w:r>
      <w:r>
        <w:rPr>
          <w:rFonts w:ascii="Trebuchet MS" w:hAnsi="Trebuchet MS" w:cs="Arial"/>
        </w:rPr>
        <w:t>de políticas que, ao longo do tempo, perderam o controle social na esfera territorial</w:t>
      </w:r>
      <w:r w:rsidRPr="00725AAC">
        <w:rPr>
          <w:rFonts w:ascii="Trebuchet MS" w:hAnsi="Trebuchet MS" w:cs="Arial"/>
        </w:rPr>
        <w:t xml:space="preserve"> </w:t>
      </w:r>
      <w:r>
        <w:rPr>
          <w:rFonts w:ascii="Trebuchet MS" w:hAnsi="Trebuchet MS" w:cs="Arial"/>
        </w:rPr>
        <w:t xml:space="preserve">e </w:t>
      </w:r>
      <w:r w:rsidRPr="00725AAC">
        <w:rPr>
          <w:rFonts w:ascii="Trebuchet MS" w:hAnsi="Trebuchet MS" w:cs="Arial"/>
        </w:rPr>
        <w:t>de</w:t>
      </w:r>
      <w:r>
        <w:rPr>
          <w:rFonts w:ascii="Trebuchet MS" w:hAnsi="Trebuchet MS" w:cs="Arial"/>
        </w:rPr>
        <w:t xml:space="preserve"> casos de</w:t>
      </w:r>
      <w:r w:rsidRPr="00725AAC">
        <w:rPr>
          <w:rFonts w:ascii="Trebuchet MS" w:hAnsi="Trebuchet MS" w:cs="Arial"/>
        </w:rPr>
        <w:t xml:space="preserve"> territorialização de políticas públicas que já ocorrem em alguns territórios</w:t>
      </w:r>
      <w:r>
        <w:rPr>
          <w:rFonts w:ascii="Trebuchet MS" w:hAnsi="Trebuchet MS" w:cs="Arial"/>
        </w:rPr>
        <w:t>. Esse debate se insere no contexto de retomada da política territorial pelo Ministério do Desenvolvimento Agrário e Agricultura Familiar, depois do desmonte dessa política ocorrido entre 2016 e 2022.</w:t>
      </w:r>
    </w:p>
    <w:p w14:paraId="1ABB7E9C" w14:textId="69EA2684" w:rsidR="00216EFF" w:rsidRPr="005D7EBD" w:rsidRDefault="00216EFF" w:rsidP="005D7EBD">
      <w:pPr>
        <w:spacing w:line="360" w:lineRule="auto"/>
        <w:ind w:hanging="2"/>
        <w:jc w:val="both"/>
        <w:rPr>
          <w:rFonts w:eastAsia="Arial" w:cs="Arial"/>
        </w:rPr>
      </w:pPr>
      <w:r w:rsidRPr="00216EFF">
        <w:rPr>
          <w:rFonts w:eastAsia="Arial" w:cs="Arial"/>
        </w:rPr>
        <w:t xml:space="preserve">Palavras-chave: </w:t>
      </w:r>
      <w:r w:rsidR="005D7EBD">
        <w:rPr>
          <w:rFonts w:eastAsia="Arial" w:cs="Arial"/>
        </w:rPr>
        <w:t>Governança territorial; Recursos territoriais específicos; Políticas públicas; Agricultura Familiar</w:t>
      </w:r>
    </w:p>
    <w:p w14:paraId="25F4F952" w14:textId="4D12DE6D" w:rsidR="00216EFF" w:rsidRPr="005D7EBD" w:rsidRDefault="00216EFF" w:rsidP="00216EFF">
      <w:pPr>
        <w:spacing w:line="360" w:lineRule="auto"/>
        <w:jc w:val="both"/>
        <w:rPr>
          <w:rFonts w:eastAsia="Arial" w:cs="Arial"/>
          <w:bCs/>
        </w:rPr>
      </w:pPr>
      <w:r w:rsidRPr="005D7EBD">
        <w:rPr>
          <w:rFonts w:eastAsia="Arial" w:cs="Arial"/>
          <w:bCs/>
        </w:rPr>
        <w:lastRenderedPageBreak/>
        <w:t>INTRODUÇÃO</w:t>
      </w:r>
    </w:p>
    <w:p w14:paraId="47E2D623" w14:textId="41E76569" w:rsidR="005D7EBD" w:rsidRPr="00725AAC" w:rsidRDefault="005D7EBD" w:rsidP="005D7EBD">
      <w:pPr>
        <w:spacing w:line="360" w:lineRule="auto"/>
        <w:jc w:val="both"/>
        <w:rPr>
          <w:rFonts w:ascii="Trebuchet MS" w:hAnsi="Trebuchet MS"/>
          <w:color w:val="000000"/>
        </w:rPr>
      </w:pPr>
      <w:r w:rsidRPr="00725AAC">
        <w:rPr>
          <w:rFonts w:ascii="Trebuchet MS" w:hAnsi="Trebuchet MS" w:cs="Arial"/>
        </w:rPr>
        <w:t>Este artigo dialog</w:t>
      </w:r>
      <w:r w:rsidR="00643B91">
        <w:rPr>
          <w:rFonts w:ascii="Trebuchet MS" w:hAnsi="Trebuchet MS" w:cs="Arial"/>
        </w:rPr>
        <w:t>a</w:t>
      </w:r>
      <w:r w:rsidRPr="00725AAC">
        <w:rPr>
          <w:rFonts w:ascii="Trebuchet MS" w:hAnsi="Trebuchet MS" w:cs="Arial"/>
        </w:rPr>
        <w:t xml:space="preserve"> com o propósito da Secretaria de Governança Fundiária, Desenvolvimento Territorial e Socioambiental do Ministério do Desenvolvimento Agrário e Agricultura Familiar (SFDT/MDA) em retomar a política de desenvolvimento territorial sustentável. Entre </w:t>
      </w:r>
      <w:r w:rsidRPr="00725AAC">
        <w:rPr>
          <w:rFonts w:ascii="Trebuchet MS" w:hAnsi="Trebuchet MS" w:cs="Arial"/>
          <w:color w:val="000000"/>
        </w:rPr>
        <w:t xml:space="preserve">2003 </w:t>
      </w:r>
      <w:r w:rsidRPr="00725AAC">
        <w:rPr>
          <w:rFonts w:ascii="Trebuchet MS" w:hAnsi="Trebuchet MS" w:cs="Arial"/>
        </w:rPr>
        <w:t xml:space="preserve">e </w:t>
      </w:r>
      <w:r w:rsidRPr="00725AAC">
        <w:rPr>
          <w:rFonts w:ascii="Trebuchet MS" w:hAnsi="Trebuchet MS" w:cs="Arial"/>
          <w:color w:val="000000"/>
        </w:rPr>
        <w:t>2016, MDA implementou</w:t>
      </w:r>
      <w:r w:rsidRPr="00725AAC">
        <w:rPr>
          <w:rFonts w:ascii="Trebuchet MS" w:hAnsi="Trebuchet MS" w:cs="Arial"/>
        </w:rPr>
        <w:t>, em um primeiro momento,</w:t>
      </w:r>
      <w:r w:rsidRPr="00725AAC">
        <w:rPr>
          <w:rFonts w:ascii="Trebuchet MS" w:hAnsi="Trebuchet MS" w:cs="Arial"/>
          <w:color w:val="000000"/>
        </w:rPr>
        <w:t xml:space="preserve"> </w:t>
      </w:r>
      <w:r w:rsidRPr="00725AAC">
        <w:rPr>
          <w:rFonts w:ascii="Trebuchet MS" w:hAnsi="Trebuchet MS" w:cs="Arial"/>
        </w:rPr>
        <w:t>o Programa Nacional de Desenvolvimento Sustentável dos Territórios Rurais</w:t>
      </w:r>
      <w:r w:rsidRPr="00725AAC">
        <w:rPr>
          <w:rFonts w:ascii="Trebuchet MS" w:hAnsi="Trebuchet MS" w:cs="Arial"/>
          <w:color w:val="000000"/>
        </w:rPr>
        <w:t xml:space="preserve"> (</w:t>
      </w:r>
      <w:proofErr w:type="spellStart"/>
      <w:r w:rsidRPr="00725AAC">
        <w:rPr>
          <w:rFonts w:ascii="Trebuchet MS" w:hAnsi="Trebuchet MS" w:cs="Arial"/>
        </w:rPr>
        <w:t>Pronat</w:t>
      </w:r>
      <w:proofErr w:type="spellEnd"/>
      <w:r w:rsidRPr="00725AAC">
        <w:rPr>
          <w:rFonts w:ascii="Trebuchet MS" w:hAnsi="Trebuchet MS" w:cs="Arial"/>
        </w:rPr>
        <w:t xml:space="preserve">) e, a partir de 2008, coordenou também, o Programa Territórios da Cidadania (PTC), culminando na </w:t>
      </w:r>
      <w:r w:rsidRPr="00725AAC">
        <w:rPr>
          <w:rFonts w:ascii="Trebuchet MS" w:hAnsi="Trebuchet MS" w:cs="Arial"/>
          <w:color w:val="000000"/>
        </w:rPr>
        <w:t xml:space="preserve">composição de 243 Territórios Rurais </w:t>
      </w:r>
      <w:r w:rsidRPr="00725AAC">
        <w:rPr>
          <w:rFonts w:ascii="Trebuchet MS" w:hAnsi="Trebuchet MS" w:cs="Arial"/>
          <w:color w:val="000000" w:themeColor="text1"/>
        </w:rPr>
        <w:t>homologados pelo Conselho Nacional de Desenvolvimento Rural Sustentável (</w:t>
      </w:r>
      <w:proofErr w:type="spellStart"/>
      <w:r w:rsidRPr="00725AAC">
        <w:rPr>
          <w:rFonts w:ascii="Trebuchet MS" w:hAnsi="Trebuchet MS" w:cs="Arial"/>
          <w:color w:val="000000" w:themeColor="text1"/>
        </w:rPr>
        <w:t>Condraf</w:t>
      </w:r>
      <w:proofErr w:type="spellEnd"/>
      <w:r w:rsidRPr="00725AAC">
        <w:rPr>
          <w:rFonts w:ascii="Trebuchet MS" w:hAnsi="Trebuchet MS" w:cs="Arial"/>
          <w:color w:val="000000" w:themeColor="text1"/>
        </w:rPr>
        <w:t>).</w:t>
      </w:r>
    </w:p>
    <w:p w14:paraId="643DD6DA" w14:textId="77777777"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color w:val="000000"/>
        </w:rPr>
        <w:t xml:space="preserve">Com o impeachment da Presidenta Dilma Roussef em 2016, a política territorial e outras políticas voltadas para a agricultura familiar foram desmontadas. </w:t>
      </w:r>
      <w:r w:rsidRPr="00725AAC">
        <w:rPr>
          <w:rFonts w:ascii="Trebuchet MS" w:hAnsi="Trebuchet MS" w:cs="Arial"/>
        </w:rPr>
        <w:t>Com a reeleição do Presidente Lula em 2022 e a recriação do MDA, a tarefa de reconstrução de políticas públicas anteriores se tornou prioritária e desafiadora, considerando-se a conjuntura política e orçamentária adversa e profundamente distinta em comparação ao período anterior. No que se refere à política territorial, em que pese seu desmantelamento, alguns legados contribuem para a sua retomada.</w:t>
      </w:r>
    </w:p>
    <w:p w14:paraId="336856BE" w14:textId="77777777"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rPr>
        <w:t xml:space="preserve">Essa política teve maior aderência nos estados da região Nordeste. O caso do estado da Bahia é o que ganhou maior notoriedade por ter sido incorporada nas ações de planejamento e de intervenção de distintas secretarias de sucessivos governos estaduais </w:t>
      </w:r>
      <w:r w:rsidRPr="00725AAC">
        <w:rPr>
          <w:rFonts w:ascii="Trebuchet MS" w:hAnsi="Trebuchet MS" w:cs="Arial"/>
          <w:color w:val="000000" w:themeColor="text1"/>
        </w:rPr>
        <w:t xml:space="preserve">(Dias, 2016). </w:t>
      </w:r>
      <w:r w:rsidRPr="00725AAC">
        <w:rPr>
          <w:rFonts w:ascii="Trebuchet MS" w:hAnsi="Trebuchet MS" w:cs="Arial"/>
        </w:rPr>
        <w:t>Outros estados nordestinos também adotaram, de formas e intensidade</w:t>
      </w:r>
      <w:r>
        <w:rPr>
          <w:rFonts w:ascii="Trebuchet MS" w:hAnsi="Trebuchet MS" w:cs="Arial"/>
        </w:rPr>
        <w:t>s diversas</w:t>
      </w:r>
      <w:r w:rsidRPr="00725AAC">
        <w:rPr>
          <w:rFonts w:ascii="Trebuchet MS" w:hAnsi="Trebuchet MS" w:cs="Arial"/>
        </w:rPr>
        <w:t>, os preceitos do desenvolvimento territorial sustentável. Uma articulação nacional de atores e organizações territoriais foi instituída, dando origem à Rede Nacional de Colegiados Territoriais, em referência ao principal espaço de governança da política na esfera territorial.</w:t>
      </w:r>
    </w:p>
    <w:p w14:paraId="44D47FEE" w14:textId="2460F19A"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rPr>
        <w:t xml:space="preserve">Com a retomada das discussões sobre essa política a partir de 2023, a sua maior aderência nos estados do Nordeste se tornou evidente. Em março de 2025, dos 152 territórios cujos colegiados territoriais solicitaram validação de homologação ou a criação de novos territórios junto ao </w:t>
      </w:r>
      <w:proofErr w:type="spellStart"/>
      <w:r w:rsidRPr="00725AAC">
        <w:rPr>
          <w:rFonts w:ascii="Trebuchet MS" w:hAnsi="Trebuchet MS" w:cs="Arial"/>
        </w:rPr>
        <w:t>Condraf</w:t>
      </w:r>
      <w:proofErr w:type="spellEnd"/>
      <w:r w:rsidRPr="00725AAC">
        <w:rPr>
          <w:rFonts w:ascii="Trebuchet MS" w:hAnsi="Trebuchet MS" w:cs="Arial"/>
        </w:rPr>
        <w:t xml:space="preserve">, 104 (68,4%) são dessa região. Dentre </w:t>
      </w:r>
      <w:r w:rsidRPr="00725AAC">
        <w:rPr>
          <w:rFonts w:ascii="Trebuchet MS" w:hAnsi="Trebuchet MS" w:cs="Arial"/>
        </w:rPr>
        <w:lastRenderedPageBreak/>
        <w:t>os inúmeros desafios para operacionalizá-la, a</w:t>
      </w:r>
      <w:r w:rsidR="00643B91">
        <w:rPr>
          <w:rFonts w:ascii="Trebuchet MS" w:hAnsi="Trebuchet MS" w:cs="Arial"/>
        </w:rPr>
        <w:t xml:space="preserve"> disponibilidade</w:t>
      </w:r>
      <w:r w:rsidRPr="00725AAC">
        <w:rPr>
          <w:rFonts w:ascii="Trebuchet MS" w:hAnsi="Trebuchet MS" w:cs="Arial"/>
        </w:rPr>
        <w:t xml:space="preserve"> orçamentária representa um dos principais gargalos. Diferente do período anterior, o MDA não dispõem de recursos financeiros para contratar agentes de desenvolvimento territorial sustentável para atuar nos territórios que validaram suas homologações, nem para financiar projetos coletivos de famílias de agricultores. Não sem dificuldades, o Ministério tem disponibilizado assessoria na esfera estadual para atuar na rearticulação dos colegiados territoriais, mas em muitos estados, as adversidades políticas contrárias a esse tipo de política dificultam a sua operacionalização.</w:t>
      </w:r>
      <w:r w:rsidR="00643B91" w:rsidRPr="00643B91">
        <w:t xml:space="preserve"> </w:t>
      </w:r>
      <w:r w:rsidR="00643B91" w:rsidRPr="00643B91">
        <w:rPr>
          <w:rFonts w:ascii="Trebuchet MS" w:hAnsi="Trebuchet MS" w:cs="Arial"/>
        </w:rPr>
        <w:t>Como alternativa</w:t>
      </w:r>
      <w:r w:rsidR="00643B91" w:rsidRPr="00643B91">
        <w:rPr>
          <w:rFonts w:ascii="Trebuchet MS" w:hAnsi="Trebuchet MS" w:cs="Arial"/>
        </w:rPr>
        <w:t>,</w:t>
      </w:r>
      <w:r w:rsidR="00643B91" w:rsidRPr="00643B91">
        <w:rPr>
          <w:rFonts w:ascii="Trebuchet MS" w:hAnsi="Trebuchet MS" w:cs="Arial"/>
        </w:rPr>
        <w:t xml:space="preserve"> algumas ações, </w:t>
      </w:r>
      <w:r w:rsidR="00643B91" w:rsidRPr="00643B91">
        <w:rPr>
          <w:rFonts w:ascii="Trebuchet MS" w:hAnsi="Trebuchet MS" w:cs="Arial"/>
        </w:rPr>
        <w:t>a exemplo do</w:t>
      </w:r>
      <w:r w:rsidR="00643B91" w:rsidRPr="00643B91">
        <w:rPr>
          <w:rFonts w:ascii="Trebuchet MS" w:hAnsi="Trebuchet MS" w:cs="Arial"/>
        </w:rPr>
        <w:t xml:space="preserve"> Projeto Dom Helder Câmara, foram desenhadas na perspectiva territorial</w:t>
      </w:r>
      <w:r w:rsidR="00643B91" w:rsidRPr="00643B91">
        <w:rPr>
          <w:rFonts w:ascii="Trebuchet MS" w:hAnsi="Trebuchet MS" w:cs="Arial"/>
        </w:rPr>
        <w:t>,</w:t>
      </w:r>
      <w:r w:rsidR="00643B91" w:rsidRPr="00643B91">
        <w:rPr>
          <w:rFonts w:ascii="Trebuchet MS" w:hAnsi="Trebuchet MS" w:cs="Arial"/>
        </w:rPr>
        <w:t xml:space="preserve"> buscando assim contribuir para o financiamento da política</w:t>
      </w:r>
      <w:r w:rsidR="00643B91">
        <w:rPr>
          <w:rStyle w:val="Refdenotaderodap"/>
          <w:rFonts w:ascii="Trebuchet MS" w:hAnsi="Trebuchet MS" w:cs="Arial"/>
        </w:rPr>
        <w:footnoteReference w:id="4"/>
      </w:r>
      <w:r w:rsidR="00643B91" w:rsidRPr="00643B91">
        <w:rPr>
          <w:rFonts w:ascii="Trebuchet MS" w:hAnsi="Trebuchet MS" w:cs="Arial"/>
        </w:rPr>
        <w:t>.</w:t>
      </w:r>
    </w:p>
    <w:p w14:paraId="27BD99EA" w14:textId="0474A815" w:rsidR="005D7EBD" w:rsidRPr="00D84787" w:rsidRDefault="005D7EBD" w:rsidP="00D84787">
      <w:pPr>
        <w:spacing w:line="360" w:lineRule="auto"/>
        <w:ind w:firstLine="708"/>
        <w:jc w:val="both"/>
        <w:rPr>
          <w:rFonts w:ascii="Trebuchet MS" w:hAnsi="Trebuchet MS" w:cs="Arial"/>
        </w:rPr>
      </w:pPr>
      <w:r>
        <w:rPr>
          <w:rFonts w:ascii="Trebuchet MS" w:hAnsi="Trebuchet MS" w:cs="Arial"/>
        </w:rPr>
        <w:t xml:space="preserve">O objetivo principal deste artigo consiste em discutir o </w:t>
      </w:r>
      <w:r w:rsidRPr="00725AAC">
        <w:rPr>
          <w:rFonts w:ascii="Trebuchet MS" w:hAnsi="Trebuchet MS" w:cs="Arial"/>
        </w:rPr>
        <w:t xml:space="preserve">processo de territorialização de políticas públicas, inicialmente mobilizando o enfoque teórico-metodológico da Cesta de Bens e Serviços Territoriais (CBST) para, na sequência, apontar alguns exemplos </w:t>
      </w:r>
      <w:r>
        <w:rPr>
          <w:rFonts w:ascii="Trebuchet MS" w:hAnsi="Trebuchet MS" w:cs="Arial"/>
        </w:rPr>
        <w:t>de políticas que, ao longo do tempo, perderam o controle social na esfera territorial, bem como de casos de sucesso de</w:t>
      </w:r>
      <w:r w:rsidRPr="00725AAC">
        <w:rPr>
          <w:rFonts w:ascii="Trebuchet MS" w:hAnsi="Trebuchet MS" w:cs="Arial"/>
        </w:rPr>
        <w:t xml:space="preserve"> territorialização de políticas públicas</w:t>
      </w:r>
      <w:r>
        <w:rPr>
          <w:rFonts w:ascii="Trebuchet MS" w:hAnsi="Trebuchet MS" w:cs="Arial"/>
        </w:rPr>
        <w:t>. O tema do</w:t>
      </w:r>
      <w:r w:rsidRPr="00725AAC">
        <w:rPr>
          <w:rFonts w:ascii="Trebuchet MS" w:hAnsi="Trebuchet MS" w:cs="Arial"/>
        </w:rPr>
        <w:t xml:space="preserve"> protagonismo dos colegiados territoriais</w:t>
      </w:r>
      <w:r>
        <w:rPr>
          <w:rFonts w:ascii="Trebuchet MS" w:hAnsi="Trebuchet MS" w:cs="Arial"/>
        </w:rPr>
        <w:t xml:space="preserve"> nesse processo não será priorizado na discussão, mas parte-se do pressuposto que, em estados onde essa institucionalidade estiver atuante, a territorialização de políticas públicas tende a ser mais eficaz.</w:t>
      </w:r>
    </w:p>
    <w:p w14:paraId="419973FA" w14:textId="77777777" w:rsidR="00C46FD9" w:rsidRDefault="00C46FD9" w:rsidP="005D7EBD">
      <w:pPr>
        <w:spacing w:line="360" w:lineRule="auto"/>
        <w:jc w:val="both"/>
        <w:rPr>
          <w:rFonts w:ascii="Trebuchet MS" w:hAnsi="Trebuchet MS" w:cs="Arial"/>
        </w:rPr>
      </w:pPr>
    </w:p>
    <w:p w14:paraId="574AAD7F" w14:textId="52988E57" w:rsidR="005D7EBD" w:rsidRPr="00725AAC" w:rsidRDefault="005D7EBD" w:rsidP="005D7EBD">
      <w:pPr>
        <w:spacing w:line="360" w:lineRule="auto"/>
        <w:jc w:val="both"/>
        <w:rPr>
          <w:rFonts w:ascii="Trebuchet MS" w:hAnsi="Trebuchet MS" w:cs="Arial"/>
        </w:rPr>
      </w:pPr>
      <w:r w:rsidRPr="00725AAC">
        <w:rPr>
          <w:rFonts w:ascii="Trebuchet MS" w:hAnsi="Trebuchet MS" w:cs="Arial"/>
        </w:rPr>
        <w:t>DA PROXIMIDADE GEOGRÁFICA À PROXIMIDADE SOCIAL</w:t>
      </w:r>
    </w:p>
    <w:p w14:paraId="5A1CD81E" w14:textId="0A60E24F" w:rsidR="005D7EBD" w:rsidRPr="00725AAC" w:rsidRDefault="005D7EBD" w:rsidP="00D84787">
      <w:pPr>
        <w:spacing w:line="360" w:lineRule="auto"/>
        <w:ind w:firstLine="708"/>
        <w:jc w:val="both"/>
        <w:rPr>
          <w:rFonts w:ascii="Trebuchet MS" w:hAnsi="Trebuchet MS" w:cs="Arial"/>
        </w:rPr>
      </w:pPr>
      <w:r w:rsidRPr="00725AAC">
        <w:rPr>
          <w:rFonts w:ascii="Trebuchet MS" w:hAnsi="Trebuchet MS" w:cs="Arial"/>
        </w:rPr>
        <w:t xml:space="preserve">Nesta formulação parte-se das noções de territórios dados e territórios construídos, as quais correspondem, respectivamente, a duas modalidades de </w:t>
      </w:r>
      <w:r w:rsidRPr="00725AAC">
        <w:rPr>
          <w:rFonts w:ascii="Trebuchet MS" w:hAnsi="Trebuchet MS" w:cs="Arial"/>
        </w:rPr>
        <w:lastRenderedPageBreak/>
        <w:t>proximidades dos atores territoriais: uma geográfica e outra social (</w:t>
      </w:r>
      <w:proofErr w:type="spellStart"/>
      <w:r w:rsidRPr="00725AAC">
        <w:rPr>
          <w:rFonts w:ascii="Trebuchet MS" w:hAnsi="Trebuchet MS" w:cs="Arial"/>
        </w:rPr>
        <w:t>Pecqueur</w:t>
      </w:r>
      <w:proofErr w:type="spellEnd"/>
      <w:r w:rsidRPr="00725AAC">
        <w:rPr>
          <w:rFonts w:ascii="Trebuchet MS" w:hAnsi="Trebuchet MS" w:cs="Arial"/>
        </w:rPr>
        <w:t>, 200</w:t>
      </w:r>
      <w:r>
        <w:rPr>
          <w:rFonts w:ascii="Trebuchet MS" w:hAnsi="Trebuchet MS" w:cs="Arial"/>
        </w:rPr>
        <w:t>6</w:t>
      </w:r>
      <w:r w:rsidRPr="00725AAC">
        <w:rPr>
          <w:rFonts w:ascii="Trebuchet MS" w:hAnsi="Trebuchet MS" w:cs="Arial"/>
        </w:rPr>
        <w:t xml:space="preserve">; </w:t>
      </w:r>
      <w:proofErr w:type="spellStart"/>
      <w:r w:rsidRPr="00725AAC">
        <w:rPr>
          <w:rFonts w:ascii="Trebuchet MS" w:hAnsi="Trebuchet MS" w:cs="Arial"/>
        </w:rPr>
        <w:t>Glon</w:t>
      </w:r>
      <w:proofErr w:type="spellEnd"/>
      <w:r w:rsidRPr="00725AAC">
        <w:rPr>
          <w:rFonts w:ascii="Trebuchet MS" w:hAnsi="Trebuchet MS" w:cs="Arial"/>
        </w:rPr>
        <w:t xml:space="preserve">; </w:t>
      </w:r>
      <w:proofErr w:type="spellStart"/>
      <w:r w:rsidRPr="00725AAC">
        <w:rPr>
          <w:rFonts w:ascii="Trebuchet MS" w:hAnsi="Trebuchet MS" w:cs="Arial"/>
        </w:rPr>
        <w:t>Pecqueur</w:t>
      </w:r>
      <w:proofErr w:type="spellEnd"/>
      <w:r w:rsidRPr="00725AAC">
        <w:rPr>
          <w:rFonts w:ascii="Trebuchet MS" w:hAnsi="Trebuchet MS" w:cs="Arial"/>
        </w:rPr>
        <w:t>, 2016).</w:t>
      </w:r>
      <w:r w:rsidR="00D84787">
        <w:rPr>
          <w:rFonts w:ascii="Trebuchet MS" w:hAnsi="Trebuchet MS" w:cs="Arial"/>
        </w:rPr>
        <w:t xml:space="preserve"> </w:t>
      </w:r>
      <w:r w:rsidRPr="00725AAC">
        <w:rPr>
          <w:rFonts w:ascii="Trebuchet MS" w:hAnsi="Trebuchet MS" w:cs="Arial"/>
        </w:rPr>
        <w:t>A primeira não implica necessariamente na existência da segunda. Atores sociais próximos do ponto de vista geográfico (territórios dados) podem não adotar ações cooperadas, com o propósito de resolver problemas compartilhados (territórios construídos). Um território dado corresponde, normalmente, a delimitações geográficas definidas por políticas públicas ou de natureza administrativa. Já as ações cooperadas que dão origem aos territórios construídos, pressupõem a proximidade social, que se materializa por negociações, acordos e a construção de coalizões sociopolíticas entre categorias diversas de atores territoriais.</w:t>
      </w:r>
    </w:p>
    <w:p w14:paraId="633E8B43" w14:textId="757C6725" w:rsidR="00216EFF" w:rsidRDefault="005D7EBD" w:rsidP="00D84787">
      <w:pPr>
        <w:spacing w:line="360" w:lineRule="auto"/>
        <w:ind w:firstLine="708"/>
        <w:jc w:val="both"/>
        <w:rPr>
          <w:rFonts w:ascii="Trebuchet MS" w:hAnsi="Trebuchet MS" w:cs="Arial"/>
        </w:rPr>
      </w:pPr>
      <w:r w:rsidRPr="00725AAC">
        <w:rPr>
          <w:rFonts w:ascii="Trebuchet MS" w:hAnsi="Trebuchet MS" w:cs="Arial"/>
        </w:rPr>
        <w:t>O propósito principal de ações formais de Desenvolvimento Territorial Sustentável (DTS), sejam elas coordenadas por organizações públicas, privadas ou da sociedade civil, consiste em propiciar as condições sociopolíticas e materiais para aumentar a densidade institucional de um território dado por meio de iniciativas variadas de cooperação. Esse propósito está interligado ao desafio de construir arranjos ou sistemas de governança territorial que articulem, aprofundem e complexifiquem essas ações, de forma a ampliar o acesso a novos recursos materiais, imateriais, financeiros e humanos, seja via políticas públicas, seja junto ao setor privado.</w:t>
      </w:r>
      <w:r>
        <w:rPr>
          <w:rFonts w:ascii="Trebuchet MS" w:hAnsi="Trebuchet MS" w:cs="Arial"/>
        </w:rPr>
        <w:t xml:space="preserve"> </w:t>
      </w:r>
      <w:r w:rsidRPr="00725AAC">
        <w:rPr>
          <w:rFonts w:ascii="Trebuchet MS" w:hAnsi="Trebuchet MS" w:cs="Arial"/>
        </w:rPr>
        <w:t xml:space="preserve">Nesse sentido, a análise de </w:t>
      </w:r>
      <w:proofErr w:type="spellStart"/>
      <w:r w:rsidRPr="00725AAC">
        <w:rPr>
          <w:rFonts w:ascii="Trebuchet MS" w:hAnsi="Trebuchet MS" w:cs="Arial"/>
        </w:rPr>
        <w:t>Pecqueur</w:t>
      </w:r>
      <w:proofErr w:type="spellEnd"/>
      <w:r w:rsidRPr="00725AAC">
        <w:rPr>
          <w:rFonts w:ascii="Trebuchet MS" w:hAnsi="Trebuchet MS" w:cs="Arial"/>
        </w:rPr>
        <w:t xml:space="preserve"> (2001) sobre o enfoque teórico-metodológico da CBST permite avançar na compreensão de entender as diferentes interações que se estabelecem ou que têm potencial para se articular em um território dado de forma a ofertar um conjunto de produtos e serviços territoriais de qualidade, vinculados à história, cultura e paisagens territoriais.</w:t>
      </w:r>
    </w:p>
    <w:p w14:paraId="4D84AA0C" w14:textId="77777777" w:rsidR="00D84787" w:rsidRPr="00D84787" w:rsidRDefault="00D84787" w:rsidP="00D84787">
      <w:pPr>
        <w:spacing w:line="360" w:lineRule="auto"/>
        <w:ind w:firstLine="708"/>
        <w:jc w:val="both"/>
        <w:rPr>
          <w:rFonts w:ascii="Trebuchet MS" w:hAnsi="Trebuchet MS" w:cs="Arial"/>
        </w:rPr>
      </w:pPr>
    </w:p>
    <w:p w14:paraId="79C1C50C" w14:textId="08F41EF3" w:rsidR="005D7EBD" w:rsidRPr="005D7EBD" w:rsidRDefault="005D7EBD" w:rsidP="005D7EBD">
      <w:pPr>
        <w:spacing w:line="360" w:lineRule="auto"/>
        <w:jc w:val="both"/>
        <w:rPr>
          <w:rFonts w:eastAsia="Arial" w:cs="Arial"/>
        </w:rPr>
      </w:pPr>
      <w:r>
        <w:rPr>
          <w:rFonts w:ascii="Trebuchet MS" w:hAnsi="Trebuchet MS" w:cs="Arial"/>
          <w:bCs/>
        </w:rPr>
        <w:t>C</w:t>
      </w:r>
      <w:r w:rsidRPr="00725AAC">
        <w:rPr>
          <w:rFonts w:ascii="Trebuchet MS" w:hAnsi="Trebuchet MS" w:cs="Arial"/>
          <w:bCs/>
        </w:rPr>
        <w:t>omponentes da CBST: inventário e especificação de recursos territoriais</w:t>
      </w:r>
    </w:p>
    <w:p w14:paraId="31260887" w14:textId="56579A28" w:rsidR="005D7EBD" w:rsidRPr="00725AAC" w:rsidRDefault="005D7EBD" w:rsidP="005E3A01">
      <w:pPr>
        <w:spacing w:line="360" w:lineRule="auto"/>
        <w:ind w:firstLine="708"/>
        <w:jc w:val="both"/>
        <w:rPr>
          <w:rFonts w:ascii="Trebuchet MS" w:hAnsi="Trebuchet MS" w:cs="Arial"/>
        </w:rPr>
      </w:pPr>
      <w:r w:rsidRPr="00725AAC">
        <w:rPr>
          <w:rFonts w:ascii="Trebuchet MS" w:hAnsi="Trebuchet MS" w:cs="Arial"/>
        </w:rPr>
        <w:t xml:space="preserve">A realização de um diagnóstico territorial a partir dos componentes principais da CBST pressupõe em não só identificar, mas historicizar e criar condições para que a criatividade territorial seja alavancada. Essa etapa do diagnóstico permite </w:t>
      </w:r>
      <w:r w:rsidRPr="00725AAC">
        <w:rPr>
          <w:rFonts w:ascii="Trebuchet MS" w:hAnsi="Trebuchet MS" w:cs="Arial"/>
        </w:rPr>
        <w:lastRenderedPageBreak/>
        <w:t xml:space="preserve">subsidiar as ações tanto de prospecção de novas iniciativas quanto de melhorias daquelas que já se encontram em curso, por meio do fortalecimento de conexões já existentes ou passíveis de serem estabelecidas. A ampla maioria dos territórios rurais brasileiros teve ao longo do tempo ações formais de desenvolvimento territorial promovidas por organizações públicas, privadas ou da sociedade civil. Muitas dessas iniciativas não se concretizaram da forma como foram planejadas, algumas ficaram no meio do caminho e outras foram abortadas. Não são poucas, no entanto, as experiências exitosas, fruto da criatividade e empenho dos atores territoriais, conforme demonstram </w:t>
      </w:r>
      <w:proofErr w:type="spellStart"/>
      <w:r w:rsidRPr="00725AAC">
        <w:rPr>
          <w:rFonts w:ascii="Trebuchet MS" w:hAnsi="Trebuchet MS" w:cs="Arial"/>
        </w:rPr>
        <w:t>Glon</w:t>
      </w:r>
      <w:proofErr w:type="spellEnd"/>
      <w:r w:rsidRPr="00725AAC">
        <w:rPr>
          <w:rFonts w:ascii="Trebuchet MS" w:hAnsi="Trebuchet MS" w:cs="Arial"/>
        </w:rPr>
        <w:t xml:space="preserve"> e </w:t>
      </w:r>
      <w:proofErr w:type="spellStart"/>
      <w:r w:rsidRPr="00725AAC">
        <w:rPr>
          <w:rFonts w:ascii="Trebuchet MS" w:hAnsi="Trebuchet MS" w:cs="Arial"/>
        </w:rPr>
        <w:t>Pecqueur</w:t>
      </w:r>
      <w:proofErr w:type="spellEnd"/>
      <w:r w:rsidRPr="00725AAC">
        <w:rPr>
          <w:rFonts w:ascii="Trebuchet MS" w:hAnsi="Trebuchet MS" w:cs="Arial"/>
        </w:rPr>
        <w:t xml:space="preserve"> (2016) para o caso francês. Independente dos resultados, todas deixam legados, aprendizados e lições que precisam ser consideradas nas novas ações (Olivier de </w:t>
      </w:r>
      <w:proofErr w:type="spellStart"/>
      <w:r w:rsidRPr="00725AAC">
        <w:rPr>
          <w:rFonts w:ascii="Trebuchet MS" w:hAnsi="Trebuchet MS" w:cs="Arial"/>
        </w:rPr>
        <w:t>Sardan</w:t>
      </w:r>
      <w:proofErr w:type="spellEnd"/>
      <w:r w:rsidRPr="00725AAC">
        <w:rPr>
          <w:rFonts w:ascii="Trebuchet MS" w:hAnsi="Trebuchet MS" w:cs="Arial"/>
        </w:rPr>
        <w:t xml:space="preserve">, 1995). A etapa de diagnóstico territorial pode ser mais ou menos participativa (Peron; </w:t>
      </w:r>
      <w:proofErr w:type="spellStart"/>
      <w:r w:rsidRPr="00725AAC">
        <w:rPr>
          <w:rFonts w:ascii="Trebuchet MS" w:hAnsi="Trebuchet MS" w:cs="Arial"/>
        </w:rPr>
        <w:t>Janin</w:t>
      </w:r>
      <w:proofErr w:type="spellEnd"/>
      <w:r w:rsidRPr="00725AAC">
        <w:rPr>
          <w:rFonts w:ascii="Trebuchet MS" w:hAnsi="Trebuchet MS" w:cs="Arial"/>
        </w:rPr>
        <w:t>; 2020)</w:t>
      </w:r>
      <w:r w:rsidRPr="00725AAC">
        <w:rPr>
          <w:rStyle w:val="Refdenotaderodap"/>
          <w:rFonts w:ascii="Trebuchet MS" w:hAnsi="Trebuchet MS" w:cs="Arial"/>
        </w:rPr>
        <w:footnoteReference w:id="5"/>
      </w:r>
      <w:r w:rsidRPr="00725AAC">
        <w:rPr>
          <w:rFonts w:ascii="Trebuchet MS" w:hAnsi="Trebuchet MS" w:cs="Arial"/>
        </w:rPr>
        <w:t>.</w:t>
      </w:r>
    </w:p>
    <w:p w14:paraId="7E34E6B5" w14:textId="64FA01F5" w:rsidR="005D7EBD" w:rsidRPr="00725AAC" w:rsidRDefault="005D7EBD" w:rsidP="004F32C4">
      <w:pPr>
        <w:spacing w:line="360" w:lineRule="auto"/>
        <w:jc w:val="both"/>
        <w:rPr>
          <w:rFonts w:ascii="Trebuchet MS" w:hAnsi="Trebuchet MS" w:cs="Arial"/>
        </w:rPr>
      </w:pPr>
      <w:r w:rsidRPr="00725AAC">
        <w:rPr>
          <w:rFonts w:ascii="Trebuchet MS" w:hAnsi="Trebuchet MS" w:cs="Arial"/>
        </w:rPr>
        <w:tab/>
        <w:t xml:space="preserve">O estudo pioneiro de </w:t>
      </w:r>
      <w:proofErr w:type="spellStart"/>
      <w:r w:rsidRPr="00725AAC">
        <w:rPr>
          <w:rFonts w:ascii="Trebuchet MS" w:hAnsi="Trebuchet MS" w:cs="Arial"/>
        </w:rPr>
        <w:t>Colletis</w:t>
      </w:r>
      <w:proofErr w:type="spellEnd"/>
      <w:r w:rsidRPr="00725AAC">
        <w:rPr>
          <w:rFonts w:ascii="Trebuchet MS" w:hAnsi="Trebuchet MS" w:cs="Arial"/>
        </w:rPr>
        <w:t xml:space="preserve"> e </w:t>
      </w:r>
      <w:proofErr w:type="spellStart"/>
      <w:r w:rsidRPr="00725AAC">
        <w:rPr>
          <w:rFonts w:ascii="Trebuchet MS" w:hAnsi="Trebuchet MS" w:cs="Arial"/>
        </w:rPr>
        <w:t>Pecqueur</w:t>
      </w:r>
      <w:proofErr w:type="spellEnd"/>
      <w:r w:rsidRPr="00725AAC">
        <w:rPr>
          <w:rFonts w:ascii="Trebuchet MS" w:hAnsi="Trebuchet MS" w:cs="Arial"/>
        </w:rPr>
        <w:t xml:space="preserve"> (1993) sobre o que, na atualidade, se denomina de recurso territorial específico, abriu uma profícua agenda de pesquisa e de ações aplicadas sobre o tema. Esse tipo de recurso não se restringe ao campo produtivo, pois integra a riqueza sociocultural e ambiental dos territórios. A priorização da visão mercantil dos recursos não condiz com a diversidade de iniciativas inventariadas nos territórios (</w:t>
      </w:r>
      <w:proofErr w:type="spellStart"/>
      <w:r w:rsidRPr="00725AAC">
        <w:rPr>
          <w:rFonts w:ascii="Trebuchet MS" w:hAnsi="Trebuchet MS" w:cs="Arial"/>
        </w:rPr>
        <w:t>Gumuchian</w:t>
      </w:r>
      <w:proofErr w:type="spellEnd"/>
      <w:r w:rsidRPr="00725AAC">
        <w:rPr>
          <w:rFonts w:ascii="Trebuchet MS" w:hAnsi="Trebuchet MS" w:cs="Arial"/>
        </w:rPr>
        <w:t xml:space="preserve">; </w:t>
      </w:r>
      <w:proofErr w:type="spellStart"/>
      <w:r w:rsidRPr="00725AAC">
        <w:rPr>
          <w:rFonts w:ascii="Trebuchet MS" w:hAnsi="Trebuchet MS" w:cs="Arial"/>
        </w:rPr>
        <w:t>Pecqueur</w:t>
      </w:r>
      <w:proofErr w:type="spellEnd"/>
      <w:r w:rsidRPr="00725AAC">
        <w:rPr>
          <w:rFonts w:ascii="Trebuchet MS" w:hAnsi="Trebuchet MS" w:cs="Arial"/>
        </w:rPr>
        <w:t xml:space="preserve">, 2007; </w:t>
      </w:r>
      <w:proofErr w:type="spellStart"/>
      <w:r w:rsidRPr="00725AAC">
        <w:rPr>
          <w:rFonts w:ascii="Trebuchet MS" w:hAnsi="Trebuchet MS" w:cs="Arial"/>
        </w:rPr>
        <w:t>Cazella</w:t>
      </w:r>
      <w:proofErr w:type="spellEnd"/>
      <w:r w:rsidRPr="00725AAC">
        <w:rPr>
          <w:rFonts w:ascii="Trebuchet MS" w:hAnsi="Trebuchet MS" w:cs="Arial"/>
        </w:rPr>
        <w:t xml:space="preserve"> et al., 2019; </w:t>
      </w:r>
      <w:proofErr w:type="spellStart"/>
      <w:r w:rsidRPr="00725AAC">
        <w:rPr>
          <w:rFonts w:ascii="Trebuchet MS" w:hAnsi="Trebuchet MS" w:cs="Arial"/>
        </w:rPr>
        <w:t>Tecchio</w:t>
      </w:r>
      <w:proofErr w:type="spellEnd"/>
      <w:r w:rsidRPr="00725AAC">
        <w:rPr>
          <w:rFonts w:ascii="Trebuchet MS" w:hAnsi="Trebuchet MS" w:cs="Arial"/>
        </w:rPr>
        <w:t xml:space="preserve"> et al., 2021;). A concepção de uma definição renovada de recursos passa por compreender e incorporar nos projetos territoriais os vários sentidos que os atores do território atribuem aos recursos (</w:t>
      </w:r>
      <w:proofErr w:type="spellStart"/>
      <w:r w:rsidRPr="00725AAC">
        <w:rPr>
          <w:rFonts w:ascii="Trebuchet MS" w:hAnsi="Trebuchet MS" w:cs="Arial"/>
        </w:rPr>
        <w:t>Glon</w:t>
      </w:r>
      <w:proofErr w:type="spellEnd"/>
      <w:r w:rsidRPr="00725AAC">
        <w:rPr>
          <w:rFonts w:ascii="Trebuchet MS" w:hAnsi="Trebuchet MS" w:cs="Arial"/>
        </w:rPr>
        <w:t xml:space="preserve">; </w:t>
      </w:r>
      <w:proofErr w:type="spellStart"/>
      <w:r w:rsidRPr="00725AAC">
        <w:rPr>
          <w:rFonts w:ascii="Trebuchet MS" w:hAnsi="Trebuchet MS" w:cs="Arial"/>
        </w:rPr>
        <w:t>Pecqueur</w:t>
      </w:r>
      <w:proofErr w:type="spellEnd"/>
      <w:r w:rsidRPr="00725AAC">
        <w:rPr>
          <w:rFonts w:ascii="Trebuchet MS" w:hAnsi="Trebuchet MS" w:cs="Arial"/>
        </w:rPr>
        <w:t>, 2016).</w:t>
      </w:r>
      <w:r w:rsidR="004F32C4">
        <w:rPr>
          <w:rFonts w:ascii="Trebuchet MS" w:hAnsi="Trebuchet MS" w:cs="Arial"/>
        </w:rPr>
        <w:t xml:space="preserve"> </w:t>
      </w:r>
      <w:r w:rsidRPr="00725AAC">
        <w:rPr>
          <w:rFonts w:ascii="Trebuchet MS" w:hAnsi="Trebuchet MS" w:cs="Arial"/>
        </w:rPr>
        <w:t xml:space="preserve">Nesse sentido, os recursos imateriais assumem uma relevância qualitativa e, portanto, não mensurável, que se sobrepõe e impregna os recursos materiais de um valor simbólico </w:t>
      </w:r>
      <w:r w:rsidRPr="00725AAC">
        <w:rPr>
          <w:rFonts w:ascii="Trebuchet MS" w:hAnsi="Trebuchet MS" w:cs="Arial"/>
        </w:rPr>
        <w:lastRenderedPageBreak/>
        <w:t>e único para cada território. Esse processo está na base da noção de especificação de recursos territoriais e explica a dificuldade ou mesmo impossibilidade de reproduzir uma mesma dinâmica em outros territórios (</w:t>
      </w:r>
      <w:proofErr w:type="spellStart"/>
      <w:r w:rsidRPr="00725AAC">
        <w:rPr>
          <w:rFonts w:ascii="Trebuchet MS" w:hAnsi="Trebuchet MS" w:cs="Arial"/>
        </w:rPr>
        <w:t>Glon</w:t>
      </w:r>
      <w:proofErr w:type="spellEnd"/>
      <w:r w:rsidRPr="00725AAC">
        <w:rPr>
          <w:rFonts w:ascii="Trebuchet MS" w:hAnsi="Trebuchet MS" w:cs="Arial"/>
        </w:rPr>
        <w:t xml:space="preserve">; </w:t>
      </w:r>
      <w:proofErr w:type="spellStart"/>
      <w:r w:rsidRPr="00725AAC">
        <w:rPr>
          <w:rFonts w:ascii="Trebuchet MS" w:hAnsi="Trebuchet MS" w:cs="Arial"/>
        </w:rPr>
        <w:t>Pecqueur</w:t>
      </w:r>
      <w:proofErr w:type="spellEnd"/>
      <w:r w:rsidRPr="00725AAC">
        <w:rPr>
          <w:rFonts w:ascii="Trebuchet MS" w:hAnsi="Trebuchet MS" w:cs="Arial"/>
        </w:rPr>
        <w:t xml:space="preserve">, 2016; </w:t>
      </w:r>
      <w:proofErr w:type="spellStart"/>
      <w:r w:rsidRPr="00725AAC">
        <w:rPr>
          <w:rFonts w:ascii="Trebuchet MS" w:hAnsi="Trebuchet MS" w:cs="Arial"/>
        </w:rPr>
        <w:t>Cazella</w:t>
      </w:r>
      <w:proofErr w:type="spellEnd"/>
      <w:r w:rsidRPr="00725AAC">
        <w:rPr>
          <w:rFonts w:ascii="Trebuchet MS" w:hAnsi="Trebuchet MS" w:cs="Arial"/>
        </w:rPr>
        <w:t xml:space="preserve">, Dorigon, </w:t>
      </w:r>
      <w:proofErr w:type="spellStart"/>
      <w:r w:rsidRPr="00725AAC">
        <w:rPr>
          <w:rFonts w:ascii="Trebuchet MS" w:hAnsi="Trebuchet MS" w:cs="Arial"/>
        </w:rPr>
        <w:t>Pecqueur</w:t>
      </w:r>
      <w:proofErr w:type="spellEnd"/>
      <w:r w:rsidRPr="00725AAC">
        <w:rPr>
          <w:rFonts w:ascii="Trebuchet MS" w:hAnsi="Trebuchet MS" w:cs="Arial"/>
        </w:rPr>
        <w:t xml:space="preserve">, 2022; </w:t>
      </w:r>
      <w:proofErr w:type="spellStart"/>
      <w:r w:rsidRPr="00725AAC">
        <w:rPr>
          <w:rFonts w:ascii="Trebuchet MS" w:hAnsi="Trebuchet MS" w:cs="Arial"/>
        </w:rPr>
        <w:t>Tecchio</w:t>
      </w:r>
      <w:proofErr w:type="spellEnd"/>
      <w:r w:rsidRPr="00725AAC">
        <w:rPr>
          <w:rFonts w:ascii="Trebuchet MS" w:hAnsi="Trebuchet MS" w:cs="Arial"/>
        </w:rPr>
        <w:t xml:space="preserve"> et al., 2023).</w:t>
      </w:r>
    </w:p>
    <w:p w14:paraId="4E83A09E" w14:textId="77777777"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rPr>
        <w:t>Um componente importante da CBST é o cenário com o qual os produtos e serviços territoriais diferenciados estão imersos. Esse componente é constituído por bens públicos e privados associados a paisagens típicas (naturais e cultivadas), especificidades climáticas, sítios arqueológicos, patrimônio histórico e arquitetônico, parques naturais e áreas de preservação permanente, rios, florestas, correntezas e quedas d’água, ventos predominantes, montanhas e outros tipos de relevos, etc. O tema da Renda de Qualidade Territorial, central nos esforços de convencimento de agentes públicos sobre a relevância econômica das microiniciativas territoriais, decorre da associação da qualidade intrínseca dos produtos e serviços com a qualidade territorial (Mollard, 2001; Ramos et al., 2024).</w:t>
      </w:r>
    </w:p>
    <w:p w14:paraId="62103ED8" w14:textId="0B6FD354" w:rsidR="005D7EBD" w:rsidRPr="00725AAC" w:rsidRDefault="005D7EBD" w:rsidP="005C0782">
      <w:pPr>
        <w:spacing w:line="360" w:lineRule="auto"/>
        <w:ind w:firstLine="709"/>
        <w:jc w:val="both"/>
        <w:rPr>
          <w:rFonts w:ascii="Trebuchet MS" w:hAnsi="Trebuchet MS" w:cs="Arial"/>
        </w:rPr>
      </w:pPr>
      <w:r w:rsidRPr="00725AAC">
        <w:rPr>
          <w:rFonts w:ascii="Trebuchet MS" w:hAnsi="Trebuchet MS" w:cs="Arial"/>
        </w:rPr>
        <w:t xml:space="preserve">As tradições e práticas culturais de distintas etnias, povos e comunidades tradicionais enriquecem o cenário territorial. Nesse campo, a </w:t>
      </w:r>
      <w:proofErr w:type="spellStart"/>
      <w:r w:rsidRPr="00725AAC">
        <w:rPr>
          <w:rFonts w:ascii="Trebuchet MS" w:hAnsi="Trebuchet MS" w:cs="Arial"/>
        </w:rPr>
        <w:t>micro-história</w:t>
      </w:r>
      <w:proofErr w:type="spellEnd"/>
      <w:r w:rsidRPr="00725AAC">
        <w:rPr>
          <w:rFonts w:ascii="Trebuchet MS" w:hAnsi="Trebuchet MS" w:cs="Arial"/>
        </w:rPr>
        <w:t xml:space="preserve"> do território ainda precisa, em muitos casos, ser contada ou recontada, dado que o reconhecimento e integração dessa diversidade em iniciativas de desenvolvimento territorial sustentável ainda estão por fazer (</w:t>
      </w:r>
      <w:proofErr w:type="spellStart"/>
      <w:r w:rsidRPr="00725AAC">
        <w:rPr>
          <w:rFonts w:ascii="Trebuchet MS" w:hAnsi="Trebuchet MS" w:cs="Arial"/>
        </w:rPr>
        <w:t>Giombelli</w:t>
      </w:r>
      <w:proofErr w:type="spellEnd"/>
      <w:r>
        <w:rPr>
          <w:rFonts w:ascii="Trebuchet MS" w:hAnsi="Trebuchet MS" w:cs="Arial"/>
        </w:rPr>
        <w:t xml:space="preserve">, </w:t>
      </w:r>
      <w:proofErr w:type="spellStart"/>
      <w:r>
        <w:rPr>
          <w:rFonts w:ascii="Trebuchet MS" w:hAnsi="Trebuchet MS" w:cs="Arial"/>
        </w:rPr>
        <w:t>Tecchio</w:t>
      </w:r>
      <w:proofErr w:type="spellEnd"/>
      <w:r>
        <w:rPr>
          <w:rFonts w:ascii="Trebuchet MS" w:hAnsi="Trebuchet MS" w:cs="Arial"/>
        </w:rPr>
        <w:t>, Boni</w:t>
      </w:r>
      <w:r w:rsidRPr="00725AAC">
        <w:rPr>
          <w:rFonts w:ascii="Trebuchet MS" w:hAnsi="Trebuchet MS" w:cs="Arial"/>
        </w:rPr>
        <w:t xml:space="preserve">, 2022). A diversidade de atores sociais e as distintas formas de cooperação, mas também de conflitos e de disputas de poder presentes nos territórios, impõem a tarefa de conceber sistemas policêntricos de governança, que contemplem os </w:t>
      </w:r>
      <w:proofErr w:type="spellStart"/>
      <w:r w:rsidRPr="00725AAC">
        <w:rPr>
          <w:rFonts w:ascii="Trebuchet MS" w:hAnsi="Trebuchet MS" w:cs="Arial"/>
        </w:rPr>
        <w:t>multiatores</w:t>
      </w:r>
      <w:proofErr w:type="spellEnd"/>
      <w:r w:rsidRPr="00725AAC">
        <w:rPr>
          <w:rFonts w:ascii="Trebuchet MS" w:hAnsi="Trebuchet MS" w:cs="Arial"/>
        </w:rPr>
        <w:t xml:space="preserve"> territoriais implicados ou que podem contribuir nas ações de valorização de produtos e serviços de qualidade. </w:t>
      </w:r>
      <w:r w:rsidR="005C0782" w:rsidRPr="00725AAC">
        <w:rPr>
          <w:rFonts w:ascii="Trebuchet MS" w:hAnsi="Trebuchet MS" w:cs="Arial"/>
        </w:rPr>
        <w:t>A ideia de policentrismo aqui adotada se inspira na formulação de</w:t>
      </w:r>
      <w:r w:rsidR="005C0782">
        <w:rPr>
          <w:rFonts w:ascii="Trebuchet MS" w:hAnsi="Trebuchet MS" w:cs="Arial"/>
        </w:rPr>
        <w:t xml:space="preserve"> </w:t>
      </w:r>
      <w:proofErr w:type="spellStart"/>
      <w:r w:rsidR="005C0782" w:rsidRPr="00725AAC">
        <w:rPr>
          <w:rFonts w:ascii="Trebuchet MS" w:hAnsi="Trebuchet MS" w:cs="Arial"/>
        </w:rPr>
        <w:t>Ostrom</w:t>
      </w:r>
      <w:proofErr w:type="spellEnd"/>
      <w:r w:rsidR="005C0782" w:rsidRPr="00725AAC">
        <w:rPr>
          <w:rFonts w:ascii="Trebuchet MS" w:hAnsi="Trebuchet MS" w:cs="Arial"/>
        </w:rPr>
        <w:t xml:space="preserve">, </w:t>
      </w:r>
      <w:proofErr w:type="spellStart"/>
      <w:r w:rsidR="005C0782" w:rsidRPr="00725AAC">
        <w:rPr>
          <w:rFonts w:ascii="Trebuchet MS" w:hAnsi="Trebuchet MS" w:cs="Arial"/>
        </w:rPr>
        <w:t>Tiebout</w:t>
      </w:r>
      <w:proofErr w:type="spellEnd"/>
      <w:r w:rsidR="005C0782" w:rsidRPr="00725AAC">
        <w:rPr>
          <w:rFonts w:ascii="Trebuchet MS" w:hAnsi="Trebuchet MS" w:cs="Arial"/>
        </w:rPr>
        <w:t>; Warren</w:t>
      </w:r>
      <w:r w:rsidR="005C0782">
        <w:rPr>
          <w:rFonts w:ascii="Trebuchet MS" w:hAnsi="Trebuchet MS" w:cs="Arial"/>
        </w:rPr>
        <w:t xml:space="preserve"> (</w:t>
      </w:r>
      <w:r w:rsidR="005C0782" w:rsidRPr="00725AAC">
        <w:rPr>
          <w:rFonts w:ascii="Trebuchet MS" w:hAnsi="Trebuchet MS" w:cs="Arial"/>
        </w:rPr>
        <w:t>1961</w:t>
      </w:r>
      <w:r w:rsidR="005C0782">
        <w:rPr>
          <w:rFonts w:ascii="Trebuchet MS" w:hAnsi="Trebuchet MS" w:cs="Arial"/>
        </w:rPr>
        <w:t>) e</w:t>
      </w:r>
      <w:r w:rsidR="005C0782" w:rsidRPr="00725AAC">
        <w:rPr>
          <w:rFonts w:ascii="Trebuchet MS" w:hAnsi="Trebuchet MS" w:cs="Arial"/>
        </w:rPr>
        <w:t xml:space="preserve"> </w:t>
      </w:r>
      <w:proofErr w:type="spellStart"/>
      <w:r w:rsidR="005C0782" w:rsidRPr="00725AAC">
        <w:rPr>
          <w:rFonts w:ascii="Trebuchet MS" w:hAnsi="Trebuchet MS" w:cs="Arial"/>
        </w:rPr>
        <w:t>Ostrom</w:t>
      </w:r>
      <w:proofErr w:type="spellEnd"/>
      <w:r w:rsidR="005C0782" w:rsidRPr="00725AAC">
        <w:rPr>
          <w:rFonts w:ascii="Trebuchet MS" w:hAnsi="Trebuchet MS" w:cs="Arial"/>
        </w:rPr>
        <w:t xml:space="preserve"> (201</w:t>
      </w:r>
      <w:r w:rsidR="005C0782">
        <w:rPr>
          <w:rFonts w:ascii="Trebuchet MS" w:hAnsi="Trebuchet MS" w:cs="Arial"/>
        </w:rPr>
        <w:t>0</w:t>
      </w:r>
      <w:r w:rsidR="005C0782" w:rsidRPr="00725AAC">
        <w:rPr>
          <w:rFonts w:ascii="Trebuchet MS" w:hAnsi="Trebuchet MS" w:cs="Arial"/>
        </w:rPr>
        <w:t>)</w:t>
      </w:r>
      <w:r w:rsidR="005C0782">
        <w:rPr>
          <w:rFonts w:ascii="Trebuchet MS" w:hAnsi="Trebuchet MS" w:cs="Arial"/>
        </w:rPr>
        <w:t>, para quem o</w:t>
      </w:r>
      <w:r w:rsidRPr="00725AAC">
        <w:rPr>
          <w:rFonts w:ascii="Trebuchet MS" w:hAnsi="Trebuchet MS" w:cs="Arial"/>
        </w:rPr>
        <w:t xml:space="preserve">s sistemas policêntricos de governança territoriais são constituídos por centros autônomos e por distintas categorias de atores territoriais. Esses atores mantêm </w:t>
      </w:r>
      <w:r w:rsidRPr="00725AAC">
        <w:rPr>
          <w:rFonts w:ascii="Trebuchet MS" w:hAnsi="Trebuchet MS" w:cs="Arial"/>
        </w:rPr>
        <w:lastRenderedPageBreak/>
        <w:t xml:space="preserve">interações variadas entre si, mas também com atores sociais e políticos de escalas </w:t>
      </w:r>
      <w:proofErr w:type="spellStart"/>
      <w:r w:rsidRPr="00725AAC">
        <w:rPr>
          <w:rFonts w:ascii="Trebuchet MS" w:hAnsi="Trebuchet MS" w:cs="Arial"/>
        </w:rPr>
        <w:t>supra-territoriais</w:t>
      </w:r>
      <w:proofErr w:type="spellEnd"/>
      <w:r w:rsidRPr="00725AAC">
        <w:rPr>
          <w:rFonts w:ascii="Trebuchet MS" w:hAnsi="Trebuchet MS" w:cs="Arial"/>
        </w:rPr>
        <w:t>.</w:t>
      </w:r>
    </w:p>
    <w:p w14:paraId="6F1A9158" w14:textId="7974DA8E" w:rsidR="005D7EBD" w:rsidRPr="00725AAC" w:rsidRDefault="005D7EBD" w:rsidP="005C0782">
      <w:pPr>
        <w:spacing w:line="360" w:lineRule="auto"/>
        <w:ind w:firstLine="708"/>
        <w:jc w:val="both"/>
        <w:rPr>
          <w:rFonts w:ascii="Trebuchet MS" w:hAnsi="Trebuchet MS" w:cs="Arial"/>
        </w:rPr>
      </w:pPr>
      <w:r w:rsidRPr="00725AAC">
        <w:rPr>
          <w:rFonts w:ascii="Trebuchet MS" w:hAnsi="Trebuchet MS" w:cs="Arial"/>
        </w:rPr>
        <w:t xml:space="preserve">O policentrismo contempla o fato de determinadas organizações territoriais que atuam em certos espaços públicos representarem uma parte das forças vivas do território. Por razões diversas, uma gama de outras organizações não participa de certas institucionalidades, mas podem ser mobilizadas seja para ampliar e fortalecer as ações, seja porque disputam poder e acesso a recursos públicos </w:t>
      </w:r>
      <w:r>
        <w:rPr>
          <w:rFonts w:ascii="Trebuchet MS" w:hAnsi="Trebuchet MS" w:cs="Arial"/>
        </w:rPr>
        <w:t xml:space="preserve">em </w:t>
      </w:r>
      <w:r w:rsidRPr="00725AAC">
        <w:rPr>
          <w:rFonts w:ascii="Trebuchet MS" w:hAnsi="Trebuchet MS" w:cs="Arial"/>
        </w:rPr>
        <w:t>outros espaços, ou ainda porque podem se transformar em parceiras na concepção e execução de projetos coletivos que lhes interessam.</w:t>
      </w:r>
      <w:r>
        <w:rPr>
          <w:rFonts w:ascii="Trebuchet MS" w:hAnsi="Trebuchet MS" w:cs="Arial"/>
        </w:rPr>
        <w:t xml:space="preserve"> </w:t>
      </w:r>
      <w:r w:rsidRPr="00725AAC">
        <w:rPr>
          <w:rFonts w:ascii="Trebuchet MS" w:hAnsi="Trebuchet MS" w:cs="Arial"/>
        </w:rPr>
        <w:t>As organizações que tensionam ou questionam a legitimidade de determinadas iniciativas públicas para atuar no monitoramento ou operacionalização de políticas públicas, por vezes, bloqueiam ou minam as ações previstas, não podendo, portanto, ser simplesmente ignoradas. No caso da territorialização de políticas públicas, o desafio maior, por vezes, consiste em construir coalizões políticas, que legitimem as diretrizes que se pretende empreender.</w:t>
      </w:r>
    </w:p>
    <w:p w14:paraId="6946C86A" w14:textId="77777777"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rPr>
        <w:t xml:space="preserve">A análise de </w:t>
      </w:r>
      <w:proofErr w:type="spellStart"/>
      <w:r w:rsidRPr="00725AAC">
        <w:rPr>
          <w:rFonts w:ascii="Trebuchet MS" w:hAnsi="Trebuchet MS" w:cs="Arial"/>
        </w:rPr>
        <w:t>Piraux</w:t>
      </w:r>
      <w:proofErr w:type="spellEnd"/>
      <w:r w:rsidRPr="00725AAC">
        <w:rPr>
          <w:rFonts w:ascii="Trebuchet MS" w:hAnsi="Trebuchet MS" w:cs="Arial"/>
        </w:rPr>
        <w:t xml:space="preserve"> (2024) sobre as experiências de governança da política de desenvolvimento territorial sustentável do Governo Federal do Brasil no período entre 2003 e 2016, sugere um conjunto de orientações sobre o tema:</w:t>
      </w:r>
      <w:r>
        <w:rPr>
          <w:rFonts w:ascii="Trebuchet MS" w:hAnsi="Trebuchet MS" w:cs="Arial"/>
        </w:rPr>
        <w:t xml:space="preserve"> </w:t>
      </w:r>
      <w:r w:rsidRPr="00725AAC">
        <w:rPr>
          <w:rFonts w:ascii="Trebuchet MS" w:hAnsi="Trebuchet MS" w:cs="Arial"/>
        </w:rPr>
        <w:t>i) Adoção de uma abordagem modesta com envolvimento gradual das partes interessadas;</w:t>
      </w:r>
      <w:r>
        <w:rPr>
          <w:rFonts w:ascii="Trebuchet MS" w:hAnsi="Trebuchet MS" w:cs="Arial"/>
        </w:rPr>
        <w:t xml:space="preserve"> </w:t>
      </w:r>
      <w:proofErr w:type="spellStart"/>
      <w:r w:rsidRPr="00725AAC">
        <w:rPr>
          <w:rFonts w:ascii="Trebuchet MS" w:hAnsi="Trebuchet MS" w:cs="Arial"/>
        </w:rPr>
        <w:t>ii</w:t>
      </w:r>
      <w:proofErr w:type="spellEnd"/>
      <w:r w:rsidRPr="00725AAC">
        <w:rPr>
          <w:rFonts w:ascii="Trebuchet MS" w:hAnsi="Trebuchet MS" w:cs="Arial"/>
        </w:rPr>
        <w:t>) Construção de uma missão compartilhada, que oriente a definição de objetivos;</w:t>
      </w:r>
      <w:r>
        <w:rPr>
          <w:rFonts w:ascii="Trebuchet MS" w:hAnsi="Trebuchet MS" w:cs="Arial"/>
        </w:rPr>
        <w:t xml:space="preserve"> </w:t>
      </w:r>
      <w:proofErr w:type="spellStart"/>
      <w:r w:rsidRPr="00725AAC">
        <w:rPr>
          <w:rFonts w:ascii="Trebuchet MS" w:hAnsi="Trebuchet MS" w:cs="Arial"/>
        </w:rPr>
        <w:t>iii</w:t>
      </w:r>
      <w:proofErr w:type="spellEnd"/>
      <w:r w:rsidRPr="00725AAC">
        <w:rPr>
          <w:rFonts w:ascii="Trebuchet MS" w:hAnsi="Trebuchet MS" w:cs="Arial"/>
        </w:rPr>
        <w:t>) Definição processual de regras operacionais e divisão de tarefas;</w:t>
      </w:r>
      <w:r>
        <w:rPr>
          <w:rFonts w:ascii="Trebuchet MS" w:hAnsi="Trebuchet MS" w:cs="Arial"/>
        </w:rPr>
        <w:t xml:space="preserve"> </w:t>
      </w:r>
      <w:proofErr w:type="spellStart"/>
      <w:r w:rsidRPr="00725AAC">
        <w:rPr>
          <w:rFonts w:ascii="Trebuchet MS" w:hAnsi="Trebuchet MS" w:cs="Arial"/>
        </w:rPr>
        <w:t>iv</w:t>
      </w:r>
      <w:proofErr w:type="spellEnd"/>
      <w:r w:rsidRPr="00725AAC">
        <w:rPr>
          <w:rFonts w:ascii="Trebuchet MS" w:hAnsi="Trebuchet MS" w:cs="Arial"/>
        </w:rPr>
        <w:t>) Exercitar o gerenciamento de diferenças, tensões e conflitos;</w:t>
      </w:r>
      <w:r>
        <w:rPr>
          <w:rFonts w:ascii="Trebuchet MS" w:hAnsi="Trebuchet MS" w:cs="Arial"/>
        </w:rPr>
        <w:t xml:space="preserve"> </w:t>
      </w:r>
      <w:proofErr w:type="spellStart"/>
      <w:r w:rsidRPr="00725AAC">
        <w:rPr>
          <w:rFonts w:ascii="Trebuchet MS" w:hAnsi="Trebuchet MS" w:cs="Arial"/>
        </w:rPr>
        <w:t>iv</w:t>
      </w:r>
      <w:proofErr w:type="spellEnd"/>
      <w:r w:rsidRPr="00725AAC">
        <w:rPr>
          <w:rFonts w:ascii="Trebuchet MS" w:hAnsi="Trebuchet MS" w:cs="Arial"/>
        </w:rPr>
        <w:t>) Conceber e executar pequenos projetos, pois conquistas e retornos rápidos estimulam a participação.</w:t>
      </w:r>
    </w:p>
    <w:p w14:paraId="2A35772F" w14:textId="12F17DC3" w:rsidR="005D7EBD" w:rsidRPr="005C0782" w:rsidRDefault="005D7EBD" w:rsidP="005C0782">
      <w:pPr>
        <w:spacing w:line="360" w:lineRule="auto"/>
        <w:ind w:firstLine="708"/>
        <w:jc w:val="both"/>
        <w:rPr>
          <w:rFonts w:ascii="Trebuchet MS" w:hAnsi="Trebuchet MS" w:cs="Arial"/>
        </w:rPr>
      </w:pPr>
      <w:r w:rsidRPr="00725AAC">
        <w:rPr>
          <w:rFonts w:ascii="Trebuchet MS" w:hAnsi="Trebuchet MS" w:cs="Arial"/>
        </w:rPr>
        <w:t>Na sequência discut</w:t>
      </w:r>
      <w:r>
        <w:rPr>
          <w:rFonts w:ascii="Trebuchet MS" w:hAnsi="Trebuchet MS" w:cs="Arial"/>
        </w:rPr>
        <w:t>e-se</w:t>
      </w:r>
      <w:r w:rsidRPr="00725AAC">
        <w:rPr>
          <w:rFonts w:ascii="Trebuchet MS" w:hAnsi="Trebuchet MS" w:cs="Arial"/>
        </w:rPr>
        <w:t xml:space="preserve"> a territorialização de políticas pública, a partir de exemplos práticos. Antes de prosseguir convém lembrar que a criatividade e a participação social representam características inerentes às iniciativas de desenvolvimento territorial sustentável (</w:t>
      </w:r>
      <w:proofErr w:type="spellStart"/>
      <w:r w:rsidRPr="00725AAC">
        <w:rPr>
          <w:rFonts w:ascii="Trebuchet MS" w:hAnsi="Trebuchet MS" w:cs="Arial"/>
        </w:rPr>
        <w:t>Glon</w:t>
      </w:r>
      <w:proofErr w:type="spellEnd"/>
      <w:r w:rsidRPr="00725AAC">
        <w:rPr>
          <w:rFonts w:ascii="Trebuchet MS" w:hAnsi="Trebuchet MS" w:cs="Arial"/>
        </w:rPr>
        <w:t xml:space="preserve">; </w:t>
      </w:r>
      <w:proofErr w:type="spellStart"/>
      <w:r w:rsidRPr="00725AAC">
        <w:rPr>
          <w:rFonts w:ascii="Trebuchet MS" w:hAnsi="Trebuchet MS" w:cs="Arial"/>
        </w:rPr>
        <w:t>Pecqueur</w:t>
      </w:r>
      <w:proofErr w:type="spellEnd"/>
      <w:r w:rsidRPr="00725AAC">
        <w:rPr>
          <w:rFonts w:ascii="Trebuchet MS" w:hAnsi="Trebuchet MS" w:cs="Arial"/>
        </w:rPr>
        <w:t xml:space="preserve">, 2016). Não se tem a pretensão, portanto, de que as ideias aqui formuladas representem ações prioritárias </w:t>
      </w:r>
      <w:r w:rsidRPr="00725AAC">
        <w:rPr>
          <w:rFonts w:ascii="Trebuchet MS" w:hAnsi="Trebuchet MS" w:cs="Arial"/>
        </w:rPr>
        <w:lastRenderedPageBreak/>
        <w:t>de territorialização de políticas públicas, nem que sejam aplicáveis em todos os territórios.</w:t>
      </w:r>
    </w:p>
    <w:p w14:paraId="59EC201B" w14:textId="77777777" w:rsidR="00C46FD9" w:rsidRDefault="00C46FD9" w:rsidP="005D7EBD">
      <w:pPr>
        <w:spacing w:line="360" w:lineRule="auto"/>
        <w:jc w:val="both"/>
        <w:rPr>
          <w:rFonts w:ascii="Trebuchet MS" w:hAnsi="Trebuchet MS" w:cs="Arial"/>
        </w:rPr>
      </w:pPr>
    </w:p>
    <w:p w14:paraId="3B1A889A" w14:textId="7DCDC42E" w:rsidR="005D7EBD" w:rsidRPr="00725AAC" w:rsidRDefault="005D7EBD" w:rsidP="005D7EBD">
      <w:pPr>
        <w:spacing w:line="360" w:lineRule="auto"/>
        <w:jc w:val="both"/>
        <w:rPr>
          <w:rFonts w:ascii="Trebuchet MS" w:hAnsi="Trebuchet MS" w:cs="Arial"/>
        </w:rPr>
      </w:pPr>
      <w:r w:rsidRPr="00725AAC">
        <w:rPr>
          <w:rFonts w:ascii="Trebuchet MS" w:hAnsi="Trebuchet MS" w:cs="Arial"/>
        </w:rPr>
        <w:t>A TERRITORIALIZAÇÃO DE POLÍTICAS PÚBLICAS: ALGUNS EXEMPLOS PRÁTICOS</w:t>
      </w:r>
    </w:p>
    <w:p w14:paraId="786E3190" w14:textId="367049B0" w:rsidR="005C0782" w:rsidRDefault="005D7EBD" w:rsidP="00C46FD9">
      <w:pPr>
        <w:spacing w:line="360" w:lineRule="auto"/>
        <w:ind w:firstLine="708"/>
        <w:jc w:val="both"/>
        <w:rPr>
          <w:rFonts w:ascii="Trebuchet MS" w:hAnsi="Trebuchet MS" w:cs="Arial"/>
        </w:rPr>
      </w:pPr>
      <w:r w:rsidRPr="00725AAC">
        <w:rPr>
          <w:rFonts w:ascii="Trebuchet MS" w:hAnsi="Trebuchet MS" w:cs="Arial"/>
        </w:rPr>
        <w:t>Neste tópico, a referência in</w:t>
      </w:r>
      <w:r>
        <w:rPr>
          <w:rFonts w:ascii="Trebuchet MS" w:hAnsi="Trebuchet MS" w:cs="Arial"/>
        </w:rPr>
        <w:t>i</w:t>
      </w:r>
      <w:r w:rsidRPr="00725AAC">
        <w:rPr>
          <w:rFonts w:ascii="Trebuchet MS" w:hAnsi="Trebuchet MS" w:cs="Arial"/>
        </w:rPr>
        <w:t xml:space="preserve">cial será Programa Nacional de Fortalecimento da Agricultura Familiar (Pronaf), por se tratar da principal política do MDA. Diversos trabalhos demonstram o quanto o Pronaf, criado a partir de pressão política iniciada ainda na década de 1980 por parte de organizações da agricultura familiar, acabou com o tempo se moldando, em grande medida, à trajetória do crédito rural convencional (Schneider, </w:t>
      </w:r>
      <w:proofErr w:type="spellStart"/>
      <w:r w:rsidRPr="00725AAC">
        <w:rPr>
          <w:rFonts w:ascii="Trebuchet MS" w:hAnsi="Trebuchet MS" w:cs="Arial"/>
        </w:rPr>
        <w:t>Cazella</w:t>
      </w:r>
      <w:proofErr w:type="spellEnd"/>
      <w:r w:rsidRPr="00725AAC">
        <w:rPr>
          <w:rFonts w:ascii="Trebuchet MS" w:hAnsi="Trebuchet MS" w:cs="Arial"/>
        </w:rPr>
        <w:t xml:space="preserve">, Mattei, 2004; </w:t>
      </w:r>
      <w:proofErr w:type="spellStart"/>
      <w:r w:rsidRPr="00725AAC">
        <w:rPr>
          <w:rFonts w:ascii="Trebuchet MS" w:hAnsi="Trebuchet MS" w:cs="Arial"/>
        </w:rPr>
        <w:t>Capellesso</w:t>
      </w:r>
      <w:proofErr w:type="spellEnd"/>
      <w:r w:rsidRPr="00725AAC">
        <w:rPr>
          <w:rFonts w:ascii="Trebuchet MS" w:hAnsi="Trebuchet MS" w:cs="Arial"/>
        </w:rPr>
        <w:t xml:space="preserve">, </w:t>
      </w:r>
      <w:proofErr w:type="spellStart"/>
      <w:r w:rsidRPr="00725AAC">
        <w:rPr>
          <w:rFonts w:ascii="Trebuchet MS" w:hAnsi="Trebuchet MS" w:cs="Arial"/>
        </w:rPr>
        <w:t>Cazella</w:t>
      </w:r>
      <w:proofErr w:type="spellEnd"/>
      <w:r w:rsidRPr="00725AAC">
        <w:rPr>
          <w:rFonts w:ascii="Trebuchet MS" w:hAnsi="Trebuchet MS" w:cs="Arial"/>
        </w:rPr>
        <w:t xml:space="preserve">, Búrigo, 2018). </w:t>
      </w:r>
    </w:p>
    <w:p w14:paraId="433C796E" w14:textId="212EE68D" w:rsidR="005D7EBD" w:rsidRPr="00725AAC" w:rsidRDefault="005D7EBD" w:rsidP="005C0782">
      <w:pPr>
        <w:spacing w:line="360" w:lineRule="auto"/>
        <w:ind w:firstLine="708"/>
        <w:jc w:val="both"/>
        <w:rPr>
          <w:rFonts w:ascii="Trebuchet MS" w:hAnsi="Trebuchet MS" w:cs="Arial"/>
        </w:rPr>
      </w:pPr>
      <w:r w:rsidRPr="00725AAC">
        <w:rPr>
          <w:rFonts w:ascii="Trebuchet MS" w:hAnsi="Trebuchet MS" w:cs="Arial"/>
        </w:rPr>
        <w:t xml:space="preserve">Na atualidade, os mecanismos de controle social na esfera territorial referente à implementação do Pronaf são </w:t>
      </w:r>
      <w:r w:rsidR="005C0782">
        <w:rPr>
          <w:rFonts w:ascii="Trebuchet MS" w:hAnsi="Trebuchet MS" w:cs="Arial"/>
        </w:rPr>
        <w:t>pontuais</w:t>
      </w:r>
      <w:r w:rsidRPr="00725AAC">
        <w:rPr>
          <w:rFonts w:ascii="Trebuchet MS" w:hAnsi="Trebuchet MS" w:cs="Arial"/>
        </w:rPr>
        <w:t xml:space="preserve"> ou mesmo inexistentes. A discussão sobre a territorialização desse Programa remete à reflexão de uma das críticas formuladas por estudos acadêmicos</w:t>
      </w:r>
      <w:r w:rsidR="005C0782">
        <w:rPr>
          <w:rFonts w:ascii="Trebuchet MS" w:hAnsi="Trebuchet MS" w:cs="Arial"/>
        </w:rPr>
        <w:t xml:space="preserve">, que </w:t>
      </w:r>
      <w:r w:rsidRPr="00725AAC">
        <w:rPr>
          <w:rFonts w:ascii="Trebuchet MS" w:hAnsi="Trebuchet MS" w:cs="Arial"/>
        </w:rPr>
        <w:t>pode ser resumida na expressão de que o Pronaf “faz mais do mesmo”. Ou seja, uma parcela significativa da agricultura familiar, categoria social cuja característica principal é a sua diversidade social, não logrou êxito em acessar os serviços de crédito rural ou o fez de forma descontinuada e pontual.</w:t>
      </w:r>
    </w:p>
    <w:p w14:paraId="020B50B9" w14:textId="569F7605"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rPr>
        <w:t xml:space="preserve">Para aprofundar essa discussão, o caso do Pronaf B, que representa as operações de microcrédito dentro do Programa, é elucidativo, mas análise semelhante pode ser feita para outras modalidades, em especial o Pronaf Agroecologia e Mulher. Por qual razão o Pronaf B não se tornou uma opção de microcrédito para todas as regiões do país, ficando restrito às regiões Nordeste e Norte? Sabe-se que essas duas regiões concentram o maior número de unidades agrícolas familiares empobrecidas e que os Fundos Constitucionais destinados para essas duas regiões aportam recursos para que essa modalidade seja operada. </w:t>
      </w:r>
      <w:r w:rsidR="005C0782">
        <w:rPr>
          <w:rFonts w:ascii="Trebuchet MS" w:hAnsi="Trebuchet MS" w:cs="Arial"/>
        </w:rPr>
        <w:t>N</w:t>
      </w:r>
      <w:r w:rsidRPr="00725AAC">
        <w:rPr>
          <w:rFonts w:ascii="Trebuchet MS" w:hAnsi="Trebuchet MS" w:cs="Arial"/>
        </w:rPr>
        <w:t xml:space="preserve">o entanto, </w:t>
      </w:r>
      <w:r w:rsidR="005C0782">
        <w:rPr>
          <w:rFonts w:ascii="Trebuchet MS" w:hAnsi="Trebuchet MS" w:cs="Arial"/>
        </w:rPr>
        <w:t>as demais regiões do</w:t>
      </w:r>
      <w:r w:rsidRPr="00725AAC">
        <w:rPr>
          <w:rFonts w:ascii="Trebuchet MS" w:hAnsi="Trebuchet MS" w:cs="Arial"/>
        </w:rPr>
        <w:t xml:space="preserve"> País também têm </w:t>
      </w:r>
      <w:r w:rsidR="005C0782">
        <w:rPr>
          <w:rFonts w:ascii="Trebuchet MS" w:hAnsi="Trebuchet MS" w:cs="Arial"/>
        </w:rPr>
        <w:t>famílias</w:t>
      </w:r>
      <w:r w:rsidRPr="00725AAC">
        <w:rPr>
          <w:rFonts w:ascii="Trebuchet MS" w:hAnsi="Trebuchet MS" w:cs="Arial"/>
        </w:rPr>
        <w:t xml:space="preserve"> </w:t>
      </w:r>
      <w:r w:rsidR="005C0782">
        <w:rPr>
          <w:rFonts w:ascii="Trebuchet MS" w:hAnsi="Trebuchet MS" w:cs="Arial"/>
        </w:rPr>
        <w:t xml:space="preserve">agrícolas </w:t>
      </w:r>
      <w:r w:rsidRPr="00725AAC">
        <w:rPr>
          <w:rFonts w:ascii="Trebuchet MS" w:hAnsi="Trebuchet MS" w:cs="Arial"/>
        </w:rPr>
        <w:t>empobrecid</w:t>
      </w:r>
      <w:r w:rsidR="005C0782">
        <w:rPr>
          <w:rFonts w:ascii="Trebuchet MS" w:hAnsi="Trebuchet MS" w:cs="Arial"/>
        </w:rPr>
        <w:t>a</w:t>
      </w:r>
      <w:r w:rsidRPr="00725AAC">
        <w:rPr>
          <w:rFonts w:ascii="Trebuchet MS" w:hAnsi="Trebuchet MS" w:cs="Arial"/>
        </w:rPr>
        <w:t>s que não são atendid</w:t>
      </w:r>
      <w:r w:rsidR="005C0782">
        <w:rPr>
          <w:rFonts w:ascii="Trebuchet MS" w:hAnsi="Trebuchet MS" w:cs="Arial"/>
        </w:rPr>
        <w:t>a</w:t>
      </w:r>
      <w:r w:rsidRPr="00725AAC">
        <w:rPr>
          <w:rFonts w:ascii="Trebuchet MS" w:hAnsi="Trebuchet MS" w:cs="Arial"/>
        </w:rPr>
        <w:t xml:space="preserve">s pela política de crédito rural. O fato das principais organizações da agricultura familiar não incluírem essa demanda nas suas pautas de reivindicações </w:t>
      </w:r>
      <w:r w:rsidRPr="00725AAC">
        <w:rPr>
          <w:rFonts w:ascii="Trebuchet MS" w:hAnsi="Trebuchet MS" w:cs="Arial"/>
        </w:rPr>
        <w:lastRenderedPageBreak/>
        <w:t>é revelador do distanciamento dessas organizações na operacionalização da política e, em particular, da realidade socioeconômica e política das famílias agricultoras que se enquadram nessa modalidade de crédito rural.</w:t>
      </w:r>
    </w:p>
    <w:p w14:paraId="1E994E33" w14:textId="0603C747" w:rsidR="005D7EBD" w:rsidRPr="00725AAC" w:rsidRDefault="005D7EBD" w:rsidP="00D84787">
      <w:pPr>
        <w:spacing w:line="360" w:lineRule="auto"/>
        <w:jc w:val="both"/>
        <w:rPr>
          <w:rFonts w:ascii="Trebuchet MS" w:hAnsi="Trebuchet MS" w:cs="Arial"/>
        </w:rPr>
      </w:pPr>
      <w:r w:rsidRPr="00725AAC">
        <w:rPr>
          <w:rFonts w:ascii="Trebuchet MS" w:hAnsi="Trebuchet MS" w:cs="Arial"/>
        </w:rPr>
        <w:tab/>
        <w:t xml:space="preserve">A experiência de gestão do Pronaf B levada a cabo pelo Banco do Nordeste por meio do Programa </w:t>
      </w:r>
      <w:proofErr w:type="spellStart"/>
      <w:r w:rsidRPr="00725AAC">
        <w:rPr>
          <w:rFonts w:ascii="Trebuchet MS" w:hAnsi="Trebuchet MS" w:cs="Arial"/>
        </w:rPr>
        <w:t>Agroamigo</w:t>
      </w:r>
      <w:proofErr w:type="spellEnd"/>
      <w:r w:rsidRPr="00725AAC">
        <w:rPr>
          <w:rFonts w:ascii="Trebuchet MS" w:hAnsi="Trebuchet MS" w:cs="Arial"/>
        </w:rPr>
        <w:t xml:space="preserve"> representa um caso de sucesso, que incorporou as principais metodologias exitosas de microcrédito (</w:t>
      </w:r>
      <w:r w:rsidRPr="00725AAC">
        <w:rPr>
          <w:rFonts w:ascii="Trebuchet MS" w:hAnsi="Trebuchet MS" w:cs="Arial"/>
          <w:color w:val="181919"/>
        </w:rPr>
        <w:t>Machado, Barbosa, Ribeiro da Silva, 2023).</w:t>
      </w:r>
      <w:r w:rsidRPr="00725AAC">
        <w:rPr>
          <w:rFonts w:ascii="Trebuchet MS" w:hAnsi="Trebuchet MS" w:cs="Arial"/>
        </w:rPr>
        <w:t xml:space="preserve"> Três aspectos se destacam dentre os procedimentos operacionais adotados: priorizar o acesso ao crédito por parte das mulheres, liberar recursos financeiros de forma gradual e progressiva à medida que os projetos são implementados e instituir a figura dos agentes de microcrédito, em geral jovens das próprias comunidades rurais. A experiência do </w:t>
      </w:r>
      <w:proofErr w:type="spellStart"/>
      <w:r w:rsidRPr="00725AAC">
        <w:rPr>
          <w:rFonts w:ascii="Trebuchet MS" w:hAnsi="Trebuchet MS" w:cs="Arial"/>
        </w:rPr>
        <w:t>Agroamigo</w:t>
      </w:r>
      <w:proofErr w:type="spellEnd"/>
      <w:r w:rsidRPr="00725AAC">
        <w:rPr>
          <w:rFonts w:ascii="Trebuchet MS" w:hAnsi="Trebuchet MS" w:cs="Arial"/>
        </w:rPr>
        <w:t xml:space="preserve"> carece, no entanto, de um aprofundamento dos seus vínculos territoriais, a exemplo da interação desses agentes de microcrédito com organizações de apoio e de representação da agricultura familiar que atuam nos territórios.</w:t>
      </w:r>
      <w:r w:rsidR="00D84787">
        <w:rPr>
          <w:rFonts w:ascii="Trebuchet MS" w:hAnsi="Trebuchet MS" w:cs="Arial"/>
        </w:rPr>
        <w:t xml:space="preserve"> </w:t>
      </w:r>
      <w:r w:rsidRPr="00725AAC">
        <w:rPr>
          <w:rFonts w:ascii="Trebuchet MS" w:hAnsi="Trebuchet MS" w:cs="Arial"/>
        </w:rPr>
        <w:t>A territorialização do Pronaf, em particular da modalidade B, pode se dar de diversas formas, com destaque para a busca ativa de novos beneficiários</w:t>
      </w:r>
      <w:r w:rsidR="005C0782">
        <w:rPr>
          <w:rFonts w:ascii="Trebuchet MS" w:hAnsi="Trebuchet MS" w:cs="Arial"/>
        </w:rPr>
        <w:t>,</w:t>
      </w:r>
      <w:r w:rsidRPr="00725AAC">
        <w:rPr>
          <w:rFonts w:ascii="Trebuchet MS" w:hAnsi="Trebuchet MS" w:cs="Arial"/>
        </w:rPr>
        <w:t xml:space="preserve"> a inclusão de mulheres agricultoras, a começar pelo Cadastro da Agricultura Familiar</w:t>
      </w:r>
      <w:r w:rsidR="00BC3981">
        <w:rPr>
          <w:rFonts w:ascii="Trebuchet MS" w:hAnsi="Trebuchet MS" w:cs="Arial"/>
        </w:rPr>
        <w:t xml:space="preserve"> e</w:t>
      </w:r>
      <w:r w:rsidRPr="00725AAC">
        <w:rPr>
          <w:rFonts w:ascii="Trebuchet MS" w:hAnsi="Trebuchet MS" w:cs="Arial"/>
        </w:rPr>
        <w:t xml:space="preserve"> apoio técnico às famílias contempladas da parte de organizações territoriais.</w:t>
      </w:r>
    </w:p>
    <w:p w14:paraId="7FE3DA7A" w14:textId="4018898A" w:rsidR="005D7EBD" w:rsidRPr="00BC3981" w:rsidRDefault="005D7EBD" w:rsidP="00BC3981">
      <w:pPr>
        <w:spacing w:line="360" w:lineRule="auto"/>
        <w:ind w:firstLine="708"/>
        <w:jc w:val="both"/>
        <w:rPr>
          <w:rFonts w:ascii="Trebuchet MS" w:hAnsi="Trebuchet MS" w:cs="Arial"/>
          <w:color w:val="000000"/>
        </w:rPr>
      </w:pPr>
      <w:r w:rsidRPr="00725AAC">
        <w:rPr>
          <w:rFonts w:ascii="Trebuchet MS" w:hAnsi="Trebuchet MS" w:cs="Arial"/>
        </w:rPr>
        <w:t xml:space="preserve">Ampliar a incidência e abrangência dos sistemas de certificação participativa da agricultura orgânica e agroecológica é outra ação de territorialização de ações públicas, que fortalece o ideário de produzir alimentos saudáveis e de assegurar a soberania alimentar. Em abril de 2024, a base de dados do Ministério da Agricultura, Pecuária e </w:t>
      </w:r>
      <w:r w:rsidRPr="00725AAC">
        <w:rPr>
          <w:rFonts w:ascii="Trebuchet MS" w:hAnsi="Trebuchet MS" w:cs="Arial"/>
          <w:color w:val="000000"/>
        </w:rPr>
        <w:t>Abastecimento</w:t>
      </w:r>
      <w:r w:rsidRPr="00725AAC">
        <w:rPr>
          <w:rFonts w:ascii="Trebuchet MS" w:hAnsi="Trebuchet MS" w:cs="Arial"/>
        </w:rPr>
        <w:t xml:space="preserve"> </w:t>
      </w:r>
      <w:r w:rsidRPr="00725AAC">
        <w:rPr>
          <w:rFonts w:ascii="Trebuchet MS" w:hAnsi="Trebuchet MS" w:cs="Arial"/>
          <w:color w:val="000000"/>
        </w:rPr>
        <w:t xml:space="preserve">tinha o registro 26.237 produtores certificados, sendo 11.804 por certificadoras privadas, 9.396 por </w:t>
      </w:r>
      <w:r w:rsidRPr="00725AAC">
        <w:rPr>
          <w:rFonts w:ascii="Trebuchet MS" w:hAnsi="Trebuchet MS" w:cs="Arial"/>
        </w:rPr>
        <w:t>Organismos Participativos de Avaliação da Conformidade (OPAC) e 5.037 por Organismos de Controle Social (OCS)</w:t>
      </w:r>
      <w:r w:rsidRPr="00725AAC">
        <w:rPr>
          <w:rStyle w:val="Refdenotaderodap"/>
          <w:rFonts w:ascii="Trebuchet MS" w:hAnsi="Trebuchet MS" w:cs="Arial"/>
        </w:rPr>
        <w:footnoteReference w:id="6"/>
      </w:r>
      <w:r w:rsidRPr="00725AAC">
        <w:rPr>
          <w:rFonts w:ascii="Trebuchet MS" w:hAnsi="Trebuchet MS" w:cs="Arial"/>
        </w:rPr>
        <w:t>.</w:t>
      </w:r>
      <w:r w:rsidRPr="00725AAC">
        <w:rPr>
          <w:rFonts w:ascii="Trebuchet MS" w:hAnsi="Trebuchet MS" w:cs="Arial"/>
          <w:color w:val="000000"/>
        </w:rPr>
        <w:t xml:space="preserve"> Ao todo, </w:t>
      </w:r>
      <w:r w:rsidRPr="00725AAC">
        <w:rPr>
          <w:rFonts w:ascii="Trebuchet MS" w:hAnsi="Trebuchet MS" w:cs="Arial"/>
          <w:color w:val="000000"/>
        </w:rPr>
        <w:lastRenderedPageBreak/>
        <w:t>dez empresas privadas ou institutos, 383 OCS e 39 OPAC asseguram na atualidade a certificação orgânica no País.</w:t>
      </w:r>
      <w:r w:rsidR="00BC3981">
        <w:rPr>
          <w:rFonts w:ascii="Trebuchet MS" w:hAnsi="Trebuchet MS" w:cs="Arial"/>
          <w:color w:val="000000"/>
        </w:rPr>
        <w:t xml:space="preserve"> </w:t>
      </w:r>
      <w:r w:rsidRPr="00725AAC">
        <w:rPr>
          <w:rFonts w:ascii="Trebuchet MS" w:hAnsi="Trebuchet MS" w:cs="Arial"/>
          <w:color w:val="000000"/>
        </w:rPr>
        <w:t xml:space="preserve">Do total de agricultores certificados por OPAC, a Rede </w:t>
      </w:r>
      <w:proofErr w:type="spellStart"/>
      <w:r w:rsidRPr="00725AAC">
        <w:rPr>
          <w:rFonts w:ascii="Trebuchet MS" w:hAnsi="Trebuchet MS" w:cs="Arial"/>
          <w:color w:val="000000"/>
        </w:rPr>
        <w:t>Ecovida</w:t>
      </w:r>
      <w:proofErr w:type="spellEnd"/>
      <w:r w:rsidRPr="00725AAC">
        <w:rPr>
          <w:rFonts w:ascii="Trebuchet MS" w:hAnsi="Trebuchet MS" w:cs="Arial"/>
          <w:color w:val="000000"/>
        </w:rPr>
        <w:t>, inicia</w:t>
      </w:r>
      <w:r w:rsidRPr="00725AAC">
        <w:rPr>
          <w:rFonts w:ascii="Trebuchet MS" w:hAnsi="Trebuchet MS" w:cs="Arial"/>
        </w:rPr>
        <w:t>tiva pioneira nessa modalidade de certificação orgânica, presente nos três estados do Sul e em São Paulo (Rover, 2011), agrega 5.371 famílias</w:t>
      </w:r>
      <w:r w:rsidR="00643B91">
        <w:rPr>
          <w:rFonts w:ascii="Trebuchet MS" w:hAnsi="Trebuchet MS" w:cs="Arial"/>
        </w:rPr>
        <w:t xml:space="preserve"> (57,2%)</w:t>
      </w:r>
      <w:r w:rsidRPr="00725AAC">
        <w:rPr>
          <w:rFonts w:ascii="Trebuchet MS" w:hAnsi="Trebuchet MS" w:cs="Arial"/>
        </w:rPr>
        <w:t xml:space="preserve"> de agricultores</w:t>
      </w:r>
      <w:r w:rsidRPr="00725AAC">
        <w:rPr>
          <w:rFonts w:ascii="Trebuchet MS" w:hAnsi="Trebuchet MS" w:cs="Arial"/>
          <w:color w:val="000000"/>
        </w:rPr>
        <w:t xml:space="preserve">. Essa experiência inspirou </w:t>
      </w:r>
      <w:r w:rsidR="00BC3981">
        <w:rPr>
          <w:rFonts w:ascii="Trebuchet MS" w:hAnsi="Trebuchet MS" w:cs="Arial"/>
          <w:color w:val="000000"/>
        </w:rPr>
        <w:t>outras</w:t>
      </w:r>
      <w:r w:rsidRPr="00725AAC">
        <w:rPr>
          <w:rFonts w:ascii="Trebuchet MS" w:hAnsi="Trebuchet MS" w:cs="Arial"/>
          <w:color w:val="000000"/>
        </w:rPr>
        <w:t xml:space="preserve"> organizações registradas como OPAC. Na base dessa modalidade de certificação estão grupos de famílias de agricultores com cerca de 15 integrantes, que se articulam com outros grupos próximos. Para além de cumprir as exigências legais da certificação participativa, </w:t>
      </w:r>
      <w:r w:rsidR="00BC3981">
        <w:rPr>
          <w:rFonts w:ascii="Trebuchet MS" w:hAnsi="Trebuchet MS" w:cs="Arial"/>
          <w:color w:val="000000"/>
        </w:rPr>
        <w:t>os membros</w:t>
      </w:r>
      <w:r w:rsidRPr="00725AAC">
        <w:rPr>
          <w:rFonts w:ascii="Trebuchet MS" w:hAnsi="Trebuchet MS" w:cs="Arial"/>
          <w:color w:val="000000"/>
        </w:rPr>
        <w:t xml:space="preserve"> desses grupos compartilham conhecimentos técnicos e operam formas conjuntas de comercialização. Os OCS e OPAC são organismos </w:t>
      </w:r>
      <w:proofErr w:type="spellStart"/>
      <w:r w:rsidRPr="00725AAC">
        <w:rPr>
          <w:rFonts w:ascii="Trebuchet MS" w:hAnsi="Trebuchet MS" w:cs="Arial"/>
          <w:color w:val="000000"/>
        </w:rPr>
        <w:t>territorializados</w:t>
      </w:r>
      <w:proofErr w:type="spellEnd"/>
      <w:r w:rsidRPr="00725AAC">
        <w:rPr>
          <w:rFonts w:ascii="Trebuchet MS" w:hAnsi="Trebuchet MS" w:cs="Arial"/>
          <w:color w:val="000000"/>
        </w:rPr>
        <w:t xml:space="preserve">, cujas estruturas merecem ser apoiadas de distintas formas pelo poder público, seja via serviços de assistência técnica e extensão rural, seja por políticas públicas específicas, a exemplo da ampliação do Programa de Aquisição de Alimentos </w:t>
      </w:r>
      <w:r w:rsidRPr="00725AAC">
        <w:rPr>
          <w:rFonts w:ascii="Trebuchet MS" w:hAnsi="Trebuchet MS" w:cs="Arial"/>
          <w:color w:val="000000" w:themeColor="text1"/>
        </w:rPr>
        <w:t>(PAA) e do Programa Nacional de Alimentação Escolar (PNAE).</w:t>
      </w:r>
    </w:p>
    <w:p w14:paraId="63416863" w14:textId="07365592" w:rsidR="005D7EBD" w:rsidRPr="00725AAC" w:rsidRDefault="005D7EBD" w:rsidP="005D7EBD">
      <w:pPr>
        <w:spacing w:line="360" w:lineRule="auto"/>
        <w:jc w:val="both"/>
        <w:rPr>
          <w:rFonts w:ascii="Trebuchet MS" w:hAnsi="Trebuchet MS" w:cs="Arial"/>
          <w:color w:val="000000" w:themeColor="text1"/>
        </w:rPr>
      </w:pPr>
      <w:r w:rsidRPr="00725AAC">
        <w:rPr>
          <w:rFonts w:ascii="Trebuchet MS" w:hAnsi="Trebuchet MS" w:cs="Arial"/>
        </w:rPr>
        <w:tab/>
        <w:t xml:space="preserve">Outro exemplo de territorialização de políticas públicas tem a ver com as agroindústrias familiares e seus distintos canais de comercialização. </w:t>
      </w:r>
      <w:r w:rsidR="00D84787">
        <w:rPr>
          <w:rFonts w:ascii="Trebuchet MS" w:hAnsi="Trebuchet MS" w:cs="Arial"/>
        </w:rPr>
        <w:t>E</w:t>
      </w:r>
      <w:r w:rsidRPr="00725AAC">
        <w:rPr>
          <w:rFonts w:ascii="Trebuchet MS" w:hAnsi="Trebuchet MS" w:cs="Arial"/>
        </w:rPr>
        <w:t>ssas pequenas agroindústrias cumprem um relevante papel de valorização de recursos territoriais específicos, tangíveis e intangíveis (</w:t>
      </w:r>
      <w:proofErr w:type="spellStart"/>
      <w:r w:rsidRPr="00725AAC">
        <w:rPr>
          <w:rFonts w:ascii="Trebuchet MS" w:hAnsi="Trebuchet MS" w:cs="Arial"/>
          <w:color w:val="000000" w:themeColor="text1"/>
        </w:rPr>
        <w:t>Lauermann</w:t>
      </w:r>
      <w:proofErr w:type="spellEnd"/>
      <w:r>
        <w:rPr>
          <w:rFonts w:ascii="Trebuchet MS" w:hAnsi="Trebuchet MS" w:cs="Arial"/>
          <w:color w:val="000000" w:themeColor="text1"/>
        </w:rPr>
        <w:t xml:space="preserve">, </w:t>
      </w:r>
      <w:proofErr w:type="spellStart"/>
      <w:r>
        <w:rPr>
          <w:rFonts w:ascii="Trebuchet MS" w:hAnsi="Trebuchet MS" w:cs="Arial"/>
          <w:color w:val="000000" w:themeColor="text1"/>
        </w:rPr>
        <w:t>Capellesso</w:t>
      </w:r>
      <w:proofErr w:type="spellEnd"/>
      <w:r>
        <w:rPr>
          <w:rFonts w:ascii="Trebuchet MS" w:hAnsi="Trebuchet MS" w:cs="Arial"/>
          <w:color w:val="000000" w:themeColor="text1"/>
        </w:rPr>
        <w:t>, Gazolla</w:t>
      </w:r>
      <w:r w:rsidRPr="00725AAC">
        <w:rPr>
          <w:rFonts w:ascii="Trebuchet MS" w:hAnsi="Trebuchet MS" w:cs="Arial"/>
          <w:color w:val="000000" w:themeColor="text1"/>
        </w:rPr>
        <w:t xml:space="preserve">, 2022; Ribeiro, </w:t>
      </w:r>
      <w:proofErr w:type="spellStart"/>
      <w:r w:rsidRPr="00725AAC">
        <w:rPr>
          <w:rFonts w:ascii="Trebuchet MS" w:hAnsi="Trebuchet MS" w:cs="Arial"/>
          <w:color w:val="000000" w:themeColor="text1"/>
        </w:rPr>
        <w:t>Capellesso</w:t>
      </w:r>
      <w:proofErr w:type="spellEnd"/>
      <w:r w:rsidRPr="00725AAC">
        <w:rPr>
          <w:rFonts w:ascii="Trebuchet MS" w:hAnsi="Trebuchet MS" w:cs="Arial"/>
          <w:color w:val="000000" w:themeColor="text1"/>
        </w:rPr>
        <w:t xml:space="preserve">, </w:t>
      </w:r>
      <w:proofErr w:type="spellStart"/>
      <w:r w:rsidRPr="00725AAC">
        <w:rPr>
          <w:rFonts w:ascii="Trebuchet MS" w:hAnsi="Trebuchet MS" w:cs="Arial"/>
          <w:color w:val="000000" w:themeColor="text1"/>
        </w:rPr>
        <w:t>Cazella</w:t>
      </w:r>
      <w:proofErr w:type="spellEnd"/>
      <w:r w:rsidRPr="00725AAC">
        <w:rPr>
          <w:rFonts w:ascii="Trebuchet MS" w:hAnsi="Trebuchet MS" w:cs="Arial"/>
          <w:color w:val="000000" w:themeColor="text1"/>
        </w:rPr>
        <w:t xml:space="preserve">, 2024; </w:t>
      </w:r>
      <w:proofErr w:type="spellStart"/>
      <w:r w:rsidRPr="00725AAC">
        <w:rPr>
          <w:rFonts w:ascii="Trebuchet MS" w:hAnsi="Trebuchet MS" w:cs="Arial"/>
          <w:color w:val="000000" w:themeColor="text1"/>
        </w:rPr>
        <w:t>Cazella</w:t>
      </w:r>
      <w:proofErr w:type="spellEnd"/>
      <w:r w:rsidRPr="00725AAC">
        <w:rPr>
          <w:rFonts w:ascii="Trebuchet MS" w:hAnsi="Trebuchet MS" w:cs="Arial"/>
          <w:color w:val="000000" w:themeColor="text1"/>
        </w:rPr>
        <w:t xml:space="preserve"> et al., 2024). </w:t>
      </w:r>
      <w:r w:rsidRPr="00725AAC">
        <w:rPr>
          <w:rFonts w:ascii="Trebuchet MS" w:hAnsi="Trebuchet MS" w:cs="Arial"/>
        </w:rPr>
        <w:t>Muitas famílias que operam na informalidade nutrem o desejo de atuar em mercados formais e, em especial, acessar as políticas de compras institucionais. A construção social de sistemas territoriais de vigilância sanitária representa, em muitas situações, o único caminho viável para que diversas agroindústrias familiares atu</w:t>
      </w:r>
      <w:r w:rsidR="00BC3981">
        <w:rPr>
          <w:rFonts w:ascii="Trebuchet MS" w:hAnsi="Trebuchet MS" w:cs="Arial"/>
        </w:rPr>
        <w:t>em</w:t>
      </w:r>
      <w:r w:rsidRPr="00725AAC">
        <w:rPr>
          <w:rFonts w:ascii="Trebuchet MS" w:hAnsi="Trebuchet MS" w:cs="Arial"/>
        </w:rPr>
        <w:t xml:space="preserve"> em mercados formais. Nesse domínio, já se tem experiências territoriais inspiradoras, com destaque para criação e gestão de marcas coletivas, de natureza territorial, por organizações da agricultura familiar e consórcios públicos intermunicipais </w:t>
      </w:r>
      <w:r w:rsidRPr="00725AAC">
        <w:rPr>
          <w:rFonts w:ascii="Trebuchet MS" w:hAnsi="Trebuchet MS" w:cs="Arial"/>
          <w:color w:val="000000" w:themeColor="text1"/>
        </w:rPr>
        <w:t>(</w:t>
      </w:r>
      <w:proofErr w:type="spellStart"/>
      <w:r w:rsidR="0079765F">
        <w:rPr>
          <w:rFonts w:ascii="Trebuchet MS" w:hAnsi="Trebuchet MS" w:cs="Arial"/>
          <w:color w:val="000000" w:themeColor="text1"/>
        </w:rPr>
        <w:t>Tecchio</w:t>
      </w:r>
      <w:proofErr w:type="spellEnd"/>
      <w:r w:rsidRPr="00725AAC">
        <w:rPr>
          <w:rFonts w:ascii="Trebuchet MS" w:hAnsi="Trebuchet MS" w:cs="Arial"/>
          <w:color w:val="000000" w:themeColor="text1"/>
        </w:rPr>
        <w:t xml:space="preserve"> et al., 202</w:t>
      </w:r>
      <w:r w:rsidR="0079765F">
        <w:rPr>
          <w:rFonts w:ascii="Trebuchet MS" w:hAnsi="Trebuchet MS" w:cs="Arial"/>
          <w:color w:val="000000" w:themeColor="text1"/>
        </w:rPr>
        <w:t>3</w:t>
      </w:r>
      <w:r w:rsidRPr="00725AAC">
        <w:rPr>
          <w:rFonts w:ascii="Trebuchet MS" w:hAnsi="Trebuchet MS" w:cs="Arial"/>
          <w:color w:val="000000" w:themeColor="text1"/>
        </w:rPr>
        <w:t>).</w:t>
      </w:r>
    </w:p>
    <w:p w14:paraId="5F4E97B9" w14:textId="60B1C884"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rPr>
        <w:t xml:space="preserve">Um dos maiores gargalos nessa área reside na inexistência ou inadequação dos Sistemas de Inspeção Municipal (SIM) para os casos de transformação de produtos de </w:t>
      </w:r>
      <w:r w:rsidRPr="00725AAC">
        <w:rPr>
          <w:rFonts w:ascii="Trebuchet MS" w:hAnsi="Trebuchet MS" w:cs="Arial"/>
        </w:rPr>
        <w:lastRenderedPageBreak/>
        <w:t>origem animal. Para tanto é central rever as legislações municipais, pois a maioria se torn</w:t>
      </w:r>
      <w:r w:rsidR="00643B91">
        <w:rPr>
          <w:rFonts w:ascii="Trebuchet MS" w:hAnsi="Trebuchet MS" w:cs="Arial"/>
        </w:rPr>
        <w:t>ou</w:t>
      </w:r>
      <w:r w:rsidRPr="00725AAC">
        <w:rPr>
          <w:rFonts w:ascii="Trebuchet MS" w:hAnsi="Trebuchet MS" w:cs="Arial"/>
        </w:rPr>
        <w:t xml:space="preserve"> obsoleta em função de mudanças operadas na esfera federal. Além disso, muitos municípios sequer têm a regulamentação dos SIM e, com frequência, os profissionais dos serviços públicos de assistência técnica e extensão rural, quando presentes, conhecem superficialmente a legislação. Outro entrave reside na falta de recursos financeiros para contratar profissionais da área para operar o SIM e orientar famílias agricultoras que transformam produtos agroalimentares para fins comerciais.</w:t>
      </w:r>
    </w:p>
    <w:p w14:paraId="651F746A" w14:textId="77777777" w:rsidR="005D7EBD" w:rsidRPr="00725AAC" w:rsidRDefault="005D7EBD" w:rsidP="005D7EBD">
      <w:pPr>
        <w:spacing w:line="360" w:lineRule="auto"/>
        <w:ind w:firstLine="708"/>
        <w:jc w:val="both"/>
        <w:rPr>
          <w:rFonts w:ascii="Trebuchet MS" w:hAnsi="Trebuchet MS" w:cs="Arial"/>
        </w:rPr>
      </w:pPr>
      <w:r w:rsidRPr="00725AAC">
        <w:rPr>
          <w:rFonts w:ascii="Trebuchet MS" w:hAnsi="Trebuchet MS" w:cs="Arial"/>
        </w:rPr>
        <w:t>A alternativa que tem ganhado expressão nos últimos anos nesse domínio é a construção de sistemas territoriais de vigilância sanitária associados ao registro de marcas coletivas, que podem fazer referência a algum atributo territorial. Na maioria das vezes, esses sistemas estão ligados a iniciativas de associações ou cooperativas da agricultura familiar e, mais recentemente, a consórcios públicos intermunicipais. Nesses últimos casos, algumas administrações municípios recorrem à contratação compartilhada de profissionais para operar o sistema de vigilância sanitária municipal, em especial no que se refere ao processamento de produtos de origem animal.</w:t>
      </w:r>
    </w:p>
    <w:p w14:paraId="02C1E90B" w14:textId="77777777" w:rsidR="005D7EBD" w:rsidRPr="00725AAC" w:rsidRDefault="005D7EBD" w:rsidP="005D7EBD">
      <w:pPr>
        <w:spacing w:line="360" w:lineRule="auto"/>
        <w:ind w:firstLine="708"/>
        <w:jc w:val="both"/>
        <w:rPr>
          <w:rFonts w:ascii="Trebuchet MS" w:hAnsi="Trebuchet MS" w:cs="Arial"/>
          <w:color w:val="000000" w:themeColor="text1"/>
        </w:rPr>
      </w:pPr>
      <w:r w:rsidRPr="00725AAC">
        <w:rPr>
          <w:rFonts w:ascii="Trebuchet MS" w:hAnsi="Trebuchet MS" w:cs="Arial"/>
        </w:rPr>
        <w:t xml:space="preserve">Duas políticas públicas com remarcado apelo territorial são o PAA e o PNAE. Ambas compõem o denominado mercado institucional e preveem aquisições de alimentos da agricultura familiar a serem destinados, dentre outros, para órgãos públicos de caráter social e escolas de ensino fundamental. É sabido que essas duas políticas incentivaram a criação de pequenas cooperativas de agricultores familiares em diversos territórios, cujo propósito principal consiste em organizar e facilitar a oferta conjunta de alimentos para o PAA e PNAE </w:t>
      </w:r>
      <w:r w:rsidRPr="00725AAC">
        <w:rPr>
          <w:rFonts w:ascii="Trebuchet MS" w:hAnsi="Trebuchet MS" w:cs="Arial"/>
          <w:color w:val="000000" w:themeColor="text1"/>
        </w:rPr>
        <w:t xml:space="preserve">(Estevam, </w:t>
      </w:r>
      <w:proofErr w:type="spellStart"/>
      <w:r w:rsidRPr="00725AAC">
        <w:rPr>
          <w:rFonts w:ascii="Trebuchet MS" w:hAnsi="Trebuchet MS" w:cs="Arial"/>
          <w:color w:val="000000" w:themeColor="text1"/>
        </w:rPr>
        <w:t>Mior</w:t>
      </w:r>
      <w:proofErr w:type="spellEnd"/>
      <w:r w:rsidRPr="00725AAC">
        <w:rPr>
          <w:rFonts w:ascii="Trebuchet MS" w:hAnsi="Trebuchet MS" w:cs="Arial"/>
          <w:color w:val="000000" w:themeColor="text1"/>
        </w:rPr>
        <w:t>, 2014).</w:t>
      </w:r>
    </w:p>
    <w:p w14:paraId="39FE6313" w14:textId="77777777" w:rsidR="005D7EBD" w:rsidRPr="00725AAC" w:rsidRDefault="005D7EBD" w:rsidP="005D7EBD">
      <w:pPr>
        <w:spacing w:line="360" w:lineRule="auto"/>
        <w:ind w:firstLine="708"/>
        <w:jc w:val="both"/>
        <w:rPr>
          <w:rFonts w:ascii="Trebuchet MS" w:hAnsi="Trebuchet MS" w:cs="Arial"/>
          <w:color w:val="000000" w:themeColor="text1"/>
          <w:highlight w:val="yellow"/>
        </w:rPr>
      </w:pPr>
      <w:r w:rsidRPr="00725AAC">
        <w:rPr>
          <w:rFonts w:ascii="Trebuchet MS" w:hAnsi="Trebuchet MS" w:cs="Arial"/>
          <w:color w:val="000000" w:themeColor="text1"/>
        </w:rPr>
        <w:t xml:space="preserve">Por fim, uma iniciativa que tem aumentado sua incidência tem a ver com as Indicações Geográficas (IG). O estudo de Milano e </w:t>
      </w:r>
      <w:proofErr w:type="spellStart"/>
      <w:r w:rsidRPr="00725AAC">
        <w:rPr>
          <w:rFonts w:ascii="Trebuchet MS" w:hAnsi="Trebuchet MS" w:cs="Arial"/>
          <w:color w:val="000000" w:themeColor="text1"/>
        </w:rPr>
        <w:t>Cazella</w:t>
      </w:r>
      <w:proofErr w:type="spellEnd"/>
      <w:r w:rsidRPr="00725AAC">
        <w:rPr>
          <w:rFonts w:ascii="Trebuchet MS" w:hAnsi="Trebuchet MS" w:cs="Arial"/>
          <w:color w:val="000000" w:themeColor="text1"/>
        </w:rPr>
        <w:t xml:space="preserve"> (2022) discute os desafios que cercam a constituição de IG em países como o Brasil, cuja tradição no tema é insipiente. O desconhecimento na matéria da maioria dos consumidores e das </w:t>
      </w:r>
      <w:r w:rsidRPr="00725AAC">
        <w:rPr>
          <w:rFonts w:ascii="Trebuchet MS" w:hAnsi="Trebuchet MS" w:cs="Arial"/>
          <w:color w:val="000000" w:themeColor="text1"/>
        </w:rPr>
        <w:lastRenderedPageBreak/>
        <w:t>próprias organizações sociopolíticas da agricultura familiar sugere cautela, em especial, de intervenções de registros, por vezes, apressadas, sem um aparato institucional na escala territorial capaz de dar continuidade à valorização do produto ou serviço contemplado por uma IG. Associar essas inciativas a propósito de valorizar outros atributos territoriais, conforme preconiza o enfoque da CBST, representa um caminho promissor.</w:t>
      </w:r>
    </w:p>
    <w:p w14:paraId="6F2B93DC" w14:textId="77777777" w:rsidR="005D7EBD" w:rsidRPr="00725AAC" w:rsidRDefault="005D7EBD" w:rsidP="005D7EBD">
      <w:pPr>
        <w:spacing w:line="360" w:lineRule="auto"/>
        <w:jc w:val="both"/>
        <w:rPr>
          <w:rFonts w:ascii="Trebuchet MS" w:hAnsi="Trebuchet MS" w:cs="Arial"/>
        </w:rPr>
      </w:pPr>
    </w:p>
    <w:p w14:paraId="75D45575" w14:textId="77777777" w:rsidR="005D7EBD" w:rsidRDefault="005D7EBD" w:rsidP="005D7EBD">
      <w:pPr>
        <w:spacing w:line="360" w:lineRule="auto"/>
        <w:jc w:val="both"/>
        <w:rPr>
          <w:rFonts w:ascii="Trebuchet MS" w:hAnsi="Trebuchet MS" w:cs="Arial"/>
        </w:rPr>
      </w:pPr>
      <w:r>
        <w:rPr>
          <w:rFonts w:ascii="Trebuchet MS" w:hAnsi="Trebuchet MS" w:cs="Arial"/>
        </w:rPr>
        <w:t>CONSIDERAÇÕES FINAIS</w:t>
      </w:r>
    </w:p>
    <w:p w14:paraId="2B32812E" w14:textId="1F6654BC" w:rsidR="005D7EBD" w:rsidRPr="00725AAC" w:rsidRDefault="005D7EBD" w:rsidP="00C46FD9">
      <w:pPr>
        <w:spacing w:line="360" w:lineRule="auto"/>
        <w:ind w:firstLine="708"/>
        <w:jc w:val="both"/>
        <w:rPr>
          <w:rFonts w:ascii="Arial" w:hAnsi="Arial" w:cs="Arial"/>
        </w:rPr>
      </w:pPr>
      <w:r>
        <w:rPr>
          <w:rFonts w:ascii="Arial" w:hAnsi="Arial" w:cs="Arial"/>
        </w:rPr>
        <w:t xml:space="preserve">Este artigo partiu dos preceitos teórico-metodológicos da Cesta de Bens e Serviços Territoriais para introduzir a noção de recurso territorial específico no debate sobre o desenvolvimento territorial sustentável e, de forma particular, da territorialização de políticas públicas voltadas para a agricultura familiar brasileira. </w:t>
      </w:r>
      <w:r w:rsidRPr="00725AAC">
        <w:rPr>
          <w:rFonts w:ascii="Arial" w:hAnsi="Arial" w:cs="Arial"/>
        </w:rPr>
        <w:t xml:space="preserve">Um dos aspectos diferenciadores do enfoque da Cesta consiste em contemplar as distintas formas de prestação de serviços necessárias para que recursos territoriais específicos sejam ativados e passem a ser valorizados </w:t>
      </w:r>
      <w:r w:rsidR="00C46FD9">
        <w:rPr>
          <w:rFonts w:ascii="Arial" w:hAnsi="Arial" w:cs="Arial"/>
        </w:rPr>
        <w:t xml:space="preserve">por </w:t>
      </w:r>
      <w:r w:rsidRPr="00725AAC">
        <w:rPr>
          <w:rFonts w:ascii="Arial" w:hAnsi="Arial" w:cs="Arial"/>
        </w:rPr>
        <w:t xml:space="preserve">consumidores do território </w:t>
      </w:r>
      <w:r>
        <w:rPr>
          <w:rFonts w:ascii="Arial" w:hAnsi="Arial" w:cs="Arial"/>
        </w:rPr>
        <w:t xml:space="preserve">e </w:t>
      </w:r>
      <w:r w:rsidRPr="00725AAC">
        <w:rPr>
          <w:rFonts w:ascii="Arial" w:hAnsi="Arial" w:cs="Arial"/>
        </w:rPr>
        <w:t>de fora.</w:t>
      </w:r>
      <w:r>
        <w:rPr>
          <w:rFonts w:ascii="Arial" w:hAnsi="Arial" w:cs="Arial"/>
        </w:rPr>
        <w:t xml:space="preserve"> O</w:t>
      </w:r>
      <w:r w:rsidRPr="00725AAC">
        <w:rPr>
          <w:rFonts w:ascii="Arial" w:hAnsi="Arial" w:cs="Arial"/>
        </w:rPr>
        <w:t xml:space="preserve"> acesso de produtos a canais de comercialização formais depende de um conjunto complexo e imbricado de serviços territoriais. Algumas experiências de associações ou cooperativas de agricultores familiares e de consórcios públicos intermunicipais</w:t>
      </w:r>
      <w:r w:rsidR="00C46FD9">
        <w:rPr>
          <w:rFonts w:ascii="Arial" w:hAnsi="Arial" w:cs="Arial"/>
        </w:rPr>
        <w:t xml:space="preserve"> </w:t>
      </w:r>
      <w:r w:rsidRPr="00725AAC">
        <w:rPr>
          <w:rFonts w:ascii="Arial" w:hAnsi="Arial" w:cs="Arial"/>
        </w:rPr>
        <w:t>gerem marcas coletivas que contribuem par</w:t>
      </w:r>
      <w:r w:rsidR="00643B91">
        <w:rPr>
          <w:rFonts w:ascii="Arial" w:hAnsi="Arial" w:cs="Arial"/>
        </w:rPr>
        <w:t>a</w:t>
      </w:r>
      <w:r w:rsidRPr="00725AAC">
        <w:rPr>
          <w:rFonts w:ascii="Arial" w:hAnsi="Arial" w:cs="Arial"/>
        </w:rPr>
        <w:t xml:space="preserve"> que um conjunto de </w:t>
      </w:r>
      <w:r w:rsidR="00C46FD9">
        <w:rPr>
          <w:rFonts w:ascii="Arial" w:hAnsi="Arial" w:cs="Arial"/>
        </w:rPr>
        <w:t xml:space="preserve">unidades agrícolas </w:t>
      </w:r>
      <w:r w:rsidRPr="00725AAC">
        <w:rPr>
          <w:rFonts w:ascii="Arial" w:hAnsi="Arial" w:cs="Arial"/>
        </w:rPr>
        <w:t>familiares vendam seus produtos em mercados formais.</w:t>
      </w:r>
    </w:p>
    <w:p w14:paraId="4B928D03" w14:textId="1220EE7B" w:rsidR="005D7EBD" w:rsidRPr="000109FB" w:rsidRDefault="005D7EBD" w:rsidP="005D7EBD">
      <w:pPr>
        <w:spacing w:line="360" w:lineRule="auto"/>
        <w:ind w:firstLine="708"/>
        <w:jc w:val="both"/>
        <w:rPr>
          <w:rFonts w:ascii="Arial" w:hAnsi="Arial" w:cs="Arial"/>
        </w:rPr>
      </w:pPr>
      <w:r>
        <w:rPr>
          <w:rFonts w:ascii="Arial" w:hAnsi="Arial" w:cs="Arial"/>
        </w:rPr>
        <w:t>Apoiar os</w:t>
      </w:r>
      <w:r w:rsidRPr="00725AAC">
        <w:rPr>
          <w:rFonts w:ascii="Arial" w:hAnsi="Arial" w:cs="Arial"/>
        </w:rPr>
        <w:t xml:space="preserve"> principais canais de comercialização dessas </w:t>
      </w:r>
      <w:r w:rsidR="00C46FD9">
        <w:rPr>
          <w:rFonts w:ascii="Arial" w:hAnsi="Arial" w:cs="Arial"/>
        </w:rPr>
        <w:t xml:space="preserve">unidades </w:t>
      </w:r>
      <w:r>
        <w:rPr>
          <w:rFonts w:ascii="Arial" w:hAnsi="Arial" w:cs="Arial"/>
        </w:rPr>
        <w:t>familiares</w:t>
      </w:r>
      <w:r w:rsidRPr="00725AAC">
        <w:rPr>
          <w:rFonts w:ascii="Arial" w:hAnsi="Arial" w:cs="Arial"/>
        </w:rPr>
        <w:t>, com foco naqueles que conformam o mercado territorial (feiras, mercados públicos, vendas diretas, sacolão...)</w:t>
      </w:r>
      <w:r w:rsidR="00C46FD9">
        <w:rPr>
          <w:rFonts w:ascii="Arial" w:hAnsi="Arial" w:cs="Arial"/>
        </w:rPr>
        <w:t>,</w:t>
      </w:r>
      <w:r>
        <w:rPr>
          <w:rFonts w:ascii="Arial" w:hAnsi="Arial" w:cs="Arial"/>
        </w:rPr>
        <w:t xml:space="preserve"> figura como uma relevante ação de territorialização de políticas públicas.</w:t>
      </w:r>
      <w:r w:rsidRPr="00725AAC">
        <w:rPr>
          <w:rFonts w:ascii="Arial" w:hAnsi="Arial" w:cs="Arial"/>
        </w:rPr>
        <w:t xml:space="preserve"> </w:t>
      </w:r>
      <w:r>
        <w:rPr>
          <w:rFonts w:ascii="Arial" w:hAnsi="Arial" w:cs="Arial"/>
          <w:color w:val="000000" w:themeColor="text1"/>
        </w:rPr>
        <w:t xml:space="preserve">No tocante à territorialização das políticas públicas é inegável a paulatina perda de protagonismo da parte das organizações territoriais no controle social, execução e no aprimoramento constante de políticas já consolidadas. Identificar as principais razões desse cenário e se inspirar nos procedimentos criativos </w:t>
      </w:r>
      <w:r>
        <w:rPr>
          <w:rFonts w:ascii="Arial" w:hAnsi="Arial" w:cs="Arial"/>
          <w:color w:val="000000" w:themeColor="text1"/>
        </w:rPr>
        <w:lastRenderedPageBreak/>
        <w:t xml:space="preserve">de especificação de recursos territoriais </w:t>
      </w:r>
      <w:r w:rsidR="00C46FD9">
        <w:rPr>
          <w:rFonts w:ascii="Arial" w:hAnsi="Arial" w:cs="Arial"/>
          <w:color w:val="000000" w:themeColor="text1"/>
        </w:rPr>
        <w:t xml:space="preserve">representam </w:t>
      </w:r>
      <w:r>
        <w:rPr>
          <w:rFonts w:ascii="Arial" w:hAnsi="Arial" w:cs="Arial"/>
          <w:color w:val="000000" w:themeColor="text1"/>
        </w:rPr>
        <w:t xml:space="preserve">tanto </w:t>
      </w:r>
      <w:r w:rsidR="00C46FD9">
        <w:rPr>
          <w:rFonts w:ascii="Arial" w:hAnsi="Arial" w:cs="Arial"/>
          <w:color w:val="000000" w:themeColor="text1"/>
        </w:rPr>
        <w:t xml:space="preserve">temas </w:t>
      </w:r>
      <w:r>
        <w:rPr>
          <w:rFonts w:ascii="Arial" w:hAnsi="Arial" w:cs="Arial"/>
          <w:color w:val="000000" w:themeColor="text1"/>
        </w:rPr>
        <w:t xml:space="preserve">de pesquisa quanto </w:t>
      </w:r>
      <w:r w:rsidR="00C46FD9">
        <w:rPr>
          <w:rFonts w:ascii="Arial" w:hAnsi="Arial" w:cs="Arial"/>
          <w:color w:val="000000" w:themeColor="text1"/>
        </w:rPr>
        <w:t xml:space="preserve">de </w:t>
      </w:r>
      <w:r>
        <w:rPr>
          <w:rFonts w:ascii="Arial" w:hAnsi="Arial" w:cs="Arial"/>
          <w:color w:val="000000" w:themeColor="text1"/>
        </w:rPr>
        <w:t>inspiração para ações de promoção do desenvolvimento territorial sustentável.</w:t>
      </w:r>
    </w:p>
    <w:p w14:paraId="50389AFC" w14:textId="77777777" w:rsidR="005D7EBD" w:rsidRDefault="005D7EBD" w:rsidP="005D7EBD">
      <w:pPr>
        <w:spacing w:line="360" w:lineRule="auto"/>
        <w:jc w:val="both"/>
        <w:rPr>
          <w:rFonts w:ascii="Trebuchet MS" w:hAnsi="Trebuchet MS" w:cs="Arial"/>
        </w:rPr>
      </w:pPr>
    </w:p>
    <w:p w14:paraId="269E88CB" w14:textId="77777777" w:rsidR="005D7EBD" w:rsidRPr="00725AAC" w:rsidRDefault="005D7EBD" w:rsidP="005D7EBD">
      <w:pPr>
        <w:spacing w:line="360" w:lineRule="auto"/>
        <w:jc w:val="both"/>
        <w:rPr>
          <w:rFonts w:ascii="Trebuchet MS" w:hAnsi="Trebuchet MS" w:cs="Arial"/>
        </w:rPr>
      </w:pPr>
      <w:r w:rsidRPr="00725AAC">
        <w:rPr>
          <w:rFonts w:ascii="Trebuchet MS" w:hAnsi="Trebuchet MS" w:cs="Arial"/>
        </w:rPr>
        <w:t>REFERÊNCIAS</w:t>
      </w:r>
    </w:p>
    <w:p w14:paraId="39D7D23A" w14:textId="77777777" w:rsidR="005D7EBD" w:rsidRDefault="005D7EBD" w:rsidP="00C46FD9">
      <w:pPr>
        <w:spacing w:line="276" w:lineRule="auto"/>
        <w:jc w:val="both"/>
        <w:rPr>
          <w:rFonts w:ascii="Trebuchet MS" w:hAnsi="Trebuchet MS" w:cs="Open Sans"/>
          <w:color w:val="333333"/>
        </w:rPr>
      </w:pPr>
      <w:r w:rsidRPr="00A30DD5">
        <w:rPr>
          <w:rFonts w:ascii="Trebuchet MS" w:hAnsi="Trebuchet MS" w:cs="Open Sans"/>
          <w:color w:val="333333"/>
        </w:rPr>
        <w:t>CAPELLESSO, A. J. ; CAZELLA, A. A. ; BÚRIGO, F</w:t>
      </w:r>
      <w:r>
        <w:rPr>
          <w:rFonts w:ascii="Trebuchet MS" w:hAnsi="Trebuchet MS" w:cs="Open Sans"/>
          <w:color w:val="333333"/>
        </w:rPr>
        <w:t>.</w:t>
      </w:r>
      <w:r w:rsidRPr="00A30DD5">
        <w:rPr>
          <w:rFonts w:ascii="Trebuchet MS" w:hAnsi="Trebuchet MS" w:cs="Open Sans"/>
          <w:color w:val="333333"/>
        </w:rPr>
        <w:t xml:space="preserve"> L. . Evolução do Pronaf Crédito no Período 1996-2013: redimensionando o acesso pelos cadastros de pessoa física. </w:t>
      </w:r>
      <w:r w:rsidRPr="00A30DD5">
        <w:rPr>
          <w:rFonts w:ascii="Trebuchet MS" w:hAnsi="Trebuchet MS" w:cs="Open Sans"/>
          <w:b/>
          <w:bCs/>
          <w:color w:val="333333"/>
        </w:rPr>
        <w:t>Revista de Economia e Sociologia Rural</w:t>
      </w:r>
      <w:r w:rsidRPr="00A30DD5">
        <w:rPr>
          <w:rFonts w:ascii="Trebuchet MS" w:hAnsi="Trebuchet MS" w:cs="Open Sans"/>
          <w:color w:val="333333"/>
        </w:rPr>
        <w:t>, v. 56, p. 437-450, 2018.</w:t>
      </w:r>
    </w:p>
    <w:p w14:paraId="120E2B0E" w14:textId="77777777" w:rsidR="005D7EBD" w:rsidRPr="00C8252C" w:rsidRDefault="005D7EBD" w:rsidP="00C46FD9">
      <w:pPr>
        <w:spacing w:line="276" w:lineRule="auto"/>
        <w:jc w:val="both"/>
        <w:rPr>
          <w:rFonts w:ascii="Trebuchet MS" w:hAnsi="Trebuchet MS"/>
        </w:rPr>
      </w:pPr>
      <w:r w:rsidRPr="00643B91">
        <w:rPr>
          <w:rFonts w:ascii="Trebuchet MS" w:hAnsi="Trebuchet MS"/>
        </w:rPr>
        <w:t xml:space="preserve">CAZELLA, A. A. et al. </w:t>
      </w:r>
      <w:r w:rsidRPr="00C8252C">
        <w:rPr>
          <w:rFonts w:ascii="Trebuchet MS" w:hAnsi="Trebuchet MS"/>
        </w:rPr>
        <w:t xml:space="preserve">A construção de um território de desenvolvimento rural: recursos e ativos territoriais específicos. </w:t>
      </w:r>
      <w:r w:rsidRPr="002A5836">
        <w:rPr>
          <w:rFonts w:ascii="Trebuchet MS" w:hAnsi="Trebuchet MS"/>
          <w:b/>
          <w:bCs/>
        </w:rPr>
        <w:t>Redes</w:t>
      </w:r>
      <w:r w:rsidRPr="00C8252C">
        <w:rPr>
          <w:rFonts w:ascii="Trebuchet MS" w:hAnsi="Trebuchet MS"/>
        </w:rPr>
        <w:t>, v. 24, no 3, p. 49-74, 2019.</w:t>
      </w:r>
    </w:p>
    <w:p w14:paraId="591C6B52" w14:textId="034C73B0" w:rsidR="005D7EBD" w:rsidRPr="00C8252C" w:rsidRDefault="00CC5F8D" w:rsidP="00C46FD9">
      <w:pPr>
        <w:shd w:val="clear" w:color="auto" w:fill="FFFFFF"/>
        <w:spacing w:line="276" w:lineRule="auto"/>
        <w:jc w:val="both"/>
        <w:rPr>
          <w:rFonts w:ascii="Trebuchet MS" w:hAnsi="Trebuchet MS"/>
        </w:rPr>
      </w:pPr>
      <w:r>
        <w:rPr>
          <w:rFonts w:ascii="Trebuchet MS" w:hAnsi="Trebuchet MS"/>
        </w:rPr>
        <w:t>___________________</w:t>
      </w:r>
      <w:r w:rsidR="005D7EBD" w:rsidRPr="00643B91">
        <w:rPr>
          <w:rFonts w:ascii="Trebuchet MS" w:hAnsi="Trebuchet MS"/>
        </w:rPr>
        <w:t xml:space="preserve">. </w:t>
      </w:r>
      <w:r w:rsidR="005D7EBD" w:rsidRPr="00C8252C">
        <w:rPr>
          <w:rFonts w:ascii="Trebuchet MS" w:hAnsi="Trebuchet MS"/>
        </w:rPr>
        <w:t xml:space="preserve">O enfoque da Cesta de bens e serviços territoriais: seus fundamentos teóricos e aplicação no Brasil. </w:t>
      </w:r>
      <w:r w:rsidR="005D7EBD" w:rsidRPr="00C8252C">
        <w:rPr>
          <w:rFonts w:ascii="Trebuchet MS" w:hAnsi="Trebuchet MS"/>
          <w:b/>
          <w:bCs/>
        </w:rPr>
        <w:t>Revista Brasileira de Gestão e Desenvolvimento Regional</w:t>
      </w:r>
      <w:r w:rsidR="005D7EBD" w:rsidRPr="00C8252C">
        <w:rPr>
          <w:rFonts w:ascii="Trebuchet MS" w:hAnsi="Trebuchet MS"/>
        </w:rPr>
        <w:t>, v.16, no 3, p. 179-192, 2020.</w:t>
      </w:r>
    </w:p>
    <w:p w14:paraId="773A7B79" w14:textId="7086E46C" w:rsidR="005D7EBD" w:rsidRDefault="005D7EBD" w:rsidP="00C46FD9">
      <w:pPr>
        <w:spacing w:line="276" w:lineRule="auto"/>
        <w:jc w:val="both"/>
        <w:rPr>
          <w:rFonts w:ascii="Trebuchet MS" w:eastAsia="Times New Roman" w:hAnsi="Trebuchet MS" w:cs="Arial"/>
          <w:color w:val="333333"/>
        </w:rPr>
      </w:pPr>
      <w:r w:rsidRPr="00C8252C">
        <w:rPr>
          <w:rFonts w:ascii="Trebuchet MS" w:eastAsia="Times New Roman" w:hAnsi="Trebuchet MS" w:cs="Arial"/>
          <w:color w:val="333333"/>
        </w:rPr>
        <w:t>CAZELLA, A. A.; DORIGON, C.; PECQUEUR, B.</w:t>
      </w:r>
      <w:r>
        <w:rPr>
          <w:rFonts w:ascii="Trebuchet MS" w:eastAsia="Times New Roman" w:hAnsi="Trebuchet MS" w:cs="Arial"/>
          <w:color w:val="333333"/>
        </w:rPr>
        <w:t xml:space="preserve"> </w:t>
      </w:r>
      <w:r w:rsidRPr="00C8252C">
        <w:rPr>
          <w:rFonts w:ascii="Trebuchet MS" w:eastAsia="Times New Roman" w:hAnsi="Trebuchet MS" w:cs="Arial"/>
          <w:color w:val="333333"/>
        </w:rPr>
        <w:t xml:space="preserve">Da economia de escala à especificação de recursos territoriais: introdução ao dossiê “Desenvolvimento rural e a Cesta de bens e serviços territoriais”. </w:t>
      </w:r>
      <w:r w:rsidRPr="00C8252C">
        <w:rPr>
          <w:rFonts w:ascii="Trebuchet MS" w:eastAsia="Times New Roman" w:hAnsi="Trebuchet MS" w:cs="Arial"/>
          <w:b/>
          <w:bCs/>
          <w:color w:val="333333"/>
        </w:rPr>
        <w:t>Raízes</w:t>
      </w:r>
      <w:r w:rsidRPr="00C8252C">
        <w:rPr>
          <w:rFonts w:ascii="Trebuchet MS" w:eastAsia="Times New Roman" w:hAnsi="Trebuchet MS" w:cs="Arial"/>
          <w:color w:val="333333"/>
        </w:rPr>
        <w:t>,</w:t>
      </w:r>
      <w:r>
        <w:rPr>
          <w:rFonts w:ascii="Trebuchet MS" w:eastAsia="Times New Roman" w:hAnsi="Trebuchet MS" w:cs="Arial"/>
          <w:color w:val="333333"/>
        </w:rPr>
        <w:t xml:space="preserve"> </w:t>
      </w:r>
      <w:r w:rsidRPr="00C8252C">
        <w:rPr>
          <w:rFonts w:ascii="Trebuchet MS" w:eastAsia="Times New Roman" w:hAnsi="Trebuchet MS" w:cs="Arial"/>
          <w:color w:val="333333"/>
        </w:rPr>
        <w:t>v.42, n</w:t>
      </w:r>
      <w:r w:rsidRPr="00C8252C">
        <w:rPr>
          <w:rFonts w:ascii="Trebuchet MS" w:eastAsia="Times New Roman" w:hAnsi="Trebuchet MS" w:cs="Arial"/>
          <w:color w:val="333333"/>
          <w:bdr w:val="none" w:sz="0" w:space="0" w:color="auto" w:frame="1"/>
          <w:vertAlign w:val="superscript"/>
        </w:rPr>
        <w:t>o</w:t>
      </w:r>
      <w:r w:rsidRPr="00C8252C">
        <w:rPr>
          <w:rFonts w:ascii="Trebuchet MS" w:eastAsia="Times New Roman" w:hAnsi="Trebuchet MS" w:cs="Arial"/>
          <w:color w:val="333333"/>
        </w:rPr>
        <w:t>1, p.01-21, 2022.</w:t>
      </w:r>
    </w:p>
    <w:p w14:paraId="199FD62F" w14:textId="77777777" w:rsidR="005D7EBD" w:rsidRPr="00C8252C" w:rsidRDefault="005D7EBD" w:rsidP="00C46FD9">
      <w:pPr>
        <w:spacing w:line="276" w:lineRule="auto"/>
        <w:jc w:val="both"/>
        <w:rPr>
          <w:rFonts w:ascii="Trebuchet MS" w:hAnsi="Trebuchet MS"/>
          <w:color w:val="222222"/>
          <w:highlight w:val="white"/>
        </w:rPr>
      </w:pPr>
      <w:r w:rsidRPr="00C8252C">
        <w:rPr>
          <w:rFonts w:ascii="Trebuchet MS" w:hAnsi="Trebuchet MS"/>
          <w:color w:val="222222"/>
          <w:highlight w:val="white"/>
        </w:rPr>
        <w:t xml:space="preserve">DIAS, W. </w:t>
      </w:r>
      <w:r w:rsidRPr="00C8252C">
        <w:rPr>
          <w:rFonts w:ascii="Trebuchet MS" w:hAnsi="Trebuchet MS"/>
          <w:b/>
          <w:bCs/>
          <w:color w:val="222222"/>
          <w:highlight w:val="white"/>
        </w:rPr>
        <w:t>Territórios de identidade e políticas públicas na Bahia</w:t>
      </w:r>
      <w:r w:rsidRPr="00C8252C">
        <w:rPr>
          <w:rFonts w:ascii="Trebuchet MS" w:hAnsi="Trebuchet MS"/>
          <w:color w:val="222222"/>
          <w:highlight w:val="white"/>
        </w:rPr>
        <w:t>: gênese, resultados, reflexões e desafios. Feira de Santana, Z Arte Editora, 2016, 258 p.</w:t>
      </w:r>
    </w:p>
    <w:p w14:paraId="23E87AE7" w14:textId="77777777" w:rsidR="005D7EBD" w:rsidRPr="00FD1027" w:rsidRDefault="005D7EBD" w:rsidP="00C46FD9">
      <w:pPr>
        <w:spacing w:line="276" w:lineRule="auto"/>
        <w:jc w:val="both"/>
        <w:rPr>
          <w:rFonts w:ascii="Trebuchet MS" w:hAnsi="Trebuchet MS"/>
          <w:color w:val="222222"/>
          <w:highlight w:val="white"/>
        </w:rPr>
      </w:pPr>
      <w:r w:rsidRPr="00725AAC">
        <w:rPr>
          <w:rFonts w:ascii="Trebuchet MS" w:hAnsi="Trebuchet MS" w:cs="Arial"/>
          <w:color w:val="222222"/>
          <w:highlight w:val="white"/>
        </w:rPr>
        <w:t xml:space="preserve">ESTEVAM D. O. E.; MIOR L. C. </w:t>
      </w:r>
      <w:r w:rsidRPr="00BD659E">
        <w:rPr>
          <w:rFonts w:ascii="Trebuchet MS" w:hAnsi="Trebuchet MS" w:cs="Arial"/>
          <w:b/>
          <w:bCs/>
          <w:color w:val="222222"/>
          <w:highlight w:val="white"/>
        </w:rPr>
        <w:t>Inovações na agricultura familiar</w:t>
      </w:r>
      <w:r w:rsidRPr="00725AAC">
        <w:rPr>
          <w:rFonts w:ascii="Trebuchet MS" w:hAnsi="Trebuchet MS" w:cs="Arial"/>
          <w:color w:val="222222"/>
          <w:highlight w:val="white"/>
        </w:rPr>
        <w:t xml:space="preserve">: as cooperativas descentralizadas em Santa Catarina. </w:t>
      </w:r>
      <w:r w:rsidRPr="00FD1027">
        <w:rPr>
          <w:rFonts w:ascii="Trebuchet MS" w:hAnsi="Trebuchet MS" w:cs="Arial"/>
          <w:color w:val="222222"/>
          <w:highlight w:val="white"/>
        </w:rPr>
        <w:t>Florianópolis: Insular, 2014, 296p</w:t>
      </w:r>
      <w:r w:rsidRPr="00FD1027">
        <w:rPr>
          <w:rFonts w:ascii="Trebuchet MS" w:hAnsi="Trebuchet MS"/>
          <w:color w:val="222222"/>
          <w:highlight w:val="white"/>
        </w:rPr>
        <w:t>.</w:t>
      </w:r>
    </w:p>
    <w:p w14:paraId="28BFC1BE" w14:textId="51570641" w:rsidR="005D7EBD" w:rsidRDefault="005D7EBD" w:rsidP="00C46FD9">
      <w:pPr>
        <w:spacing w:line="276" w:lineRule="auto"/>
        <w:jc w:val="both"/>
        <w:rPr>
          <w:rFonts w:ascii="Trebuchet MS" w:hAnsi="Trebuchet MS"/>
          <w:color w:val="1D2228"/>
        </w:rPr>
      </w:pPr>
      <w:r w:rsidRPr="00725AAC">
        <w:rPr>
          <w:rFonts w:ascii="Trebuchet MS" w:hAnsi="Trebuchet MS"/>
          <w:color w:val="1D2228"/>
        </w:rPr>
        <w:t xml:space="preserve">GIOMBELLI, G. P.; TECCHIO, A.; BONI, V. A governança de sistemas agroalimentares </w:t>
      </w:r>
      <w:proofErr w:type="spellStart"/>
      <w:r w:rsidRPr="00725AAC">
        <w:rPr>
          <w:rFonts w:ascii="Trebuchet MS" w:hAnsi="Trebuchet MS"/>
          <w:color w:val="1D2228"/>
        </w:rPr>
        <w:t>territorializados</w:t>
      </w:r>
      <w:proofErr w:type="spellEnd"/>
      <w:r w:rsidRPr="00725AAC">
        <w:rPr>
          <w:rFonts w:ascii="Trebuchet MS" w:hAnsi="Trebuchet MS"/>
          <w:color w:val="1D2228"/>
        </w:rPr>
        <w:t xml:space="preserve">: a atuação de uma cooperativa de crédito rural na região oeste de Santa Catarina. </w:t>
      </w:r>
      <w:r w:rsidRPr="00A30DD5">
        <w:rPr>
          <w:rFonts w:ascii="Trebuchet MS" w:hAnsi="Trebuchet MS" w:cs="Arial"/>
          <w:b/>
          <w:bCs/>
        </w:rPr>
        <w:t>Raízes</w:t>
      </w:r>
      <w:r w:rsidRPr="00725AAC">
        <w:rPr>
          <w:rFonts w:ascii="Trebuchet MS" w:hAnsi="Trebuchet MS"/>
          <w:color w:val="1D2228"/>
        </w:rPr>
        <w:t>, p.187-205, 2022.</w:t>
      </w:r>
    </w:p>
    <w:p w14:paraId="5F7856FC" w14:textId="6E37B2E2" w:rsidR="005D7EBD" w:rsidRPr="00725AAC" w:rsidRDefault="005D7EBD" w:rsidP="00C46FD9">
      <w:pPr>
        <w:spacing w:line="276" w:lineRule="auto"/>
        <w:jc w:val="both"/>
        <w:rPr>
          <w:rFonts w:ascii="Trebuchet MS" w:hAnsi="Trebuchet MS"/>
          <w:color w:val="1D2228"/>
        </w:rPr>
      </w:pPr>
      <w:r w:rsidRPr="005D7EBD">
        <w:rPr>
          <w:rFonts w:ascii="Trebuchet MS" w:hAnsi="Trebuchet MS"/>
          <w:color w:val="1D2228"/>
        </w:rPr>
        <w:t xml:space="preserve">GUMUCHIAN, H.; PECQUEUR, B. </w:t>
      </w:r>
      <w:r w:rsidRPr="00A30DD5">
        <w:rPr>
          <w:rFonts w:ascii="Trebuchet MS" w:hAnsi="Trebuchet MS"/>
          <w:b/>
          <w:bCs/>
          <w:color w:val="1D2228"/>
        </w:rPr>
        <w:t xml:space="preserve">La </w:t>
      </w:r>
      <w:proofErr w:type="spellStart"/>
      <w:r w:rsidRPr="00A30DD5">
        <w:rPr>
          <w:rFonts w:ascii="Trebuchet MS" w:hAnsi="Trebuchet MS"/>
          <w:b/>
          <w:bCs/>
          <w:color w:val="1D2228"/>
        </w:rPr>
        <w:t>ressource</w:t>
      </w:r>
      <w:proofErr w:type="spellEnd"/>
      <w:r w:rsidRPr="00A30DD5">
        <w:rPr>
          <w:rFonts w:ascii="Trebuchet MS" w:hAnsi="Trebuchet MS"/>
          <w:b/>
          <w:bCs/>
          <w:color w:val="1D2228"/>
        </w:rPr>
        <w:t xml:space="preserve"> </w:t>
      </w:r>
      <w:proofErr w:type="spellStart"/>
      <w:r w:rsidRPr="00A30DD5">
        <w:rPr>
          <w:rFonts w:ascii="Trebuchet MS" w:hAnsi="Trebuchet MS"/>
          <w:b/>
          <w:bCs/>
          <w:color w:val="1D2228"/>
        </w:rPr>
        <w:t>territoriale</w:t>
      </w:r>
      <w:proofErr w:type="spellEnd"/>
      <w:r w:rsidRPr="00A30DD5">
        <w:rPr>
          <w:rFonts w:ascii="Trebuchet MS" w:hAnsi="Trebuchet MS"/>
          <w:color w:val="1D2228"/>
        </w:rPr>
        <w:t xml:space="preserve">. </w:t>
      </w:r>
      <w:r>
        <w:rPr>
          <w:rFonts w:ascii="Trebuchet MS" w:hAnsi="Trebuchet MS"/>
          <w:color w:val="1D2228"/>
        </w:rPr>
        <w:t xml:space="preserve">Paris: </w:t>
      </w:r>
      <w:proofErr w:type="spellStart"/>
      <w:r w:rsidRPr="00A30DD5">
        <w:rPr>
          <w:rFonts w:ascii="Trebuchet MS" w:hAnsi="Trebuchet MS"/>
          <w:color w:val="1D2228"/>
        </w:rPr>
        <w:t>Economica</w:t>
      </w:r>
      <w:proofErr w:type="spellEnd"/>
      <w:r w:rsidRPr="00A30DD5">
        <w:rPr>
          <w:rFonts w:ascii="Trebuchet MS" w:hAnsi="Trebuchet MS"/>
          <w:color w:val="1D2228"/>
        </w:rPr>
        <w:t xml:space="preserve">, 2007. </w:t>
      </w:r>
    </w:p>
    <w:p w14:paraId="26ADEDE5" w14:textId="630EC0DB" w:rsidR="005D7EBD" w:rsidRDefault="005D7EBD" w:rsidP="00C46FD9">
      <w:pPr>
        <w:spacing w:line="276" w:lineRule="auto"/>
        <w:jc w:val="both"/>
        <w:rPr>
          <w:rFonts w:ascii="Trebuchet MS" w:hAnsi="Trebuchet MS" w:cs="Arial"/>
        </w:rPr>
      </w:pPr>
      <w:r w:rsidRPr="00725AAC">
        <w:rPr>
          <w:rFonts w:ascii="Trebuchet MS" w:hAnsi="Trebuchet MS" w:cs="Arial"/>
        </w:rPr>
        <w:t xml:space="preserve">LAUERMANN, D.; CAPELLESSO, A. J.; GAZOLLA, M. O enfoque da cesta de bens e serviços territoriais aplicado à análise das agroindústrias familiares e suas especificidades alimentares no extremo Oeste Catarinense. </w:t>
      </w:r>
      <w:r w:rsidRPr="00A30DD5">
        <w:rPr>
          <w:rFonts w:ascii="Trebuchet MS" w:hAnsi="Trebuchet MS" w:cs="Arial"/>
          <w:b/>
          <w:bCs/>
        </w:rPr>
        <w:t>Raízes</w:t>
      </w:r>
      <w:r w:rsidRPr="00725AAC">
        <w:rPr>
          <w:rFonts w:ascii="Trebuchet MS" w:hAnsi="Trebuchet MS" w:cs="Arial"/>
        </w:rPr>
        <w:t>, v. 42, n. 1, p. 150–167, 2022.</w:t>
      </w:r>
    </w:p>
    <w:p w14:paraId="798C36B1" w14:textId="77777777" w:rsidR="005D7EBD" w:rsidRPr="00725AAC" w:rsidRDefault="005D7EBD" w:rsidP="00C46FD9">
      <w:pPr>
        <w:spacing w:line="276" w:lineRule="auto"/>
        <w:jc w:val="both"/>
        <w:rPr>
          <w:rFonts w:ascii="Trebuchet MS" w:hAnsi="Trebuchet MS" w:cs="Arial"/>
        </w:rPr>
      </w:pPr>
      <w:r w:rsidRPr="00C8252C">
        <w:rPr>
          <w:rFonts w:ascii="Trebuchet MS" w:hAnsi="Trebuchet MS" w:cs="Arial"/>
          <w:color w:val="181919"/>
        </w:rPr>
        <w:t xml:space="preserve">MACHADO, L. L. F.; BARBOSA, C. G. RIBEIRO DA SILVA, A. </w:t>
      </w:r>
      <w:proofErr w:type="spellStart"/>
      <w:r w:rsidRPr="00C8252C">
        <w:rPr>
          <w:rFonts w:ascii="Trebuchet MS" w:hAnsi="Trebuchet MS" w:cs="Arial"/>
        </w:rPr>
        <w:t>Agroamigo</w:t>
      </w:r>
      <w:proofErr w:type="spellEnd"/>
      <w:r w:rsidRPr="00C8252C">
        <w:rPr>
          <w:rFonts w:ascii="Trebuchet MS" w:hAnsi="Trebuchet MS" w:cs="Arial"/>
        </w:rPr>
        <w:t xml:space="preserve">, 18 anos: inclusão e sustentabilidade no campo por meio do maior programa de microfinança rural do Brasil. </w:t>
      </w:r>
      <w:r w:rsidRPr="00C8252C">
        <w:rPr>
          <w:rFonts w:ascii="Trebuchet MS" w:hAnsi="Trebuchet MS" w:cs="Arial"/>
          <w:b/>
          <w:bCs/>
          <w:color w:val="000000"/>
        </w:rPr>
        <w:t>Revista Econômica do Nordeste</w:t>
      </w:r>
      <w:r w:rsidRPr="00C8252C">
        <w:rPr>
          <w:rFonts w:ascii="Trebuchet MS" w:hAnsi="Trebuchet MS" w:cs="Arial"/>
          <w:color w:val="000000"/>
        </w:rPr>
        <w:t>, v. 54, p.09-22, 2023.</w:t>
      </w:r>
    </w:p>
    <w:p w14:paraId="131B0F9A" w14:textId="1D050654" w:rsidR="005D7EBD" w:rsidRDefault="005D7EBD" w:rsidP="00C46FD9">
      <w:pPr>
        <w:spacing w:line="276" w:lineRule="auto"/>
        <w:jc w:val="both"/>
        <w:rPr>
          <w:rFonts w:ascii="Trebuchet MS" w:eastAsia="Times New Roman" w:hAnsi="Trebuchet MS" w:cs="Arial"/>
          <w:color w:val="333333"/>
        </w:rPr>
      </w:pPr>
      <w:r w:rsidRPr="00C8252C">
        <w:rPr>
          <w:rFonts w:ascii="Trebuchet MS" w:eastAsia="Times New Roman" w:hAnsi="Trebuchet MS" w:cs="Arial"/>
          <w:color w:val="333333"/>
        </w:rPr>
        <w:t>MILANO, M. Z</w:t>
      </w:r>
      <w:r>
        <w:rPr>
          <w:rFonts w:ascii="Trebuchet MS" w:eastAsia="Times New Roman" w:hAnsi="Trebuchet MS" w:cs="Arial"/>
          <w:color w:val="333333"/>
        </w:rPr>
        <w:t>.</w:t>
      </w:r>
      <w:r w:rsidRPr="00C8252C">
        <w:rPr>
          <w:rFonts w:ascii="Trebuchet MS" w:eastAsia="Times New Roman" w:hAnsi="Trebuchet MS" w:cs="Arial"/>
          <w:color w:val="333333"/>
        </w:rPr>
        <w:t>; CAZELLA, A. A. Da governança da Indicação Geográfica à governança da Cesta de Bens e Serviços Territoriais: uma análise a partir da </w:t>
      </w:r>
      <w:r w:rsidRPr="00C8252C">
        <w:rPr>
          <w:rFonts w:ascii="Trebuchet MS" w:eastAsia="Times New Roman" w:hAnsi="Trebuchet MS" w:cs="Arial"/>
          <w:i/>
          <w:iCs/>
          <w:color w:val="333333"/>
          <w:bdr w:val="none" w:sz="0" w:space="0" w:color="auto" w:frame="1"/>
        </w:rPr>
        <w:t>Teoria dos Comuns</w:t>
      </w:r>
      <w:r w:rsidRPr="00C8252C">
        <w:rPr>
          <w:rFonts w:ascii="Trebuchet MS" w:eastAsia="Times New Roman" w:hAnsi="Trebuchet MS" w:cs="Arial"/>
          <w:color w:val="333333"/>
        </w:rPr>
        <w:t>.</w:t>
      </w:r>
      <w:r w:rsidR="003B016A">
        <w:rPr>
          <w:rFonts w:ascii="Trebuchet MS" w:eastAsia="Times New Roman" w:hAnsi="Trebuchet MS" w:cs="Arial"/>
          <w:color w:val="333333"/>
        </w:rPr>
        <w:t xml:space="preserve"> </w:t>
      </w:r>
      <w:r w:rsidRPr="00C8252C">
        <w:rPr>
          <w:rFonts w:ascii="Trebuchet MS" w:eastAsia="Times New Roman" w:hAnsi="Trebuchet MS" w:cs="Arial"/>
          <w:b/>
          <w:bCs/>
          <w:color w:val="333333"/>
        </w:rPr>
        <w:t>Raízes</w:t>
      </w:r>
      <w:r w:rsidRPr="00C8252C">
        <w:rPr>
          <w:rFonts w:ascii="Trebuchet MS" w:eastAsia="Times New Roman" w:hAnsi="Trebuchet MS" w:cs="Arial"/>
          <w:color w:val="333333"/>
        </w:rPr>
        <w:t>, v.42, n</w:t>
      </w:r>
      <w:r w:rsidRPr="00C8252C">
        <w:rPr>
          <w:rFonts w:ascii="Trebuchet MS" w:eastAsia="Times New Roman" w:hAnsi="Trebuchet MS" w:cs="Arial"/>
          <w:color w:val="333333"/>
          <w:bdr w:val="none" w:sz="0" w:space="0" w:color="auto" w:frame="1"/>
          <w:vertAlign w:val="superscript"/>
        </w:rPr>
        <w:t>o</w:t>
      </w:r>
      <w:r w:rsidRPr="00C8252C">
        <w:rPr>
          <w:rFonts w:ascii="Trebuchet MS" w:eastAsia="Times New Roman" w:hAnsi="Trebuchet MS" w:cs="Arial"/>
          <w:color w:val="333333"/>
        </w:rPr>
        <w:t>1, p.74-92, 2022.</w:t>
      </w:r>
    </w:p>
    <w:p w14:paraId="10323E9F" w14:textId="77777777" w:rsidR="005D7EBD" w:rsidRPr="00FD1027" w:rsidRDefault="005D7EBD" w:rsidP="00C46FD9">
      <w:pPr>
        <w:spacing w:line="276" w:lineRule="auto"/>
        <w:jc w:val="both"/>
        <w:rPr>
          <w:rFonts w:ascii="Trebuchet MS" w:eastAsia="Times New Roman" w:hAnsi="Trebuchet MS" w:cs="Arial"/>
          <w:lang w:val="en-US"/>
        </w:rPr>
      </w:pPr>
      <w:r w:rsidRPr="008364AB">
        <w:rPr>
          <w:rFonts w:ascii="Trebuchet MS" w:eastAsia="Times New Roman" w:hAnsi="Trebuchet MS" w:cs="Arial"/>
        </w:rPr>
        <w:t xml:space="preserve">OLIVIER de SARDAN,J.–P. </w:t>
      </w:r>
      <w:proofErr w:type="spellStart"/>
      <w:r w:rsidRPr="008801A2">
        <w:rPr>
          <w:rFonts w:ascii="Trebuchet MS" w:eastAsia="Times New Roman" w:hAnsi="Trebuchet MS" w:cs="Arial"/>
          <w:b/>
          <w:bCs/>
        </w:rPr>
        <w:t>Antropologie</w:t>
      </w:r>
      <w:proofErr w:type="spellEnd"/>
      <w:r w:rsidRPr="008801A2">
        <w:rPr>
          <w:rFonts w:ascii="Trebuchet MS" w:eastAsia="Times New Roman" w:hAnsi="Trebuchet MS" w:cs="Arial"/>
          <w:b/>
          <w:bCs/>
        </w:rPr>
        <w:t xml:space="preserve"> et </w:t>
      </w:r>
      <w:proofErr w:type="spellStart"/>
      <w:r w:rsidRPr="008801A2">
        <w:rPr>
          <w:rFonts w:ascii="Trebuchet MS" w:eastAsia="Times New Roman" w:hAnsi="Trebuchet MS" w:cs="Arial"/>
          <w:b/>
          <w:bCs/>
        </w:rPr>
        <w:t>Développement</w:t>
      </w:r>
      <w:proofErr w:type="spellEnd"/>
      <w:r>
        <w:rPr>
          <w:rFonts w:ascii="Trebuchet MS" w:eastAsia="Times New Roman" w:hAnsi="Trebuchet MS" w:cs="Arial"/>
        </w:rPr>
        <w:t xml:space="preserve">: </w:t>
      </w:r>
      <w:proofErr w:type="spellStart"/>
      <w:r>
        <w:rPr>
          <w:rFonts w:ascii="Trebuchet MS" w:eastAsia="Times New Roman" w:hAnsi="Trebuchet MS" w:cs="Arial"/>
        </w:rPr>
        <w:t>e</w:t>
      </w:r>
      <w:r w:rsidRPr="008364AB">
        <w:rPr>
          <w:rFonts w:ascii="Trebuchet MS" w:eastAsia="Times New Roman" w:hAnsi="Trebuchet MS" w:cs="Arial"/>
        </w:rPr>
        <w:t>ssai</w:t>
      </w:r>
      <w:proofErr w:type="spellEnd"/>
      <w:r w:rsidRPr="008364AB">
        <w:rPr>
          <w:rFonts w:ascii="Trebuchet MS" w:eastAsia="Times New Roman" w:hAnsi="Trebuchet MS" w:cs="Arial"/>
        </w:rPr>
        <w:t xml:space="preserve"> </w:t>
      </w:r>
      <w:proofErr w:type="spellStart"/>
      <w:r w:rsidRPr="008364AB">
        <w:rPr>
          <w:rFonts w:ascii="Trebuchet MS" w:eastAsia="Times New Roman" w:hAnsi="Trebuchet MS" w:cs="Arial"/>
        </w:rPr>
        <w:t>en</w:t>
      </w:r>
      <w:proofErr w:type="spellEnd"/>
      <w:r w:rsidRPr="008364AB">
        <w:rPr>
          <w:rFonts w:ascii="Trebuchet MS" w:eastAsia="Times New Roman" w:hAnsi="Trebuchet MS" w:cs="Arial"/>
        </w:rPr>
        <w:t xml:space="preserve"> socio-</w:t>
      </w:r>
      <w:proofErr w:type="spellStart"/>
      <w:r w:rsidRPr="008364AB">
        <w:rPr>
          <w:rFonts w:ascii="Trebuchet MS" w:eastAsia="Times New Roman" w:hAnsi="Trebuchet MS" w:cs="Arial"/>
        </w:rPr>
        <w:t>anthropologie</w:t>
      </w:r>
      <w:proofErr w:type="spellEnd"/>
      <w:r w:rsidRPr="008364AB">
        <w:rPr>
          <w:rFonts w:ascii="Trebuchet MS" w:eastAsia="Times New Roman" w:hAnsi="Trebuchet MS" w:cs="Arial"/>
        </w:rPr>
        <w:t xml:space="preserve"> </w:t>
      </w:r>
      <w:proofErr w:type="spellStart"/>
      <w:r w:rsidRPr="008364AB">
        <w:rPr>
          <w:rFonts w:ascii="Trebuchet MS" w:eastAsia="Times New Roman" w:hAnsi="Trebuchet MS" w:cs="Arial"/>
        </w:rPr>
        <w:t>du</w:t>
      </w:r>
      <w:proofErr w:type="spellEnd"/>
      <w:r w:rsidRPr="008364AB">
        <w:rPr>
          <w:rFonts w:ascii="Trebuchet MS" w:eastAsia="Times New Roman" w:hAnsi="Trebuchet MS" w:cs="Arial"/>
        </w:rPr>
        <w:t xml:space="preserve"> </w:t>
      </w:r>
      <w:proofErr w:type="spellStart"/>
      <w:r w:rsidRPr="008364AB">
        <w:rPr>
          <w:rFonts w:ascii="Trebuchet MS" w:eastAsia="Times New Roman" w:hAnsi="Trebuchet MS" w:cs="Arial"/>
        </w:rPr>
        <w:t>changement</w:t>
      </w:r>
      <w:proofErr w:type="spellEnd"/>
      <w:r w:rsidRPr="008364AB">
        <w:rPr>
          <w:rFonts w:ascii="Trebuchet MS" w:eastAsia="Times New Roman" w:hAnsi="Trebuchet MS" w:cs="Arial"/>
        </w:rPr>
        <w:t xml:space="preserve"> social.</w:t>
      </w:r>
      <w:r>
        <w:rPr>
          <w:rFonts w:ascii="Trebuchet MS" w:eastAsia="Times New Roman" w:hAnsi="Trebuchet MS" w:cs="Arial"/>
        </w:rPr>
        <w:t xml:space="preserve"> </w:t>
      </w:r>
      <w:r w:rsidRPr="00FD1027">
        <w:rPr>
          <w:rFonts w:ascii="Trebuchet MS" w:eastAsia="Times New Roman" w:hAnsi="Trebuchet MS" w:cs="Arial"/>
          <w:lang w:val="en-US"/>
        </w:rPr>
        <w:t>Paris/Marseille: APAD/Karthala, 1995, 221p.</w:t>
      </w:r>
    </w:p>
    <w:p w14:paraId="72990BA9" w14:textId="77777777" w:rsidR="005D7EBD" w:rsidRPr="00FD1027" w:rsidRDefault="005D7EBD" w:rsidP="00C46FD9">
      <w:pPr>
        <w:spacing w:line="276" w:lineRule="auto"/>
        <w:jc w:val="both"/>
        <w:rPr>
          <w:rFonts w:ascii="Trebuchet MS" w:hAnsi="Trebuchet MS" w:cs="Arial"/>
          <w:lang w:val="en-US"/>
        </w:rPr>
      </w:pPr>
      <w:r w:rsidRPr="00725AAC">
        <w:rPr>
          <w:rFonts w:ascii="Trebuchet MS" w:hAnsi="Trebuchet MS" w:cs="Arial"/>
          <w:lang w:val="en-US"/>
        </w:rPr>
        <w:lastRenderedPageBreak/>
        <w:t xml:space="preserve">OSTROM, E. </w:t>
      </w:r>
      <w:r w:rsidRPr="00725AAC">
        <w:rPr>
          <w:rFonts w:ascii="Trebuchet MS" w:hAnsi="Trebuchet MS" w:cs="Arial"/>
          <w:b/>
          <w:bCs/>
          <w:lang w:val="en-US"/>
        </w:rPr>
        <w:t xml:space="preserve">Governing the </w:t>
      </w:r>
      <w:r>
        <w:rPr>
          <w:rFonts w:ascii="Trebuchet MS" w:hAnsi="Trebuchet MS" w:cs="Arial"/>
          <w:b/>
          <w:bCs/>
          <w:lang w:val="en-US"/>
        </w:rPr>
        <w:t>c</w:t>
      </w:r>
      <w:r w:rsidRPr="00725AAC">
        <w:rPr>
          <w:rFonts w:ascii="Trebuchet MS" w:hAnsi="Trebuchet MS" w:cs="Arial"/>
          <w:b/>
          <w:bCs/>
          <w:lang w:val="en-US"/>
        </w:rPr>
        <w:t>ommons</w:t>
      </w:r>
      <w:r w:rsidRPr="00725AAC">
        <w:rPr>
          <w:rFonts w:ascii="Trebuchet MS" w:hAnsi="Trebuchet MS" w:cs="Arial"/>
          <w:lang w:val="en-US"/>
        </w:rPr>
        <w:t xml:space="preserve">: </w:t>
      </w:r>
      <w:r>
        <w:rPr>
          <w:rFonts w:ascii="Trebuchet MS" w:hAnsi="Trebuchet MS" w:cs="Arial"/>
          <w:lang w:val="en-US"/>
        </w:rPr>
        <w:t>t</w:t>
      </w:r>
      <w:r w:rsidRPr="00725AAC">
        <w:rPr>
          <w:rFonts w:ascii="Trebuchet MS" w:hAnsi="Trebuchet MS" w:cs="Arial"/>
          <w:lang w:val="en-US"/>
        </w:rPr>
        <w:t xml:space="preserve">he </w:t>
      </w:r>
      <w:r>
        <w:rPr>
          <w:rFonts w:ascii="Trebuchet MS" w:hAnsi="Trebuchet MS" w:cs="Arial"/>
          <w:lang w:val="en-US"/>
        </w:rPr>
        <w:t>e</w:t>
      </w:r>
      <w:r w:rsidRPr="00725AAC">
        <w:rPr>
          <w:rFonts w:ascii="Trebuchet MS" w:hAnsi="Trebuchet MS" w:cs="Arial"/>
          <w:lang w:val="en-US"/>
        </w:rPr>
        <w:t xml:space="preserve">volution of </w:t>
      </w:r>
      <w:r>
        <w:rPr>
          <w:rFonts w:ascii="Trebuchet MS" w:hAnsi="Trebuchet MS" w:cs="Arial"/>
          <w:lang w:val="en-US"/>
        </w:rPr>
        <w:t>i</w:t>
      </w:r>
      <w:r w:rsidRPr="00725AAC">
        <w:rPr>
          <w:rFonts w:ascii="Trebuchet MS" w:hAnsi="Trebuchet MS" w:cs="Arial"/>
          <w:lang w:val="en-US"/>
        </w:rPr>
        <w:t xml:space="preserve">nstitutions for </w:t>
      </w:r>
      <w:r>
        <w:rPr>
          <w:rFonts w:ascii="Trebuchet MS" w:hAnsi="Trebuchet MS" w:cs="Arial"/>
          <w:lang w:val="en-US"/>
        </w:rPr>
        <w:t>c</w:t>
      </w:r>
      <w:r w:rsidRPr="00725AAC">
        <w:rPr>
          <w:rFonts w:ascii="Trebuchet MS" w:hAnsi="Trebuchet MS" w:cs="Arial"/>
          <w:lang w:val="en-US"/>
        </w:rPr>
        <w:t xml:space="preserve">ollective </w:t>
      </w:r>
      <w:r>
        <w:rPr>
          <w:rFonts w:ascii="Trebuchet MS" w:hAnsi="Trebuchet MS" w:cs="Arial"/>
          <w:lang w:val="en-US"/>
        </w:rPr>
        <w:t>a</w:t>
      </w:r>
      <w:r w:rsidRPr="00725AAC">
        <w:rPr>
          <w:rFonts w:ascii="Trebuchet MS" w:hAnsi="Trebuchet MS" w:cs="Arial"/>
          <w:lang w:val="en-US"/>
        </w:rPr>
        <w:t xml:space="preserve">ction. </w:t>
      </w:r>
      <w:r w:rsidRPr="00FD1027">
        <w:rPr>
          <w:rFonts w:ascii="Trebuchet MS" w:hAnsi="Trebuchet MS" w:cs="Arial"/>
          <w:lang w:val="en-US"/>
        </w:rPr>
        <w:t>Cambridge: Cambridge University Press, 1990.</w:t>
      </w:r>
    </w:p>
    <w:p w14:paraId="7461518C" w14:textId="77777777" w:rsidR="005D7EBD" w:rsidRPr="00FD1027" w:rsidRDefault="005D7EBD" w:rsidP="00C46FD9">
      <w:pPr>
        <w:spacing w:line="276" w:lineRule="auto"/>
        <w:jc w:val="both"/>
        <w:rPr>
          <w:rFonts w:ascii="Trebuchet MS" w:hAnsi="Trebuchet MS" w:cs="Arial"/>
        </w:rPr>
      </w:pPr>
      <w:r w:rsidRPr="00C8252C">
        <w:rPr>
          <w:rFonts w:ascii="Trebuchet MS" w:hAnsi="Trebuchet MS" w:cs="Arial"/>
          <w:lang w:val="en-US"/>
        </w:rPr>
        <w:t>OSTROM, V</w:t>
      </w:r>
      <w:r>
        <w:rPr>
          <w:rFonts w:ascii="Trebuchet MS" w:hAnsi="Trebuchet MS" w:cs="Arial"/>
          <w:lang w:val="en-US"/>
        </w:rPr>
        <w:t>.;</w:t>
      </w:r>
      <w:r w:rsidRPr="00C8252C">
        <w:rPr>
          <w:rFonts w:ascii="Trebuchet MS" w:hAnsi="Trebuchet MS" w:cs="Arial"/>
          <w:lang w:val="en-US"/>
        </w:rPr>
        <w:t xml:space="preserve"> TIEBOUT</w:t>
      </w:r>
      <w:r>
        <w:rPr>
          <w:rFonts w:ascii="Trebuchet MS" w:hAnsi="Trebuchet MS" w:cs="Arial"/>
          <w:lang w:val="en-US"/>
        </w:rPr>
        <w:t>,</w:t>
      </w:r>
      <w:r w:rsidRPr="00C8252C">
        <w:rPr>
          <w:rFonts w:ascii="Trebuchet MS" w:hAnsi="Trebuchet MS" w:cs="Arial"/>
          <w:lang w:val="en-US"/>
        </w:rPr>
        <w:t xml:space="preserve"> C</w:t>
      </w:r>
      <w:r>
        <w:rPr>
          <w:rFonts w:ascii="Trebuchet MS" w:hAnsi="Trebuchet MS" w:cs="Arial"/>
          <w:lang w:val="en-US"/>
        </w:rPr>
        <w:t>.</w:t>
      </w:r>
      <w:r w:rsidRPr="00C8252C">
        <w:rPr>
          <w:rFonts w:ascii="Trebuchet MS" w:hAnsi="Trebuchet MS" w:cs="Arial"/>
          <w:lang w:val="en-US"/>
        </w:rPr>
        <w:t xml:space="preserve"> M.</w:t>
      </w:r>
      <w:r>
        <w:rPr>
          <w:rFonts w:ascii="Trebuchet MS" w:hAnsi="Trebuchet MS" w:cs="Arial"/>
          <w:lang w:val="en-US"/>
        </w:rPr>
        <w:t>;</w:t>
      </w:r>
      <w:r w:rsidRPr="00C8252C">
        <w:rPr>
          <w:rFonts w:ascii="Trebuchet MS" w:hAnsi="Trebuchet MS" w:cs="Arial"/>
          <w:lang w:val="en-US"/>
        </w:rPr>
        <w:t xml:space="preserve"> WARREN R. The organization of government in metropolitan areas: A theoretical inquiry. </w:t>
      </w:r>
      <w:r w:rsidRPr="00FD1027">
        <w:rPr>
          <w:rFonts w:ascii="Trebuchet MS" w:hAnsi="Trebuchet MS" w:cs="Arial"/>
          <w:b/>
          <w:bCs/>
        </w:rPr>
        <w:t xml:space="preserve">American </w:t>
      </w:r>
      <w:proofErr w:type="spellStart"/>
      <w:r w:rsidRPr="00FD1027">
        <w:rPr>
          <w:rFonts w:ascii="Trebuchet MS" w:hAnsi="Trebuchet MS" w:cs="Arial"/>
          <w:b/>
          <w:bCs/>
        </w:rPr>
        <w:t>Political</w:t>
      </w:r>
      <w:proofErr w:type="spellEnd"/>
      <w:r w:rsidRPr="00FD1027">
        <w:rPr>
          <w:rFonts w:ascii="Trebuchet MS" w:hAnsi="Trebuchet MS" w:cs="Arial"/>
          <w:b/>
          <w:bCs/>
        </w:rPr>
        <w:t xml:space="preserve"> Science Review</w:t>
      </w:r>
      <w:r>
        <w:rPr>
          <w:rFonts w:ascii="Trebuchet MS" w:hAnsi="Trebuchet MS" w:cs="Arial"/>
        </w:rPr>
        <w:t>,</w:t>
      </w:r>
      <w:r w:rsidRPr="00FD1027">
        <w:rPr>
          <w:rFonts w:ascii="Trebuchet MS" w:hAnsi="Trebuchet MS" w:cs="Arial"/>
        </w:rPr>
        <w:t xml:space="preserve"> 55 (4): 831-842, 1961.</w:t>
      </w:r>
    </w:p>
    <w:p w14:paraId="54824B23" w14:textId="4402D84D" w:rsidR="005D7EBD" w:rsidRPr="00A30DD5" w:rsidRDefault="005D7EBD" w:rsidP="00C46FD9">
      <w:pPr>
        <w:spacing w:line="276" w:lineRule="auto"/>
        <w:jc w:val="both"/>
        <w:rPr>
          <w:rFonts w:ascii="Trebuchet MS" w:hAnsi="Trebuchet MS" w:cs="Arial"/>
          <w:color w:val="000000" w:themeColor="text1"/>
          <w:spacing w:val="2"/>
          <w:shd w:val="clear" w:color="auto" w:fill="FFFFFF"/>
        </w:rPr>
      </w:pPr>
      <w:r w:rsidRPr="00A30DD5">
        <w:rPr>
          <w:rFonts w:ascii="Trebuchet MS" w:hAnsi="Trebuchet MS" w:cs="Arial"/>
          <w:color w:val="000000" w:themeColor="text1"/>
          <w:spacing w:val="2"/>
          <w:shd w:val="clear" w:color="auto" w:fill="FFFFFF"/>
        </w:rPr>
        <w:t>PECQUEUR, B. O desenvolvimento territorial: uma nova abordagem dos processos de desenvolvimento para as economias do Sul.</w:t>
      </w:r>
      <w:r w:rsidR="00CC5F8D">
        <w:rPr>
          <w:rFonts w:ascii="Trebuchet MS" w:hAnsi="Trebuchet MS" w:cs="Arial"/>
          <w:color w:val="000000" w:themeColor="text1"/>
          <w:spacing w:val="2"/>
          <w:shd w:val="clear" w:color="auto" w:fill="FFFFFF"/>
        </w:rPr>
        <w:t xml:space="preserve"> </w:t>
      </w:r>
      <w:r w:rsidRPr="00A30DD5">
        <w:rPr>
          <w:rFonts w:ascii="Trebuchet MS" w:hAnsi="Trebuchet MS" w:cs="Arial"/>
          <w:b/>
          <w:bCs/>
          <w:color w:val="000000" w:themeColor="text1"/>
          <w:spacing w:val="2"/>
          <w:shd w:val="clear" w:color="auto" w:fill="FFFFFF"/>
        </w:rPr>
        <w:t>Raízes</w:t>
      </w:r>
      <w:r w:rsidRPr="00A30DD5">
        <w:rPr>
          <w:rFonts w:ascii="Trebuchet MS" w:hAnsi="Trebuchet MS" w:cs="Arial"/>
          <w:color w:val="000000" w:themeColor="text1"/>
          <w:spacing w:val="2"/>
          <w:shd w:val="clear" w:color="auto" w:fill="FFFFFF"/>
        </w:rPr>
        <w:t>, v. 24, n</w:t>
      </w:r>
      <w:r w:rsidR="003B016A" w:rsidRPr="003B016A">
        <w:rPr>
          <w:rFonts w:ascii="Trebuchet MS" w:hAnsi="Trebuchet MS" w:cs="Arial"/>
          <w:color w:val="000000" w:themeColor="text1"/>
          <w:spacing w:val="2"/>
          <w:shd w:val="clear" w:color="auto" w:fill="FFFFFF"/>
          <w:vertAlign w:val="superscript"/>
        </w:rPr>
        <w:t>o</w:t>
      </w:r>
      <w:r w:rsidRPr="00A30DD5">
        <w:rPr>
          <w:rFonts w:ascii="Trebuchet MS" w:hAnsi="Trebuchet MS" w:cs="Arial"/>
          <w:color w:val="000000" w:themeColor="text1"/>
          <w:spacing w:val="2"/>
          <w:shd w:val="clear" w:color="auto" w:fill="FFFFFF"/>
        </w:rPr>
        <w:t xml:space="preserve"> 1, p. 10–22, 2006.</w:t>
      </w:r>
    </w:p>
    <w:p w14:paraId="2589717B" w14:textId="77777777" w:rsidR="005D7EBD" w:rsidRPr="00725AAC" w:rsidRDefault="005D7EBD" w:rsidP="00C46FD9">
      <w:pPr>
        <w:spacing w:line="276" w:lineRule="auto"/>
        <w:jc w:val="both"/>
        <w:rPr>
          <w:rFonts w:ascii="Trebuchet MS" w:hAnsi="Trebuchet MS"/>
        </w:rPr>
      </w:pPr>
      <w:r w:rsidRPr="00725AAC">
        <w:rPr>
          <w:rFonts w:ascii="Trebuchet MS" w:hAnsi="Trebuchet MS"/>
        </w:rPr>
        <w:t xml:space="preserve">PECQUEUR, B. </w:t>
      </w:r>
      <w:proofErr w:type="spellStart"/>
      <w:r w:rsidRPr="00725AAC">
        <w:rPr>
          <w:rFonts w:ascii="Trebuchet MS" w:hAnsi="Trebuchet MS"/>
        </w:rPr>
        <w:t>Qualité</w:t>
      </w:r>
      <w:proofErr w:type="spellEnd"/>
      <w:r w:rsidRPr="00725AAC">
        <w:rPr>
          <w:rFonts w:ascii="Trebuchet MS" w:hAnsi="Trebuchet MS"/>
        </w:rPr>
        <w:t xml:space="preserve"> e </w:t>
      </w:r>
      <w:proofErr w:type="spellStart"/>
      <w:r w:rsidRPr="00725AAC">
        <w:rPr>
          <w:rFonts w:ascii="Trebuchet MS" w:hAnsi="Trebuchet MS"/>
        </w:rPr>
        <w:t>développement</w:t>
      </w:r>
      <w:proofErr w:type="spellEnd"/>
      <w:r w:rsidRPr="00725AAC">
        <w:rPr>
          <w:rFonts w:ascii="Trebuchet MS" w:hAnsi="Trebuchet MS"/>
        </w:rPr>
        <w:t xml:space="preserve"> territorial: </w:t>
      </w:r>
      <w:proofErr w:type="spellStart"/>
      <w:r w:rsidRPr="00725AAC">
        <w:rPr>
          <w:rFonts w:ascii="Trebuchet MS" w:hAnsi="Trebuchet MS"/>
        </w:rPr>
        <w:t>l’hypothèse</w:t>
      </w:r>
      <w:proofErr w:type="spellEnd"/>
      <w:r w:rsidRPr="00725AAC">
        <w:rPr>
          <w:rFonts w:ascii="Trebuchet MS" w:hAnsi="Trebuchet MS"/>
        </w:rPr>
        <w:t xml:space="preserve"> </w:t>
      </w:r>
      <w:proofErr w:type="spellStart"/>
      <w:r w:rsidRPr="00725AAC">
        <w:rPr>
          <w:rFonts w:ascii="Trebuchet MS" w:hAnsi="Trebuchet MS"/>
        </w:rPr>
        <w:t>du</w:t>
      </w:r>
      <w:proofErr w:type="spellEnd"/>
      <w:r w:rsidRPr="00725AAC">
        <w:rPr>
          <w:rFonts w:ascii="Trebuchet MS" w:hAnsi="Trebuchet MS"/>
        </w:rPr>
        <w:t xml:space="preserve"> </w:t>
      </w:r>
      <w:proofErr w:type="spellStart"/>
      <w:r w:rsidRPr="00725AAC">
        <w:rPr>
          <w:rFonts w:ascii="Trebuchet MS" w:hAnsi="Trebuchet MS"/>
        </w:rPr>
        <w:t>panier</w:t>
      </w:r>
      <w:proofErr w:type="spellEnd"/>
      <w:r w:rsidRPr="00725AAC">
        <w:rPr>
          <w:rFonts w:ascii="Trebuchet MS" w:hAnsi="Trebuchet MS"/>
        </w:rPr>
        <w:t xml:space="preserve"> de </w:t>
      </w:r>
      <w:proofErr w:type="spellStart"/>
      <w:r w:rsidRPr="00725AAC">
        <w:rPr>
          <w:rFonts w:ascii="Trebuchet MS" w:hAnsi="Trebuchet MS"/>
        </w:rPr>
        <w:t>biens</w:t>
      </w:r>
      <w:proofErr w:type="spellEnd"/>
      <w:r w:rsidRPr="00725AAC">
        <w:rPr>
          <w:rFonts w:ascii="Trebuchet MS" w:hAnsi="Trebuchet MS"/>
        </w:rPr>
        <w:t xml:space="preserve"> et de </w:t>
      </w:r>
      <w:proofErr w:type="spellStart"/>
      <w:r w:rsidRPr="00725AAC">
        <w:rPr>
          <w:rFonts w:ascii="Trebuchet MS" w:hAnsi="Trebuchet MS"/>
        </w:rPr>
        <w:t>services</w:t>
      </w:r>
      <w:proofErr w:type="spellEnd"/>
      <w:r w:rsidRPr="00725AAC">
        <w:rPr>
          <w:rFonts w:ascii="Trebuchet MS" w:hAnsi="Trebuchet MS"/>
        </w:rPr>
        <w:t xml:space="preserve"> </w:t>
      </w:r>
      <w:proofErr w:type="spellStart"/>
      <w:r w:rsidRPr="00725AAC">
        <w:rPr>
          <w:rFonts w:ascii="Trebuchet MS" w:hAnsi="Trebuchet MS"/>
        </w:rPr>
        <w:t>territorialisés</w:t>
      </w:r>
      <w:proofErr w:type="spellEnd"/>
      <w:r w:rsidRPr="00725AAC">
        <w:rPr>
          <w:rFonts w:ascii="Trebuchet MS" w:hAnsi="Trebuchet MS"/>
        </w:rPr>
        <w:t xml:space="preserve">. </w:t>
      </w:r>
      <w:proofErr w:type="spellStart"/>
      <w:r w:rsidRPr="002A5836">
        <w:rPr>
          <w:rFonts w:ascii="Trebuchet MS" w:hAnsi="Trebuchet MS"/>
          <w:b/>
          <w:bCs/>
        </w:rPr>
        <w:t>Économie</w:t>
      </w:r>
      <w:proofErr w:type="spellEnd"/>
      <w:r w:rsidRPr="002A5836">
        <w:rPr>
          <w:rFonts w:ascii="Trebuchet MS" w:hAnsi="Trebuchet MS"/>
          <w:b/>
          <w:bCs/>
        </w:rPr>
        <w:t xml:space="preserve"> </w:t>
      </w:r>
      <w:proofErr w:type="spellStart"/>
      <w:r w:rsidRPr="002A5836">
        <w:rPr>
          <w:rFonts w:ascii="Trebuchet MS" w:hAnsi="Trebuchet MS"/>
          <w:b/>
          <w:bCs/>
        </w:rPr>
        <w:t>Rurale</w:t>
      </w:r>
      <w:proofErr w:type="spellEnd"/>
      <w:r w:rsidRPr="00725AAC">
        <w:rPr>
          <w:rFonts w:ascii="Trebuchet MS" w:hAnsi="Trebuchet MS"/>
        </w:rPr>
        <w:t>, n° 261, p. 37-49, 2001.</w:t>
      </w:r>
    </w:p>
    <w:p w14:paraId="24D34783" w14:textId="77777777" w:rsidR="005D7EBD" w:rsidRPr="00725AAC" w:rsidRDefault="005D7EBD" w:rsidP="00C46FD9">
      <w:pPr>
        <w:spacing w:line="276" w:lineRule="auto"/>
        <w:jc w:val="both"/>
        <w:rPr>
          <w:rFonts w:ascii="Trebuchet MS" w:hAnsi="Trebuchet MS"/>
          <w:color w:val="222222"/>
          <w:highlight w:val="white"/>
          <w:lang w:val="fr-FR"/>
        </w:rPr>
      </w:pPr>
      <w:r w:rsidRPr="00725AAC">
        <w:rPr>
          <w:rFonts w:ascii="Trebuchet MS" w:hAnsi="Trebuchet MS"/>
          <w:color w:val="222222"/>
          <w:highlight w:val="white"/>
        </w:rPr>
        <w:t xml:space="preserve">PERRON, L.; JANIN, C. </w:t>
      </w:r>
      <w:r w:rsidRPr="004F072D">
        <w:rPr>
          <w:rFonts w:ascii="Trebuchet MS" w:hAnsi="Trebuchet MS"/>
          <w:b/>
          <w:bCs/>
          <w:color w:val="222222"/>
          <w:highlight w:val="white"/>
        </w:rPr>
        <w:t>Valorizar os recursos territoriais</w:t>
      </w:r>
      <w:r w:rsidRPr="00725AAC">
        <w:rPr>
          <w:rFonts w:ascii="Trebuchet MS" w:hAnsi="Trebuchet MS"/>
          <w:color w:val="222222"/>
          <w:highlight w:val="white"/>
        </w:rPr>
        <w:t xml:space="preserve">: chaves para a ação – guia metodológico. </w:t>
      </w:r>
      <w:r w:rsidRPr="00725AAC">
        <w:rPr>
          <w:rFonts w:ascii="Trebuchet MS" w:hAnsi="Trebuchet MS"/>
          <w:color w:val="222222"/>
          <w:highlight w:val="white"/>
          <w:lang w:val="fr-FR"/>
        </w:rPr>
        <w:t xml:space="preserve">Florianópolis: </w:t>
      </w:r>
      <w:proofErr w:type="spellStart"/>
      <w:r w:rsidRPr="00725AAC">
        <w:rPr>
          <w:rFonts w:ascii="Trebuchet MS" w:hAnsi="Trebuchet MS"/>
          <w:color w:val="222222"/>
          <w:highlight w:val="white"/>
          <w:lang w:val="fr-FR"/>
        </w:rPr>
        <w:t>Epagri</w:t>
      </w:r>
      <w:proofErr w:type="spellEnd"/>
      <w:r w:rsidRPr="00725AAC">
        <w:rPr>
          <w:rFonts w:ascii="Trebuchet MS" w:hAnsi="Trebuchet MS"/>
          <w:color w:val="222222"/>
          <w:highlight w:val="white"/>
          <w:lang w:val="fr-FR"/>
        </w:rPr>
        <w:t>, 2020, 147p.</w:t>
      </w:r>
    </w:p>
    <w:p w14:paraId="586B3F89" w14:textId="77777777" w:rsidR="005D7EBD" w:rsidRPr="00725AAC" w:rsidRDefault="005D7EBD" w:rsidP="00C46FD9">
      <w:pPr>
        <w:spacing w:line="276" w:lineRule="auto"/>
        <w:jc w:val="both"/>
        <w:rPr>
          <w:rFonts w:ascii="Trebuchet MS" w:hAnsi="Trebuchet MS" w:cs="Arial"/>
        </w:rPr>
      </w:pPr>
      <w:r w:rsidRPr="00725AAC">
        <w:rPr>
          <w:rFonts w:ascii="Trebuchet MS" w:hAnsi="Trebuchet MS" w:cs="Arial"/>
        </w:rPr>
        <w:t>PIRAUX , M. Governança territorial e comuns: nova perspectiva para uma governança colaborativa. </w:t>
      </w:r>
      <w:r w:rsidRPr="00725AAC">
        <w:rPr>
          <w:rFonts w:ascii="Trebuchet MS" w:hAnsi="Trebuchet MS" w:cs="Arial"/>
          <w:b/>
          <w:bCs/>
        </w:rPr>
        <w:t>Desenvolvimento em Questão</w:t>
      </w:r>
      <w:r w:rsidRPr="00725AAC">
        <w:rPr>
          <w:rFonts w:ascii="Trebuchet MS" w:hAnsi="Trebuchet MS" w:cs="Arial"/>
        </w:rPr>
        <w:t>, v. 22, n. 61, p. e16032, 2024.</w:t>
      </w:r>
    </w:p>
    <w:p w14:paraId="25714788" w14:textId="77777777" w:rsidR="005D7EBD" w:rsidRPr="00725AAC" w:rsidRDefault="005D7EBD" w:rsidP="00C46FD9">
      <w:pPr>
        <w:spacing w:line="276" w:lineRule="auto"/>
        <w:jc w:val="both"/>
        <w:rPr>
          <w:rFonts w:ascii="Trebuchet MS" w:hAnsi="Trebuchet MS" w:cs="Arial"/>
          <w:shd w:val="clear" w:color="auto" w:fill="FFFFFF"/>
        </w:rPr>
      </w:pPr>
      <w:r w:rsidRPr="00725AAC">
        <w:rPr>
          <w:rFonts w:ascii="Trebuchet MS" w:hAnsi="Trebuchet MS" w:cs="Arial"/>
          <w:shd w:val="clear" w:color="auto" w:fill="FFFFFF"/>
        </w:rPr>
        <w:t>RAMOS, I. S. et al. Renda de qualidade territorial: da teoria francesa aos estudos brasileiros. </w:t>
      </w:r>
      <w:r w:rsidRPr="00725AAC">
        <w:rPr>
          <w:rFonts w:ascii="Trebuchet MS" w:hAnsi="Trebuchet MS" w:cs="Arial"/>
          <w:b/>
          <w:bCs/>
          <w:shd w:val="clear" w:color="auto" w:fill="FFFFFF"/>
        </w:rPr>
        <w:t>Desenvolvimento em Questão</w:t>
      </w:r>
      <w:r w:rsidRPr="00725AAC">
        <w:rPr>
          <w:rFonts w:ascii="Trebuchet MS" w:hAnsi="Trebuchet MS" w:cs="Arial"/>
          <w:shd w:val="clear" w:color="auto" w:fill="FFFFFF"/>
        </w:rPr>
        <w:t>, v. 22, n. 61, p. e16116, 2024.</w:t>
      </w:r>
    </w:p>
    <w:p w14:paraId="05D2014E" w14:textId="77777777" w:rsidR="005D7EBD" w:rsidRPr="00725AAC" w:rsidRDefault="005D7EBD" w:rsidP="00C46FD9">
      <w:pPr>
        <w:spacing w:line="276" w:lineRule="auto"/>
        <w:jc w:val="both"/>
        <w:rPr>
          <w:rFonts w:ascii="Trebuchet MS" w:hAnsi="Trebuchet MS" w:cs="Arial"/>
          <w:color w:val="000000" w:themeColor="text1"/>
          <w:shd w:val="clear" w:color="auto" w:fill="FFFFFF"/>
        </w:rPr>
      </w:pPr>
      <w:r w:rsidRPr="00725AAC">
        <w:rPr>
          <w:rFonts w:ascii="Trebuchet MS" w:hAnsi="Trebuchet MS" w:cs="Arial"/>
          <w:color w:val="000000" w:themeColor="text1"/>
        </w:rPr>
        <w:t xml:space="preserve">RIBEIRO, M. B.; CAPELLESSO, A. J.; CAZELLA, A. A. Construção de mercados por agroindústrias familiares: análise sob a perspectiva da abordagem da cesta de bens e serviços territoriais. </w:t>
      </w:r>
      <w:proofErr w:type="spellStart"/>
      <w:r w:rsidRPr="004F072D">
        <w:rPr>
          <w:rFonts w:ascii="Trebuchet MS" w:hAnsi="Trebuchet MS" w:cs="Arial"/>
          <w:b/>
          <w:bCs/>
          <w:color w:val="000000" w:themeColor="text1"/>
        </w:rPr>
        <w:t>DRd</w:t>
      </w:r>
      <w:proofErr w:type="spellEnd"/>
      <w:r w:rsidRPr="004F072D">
        <w:rPr>
          <w:rFonts w:ascii="Trebuchet MS" w:hAnsi="Trebuchet MS" w:cs="Arial"/>
          <w:b/>
          <w:bCs/>
          <w:color w:val="000000" w:themeColor="text1"/>
        </w:rPr>
        <w:t xml:space="preserve"> – Desenvolvimento Regional em </w:t>
      </w:r>
      <w:r>
        <w:rPr>
          <w:rFonts w:ascii="Trebuchet MS" w:hAnsi="Trebuchet MS" w:cs="Arial"/>
          <w:b/>
          <w:bCs/>
          <w:color w:val="000000" w:themeColor="text1"/>
        </w:rPr>
        <w:t>D</w:t>
      </w:r>
      <w:r w:rsidRPr="004F072D">
        <w:rPr>
          <w:rFonts w:ascii="Trebuchet MS" w:hAnsi="Trebuchet MS" w:cs="Arial"/>
          <w:b/>
          <w:bCs/>
          <w:color w:val="000000" w:themeColor="text1"/>
        </w:rPr>
        <w:t>ebate</w:t>
      </w:r>
      <w:r w:rsidRPr="00725AAC">
        <w:rPr>
          <w:rFonts w:ascii="Trebuchet MS" w:hAnsi="Trebuchet MS" w:cs="Arial"/>
          <w:color w:val="000000" w:themeColor="text1"/>
        </w:rPr>
        <w:t>, v. 14, p. 815–841, 2024.</w:t>
      </w:r>
    </w:p>
    <w:p w14:paraId="6488B918" w14:textId="77777777" w:rsidR="005D7EBD" w:rsidRDefault="005D7EBD" w:rsidP="00C46FD9">
      <w:pPr>
        <w:spacing w:line="276" w:lineRule="auto"/>
        <w:jc w:val="both"/>
        <w:rPr>
          <w:rFonts w:ascii="Trebuchet MS" w:hAnsi="Trebuchet MS"/>
          <w:color w:val="222222"/>
          <w:highlight w:val="white"/>
          <w:lang w:val="fr-FR"/>
        </w:rPr>
      </w:pPr>
      <w:r w:rsidRPr="00725AAC">
        <w:rPr>
          <w:rFonts w:ascii="Trebuchet MS" w:hAnsi="Trebuchet MS"/>
          <w:color w:val="222222"/>
          <w:highlight w:val="white"/>
          <w:lang w:val="fr-FR"/>
        </w:rPr>
        <w:t xml:space="preserve">ROVER, O. J. </w:t>
      </w:r>
      <w:proofErr w:type="spellStart"/>
      <w:r w:rsidRPr="00725AAC">
        <w:rPr>
          <w:rFonts w:ascii="Trebuchet MS" w:hAnsi="Trebuchet MS"/>
          <w:color w:val="222222"/>
          <w:highlight w:val="white"/>
          <w:lang w:val="fr-FR"/>
        </w:rPr>
        <w:t>Agroecologia</w:t>
      </w:r>
      <w:proofErr w:type="spellEnd"/>
      <w:r w:rsidRPr="00725AAC">
        <w:rPr>
          <w:rFonts w:ascii="Trebuchet MS" w:hAnsi="Trebuchet MS"/>
          <w:color w:val="222222"/>
          <w:highlight w:val="white"/>
          <w:lang w:val="fr-FR"/>
        </w:rPr>
        <w:t xml:space="preserve">, </w:t>
      </w:r>
      <w:proofErr w:type="spellStart"/>
      <w:r w:rsidRPr="00725AAC">
        <w:rPr>
          <w:rFonts w:ascii="Trebuchet MS" w:hAnsi="Trebuchet MS"/>
          <w:color w:val="222222"/>
          <w:highlight w:val="white"/>
          <w:lang w:val="fr-FR"/>
        </w:rPr>
        <w:t>mercado</w:t>
      </w:r>
      <w:proofErr w:type="spellEnd"/>
      <w:r w:rsidRPr="00725AAC">
        <w:rPr>
          <w:rFonts w:ascii="Trebuchet MS" w:hAnsi="Trebuchet MS"/>
          <w:color w:val="222222"/>
          <w:highlight w:val="white"/>
          <w:lang w:val="fr-FR"/>
        </w:rPr>
        <w:t xml:space="preserve"> e </w:t>
      </w:r>
      <w:proofErr w:type="spellStart"/>
      <w:r w:rsidRPr="00725AAC">
        <w:rPr>
          <w:rFonts w:ascii="Trebuchet MS" w:hAnsi="Trebuchet MS"/>
          <w:color w:val="222222"/>
          <w:highlight w:val="white"/>
          <w:lang w:val="fr-FR"/>
        </w:rPr>
        <w:t>inovação</w:t>
      </w:r>
      <w:proofErr w:type="spellEnd"/>
      <w:r w:rsidRPr="00725AAC">
        <w:rPr>
          <w:rFonts w:ascii="Trebuchet MS" w:hAnsi="Trebuchet MS"/>
          <w:color w:val="222222"/>
          <w:highlight w:val="white"/>
          <w:lang w:val="fr-FR"/>
        </w:rPr>
        <w:t xml:space="preserve"> social : o </w:t>
      </w:r>
      <w:proofErr w:type="spellStart"/>
      <w:r w:rsidRPr="00725AAC">
        <w:rPr>
          <w:rFonts w:ascii="Trebuchet MS" w:hAnsi="Trebuchet MS"/>
          <w:color w:val="222222"/>
          <w:highlight w:val="white"/>
          <w:lang w:val="fr-FR"/>
        </w:rPr>
        <w:t>caso</w:t>
      </w:r>
      <w:proofErr w:type="spellEnd"/>
      <w:r w:rsidRPr="00725AAC">
        <w:rPr>
          <w:rFonts w:ascii="Trebuchet MS" w:hAnsi="Trebuchet MS"/>
          <w:color w:val="222222"/>
          <w:highlight w:val="white"/>
          <w:lang w:val="fr-FR"/>
        </w:rPr>
        <w:t xml:space="preserve"> da </w:t>
      </w:r>
      <w:proofErr w:type="spellStart"/>
      <w:r w:rsidRPr="00725AAC">
        <w:rPr>
          <w:rFonts w:ascii="Trebuchet MS" w:hAnsi="Trebuchet MS"/>
          <w:color w:val="222222"/>
          <w:highlight w:val="white"/>
          <w:lang w:val="fr-FR"/>
        </w:rPr>
        <w:t>Rede</w:t>
      </w:r>
      <w:proofErr w:type="spellEnd"/>
      <w:r w:rsidRPr="00725AAC">
        <w:rPr>
          <w:rFonts w:ascii="Trebuchet MS" w:hAnsi="Trebuchet MS"/>
          <w:color w:val="222222"/>
          <w:highlight w:val="white"/>
          <w:lang w:val="fr-FR"/>
        </w:rPr>
        <w:t xml:space="preserve"> </w:t>
      </w:r>
      <w:proofErr w:type="spellStart"/>
      <w:r w:rsidRPr="00725AAC">
        <w:rPr>
          <w:rFonts w:ascii="Trebuchet MS" w:hAnsi="Trebuchet MS"/>
          <w:color w:val="222222"/>
          <w:highlight w:val="white"/>
          <w:lang w:val="fr-FR"/>
        </w:rPr>
        <w:t>Ecovida</w:t>
      </w:r>
      <w:proofErr w:type="spellEnd"/>
      <w:r w:rsidRPr="00725AAC">
        <w:rPr>
          <w:rFonts w:ascii="Trebuchet MS" w:hAnsi="Trebuchet MS"/>
          <w:color w:val="222222"/>
          <w:highlight w:val="white"/>
          <w:lang w:val="fr-FR"/>
        </w:rPr>
        <w:t xml:space="preserve"> de </w:t>
      </w:r>
      <w:proofErr w:type="spellStart"/>
      <w:r w:rsidRPr="00725AAC">
        <w:rPr>
          <w:rFonts w:ascii="Trebuchet MS" w:hAnsi="Trebuchet MS"/>
          <w:color w:val="222222"/>
          <w:highlight w:val="white"/>
          <w:lang w:val="fr-FR"/>
        </w:rPr>
        <w:t>Agroecologia</w:t>
      </w:r>
      <w:proofErr w:type="spellEnd"/>
      <w:r w:rsidRPr="00725AAC">
        <w:rPr>
          <w:rFonts w:ascii="Trebuchet MS" w:hAnsi="Trebuchet MS"/>
          <w:color w:val="222222"/>
          <w:highlight w:val="white"/>
          <w:lang w:val="fr-FR"/>
        </w:rPr>
        <w:t xml:space="preserve">. </w:t>
      </w:r>
      <w:proofErr w:type="spellStart"/>
      <w:r w:rsidRPr="004F072D">
        <w:rPr>
          <w:rFonts w:ascii="Trebuchet MS" w:hAnsi="Trebuchet MS"/>
          <w:b/>
          <w:bCs/>
          <w:color w:val="222222"/>
          <w:highlight w:val="white"/>
          <w:lang w:val="fr-FR"/>
        </w:rPr>
        <w:t>Ciências</w:t>
      </w:r>
      <w:proofErr w:type="spellEnd"/>
      <w:r w:rsidRPr="004F072D">
        <w:rPr>
          <w:rFonts w:ascii="Trebuchet MS" w:hAnsi="Trebuchet MS"/>
          <w:b/>
          <w:bCs/>
          <w:color w:val="222222"/>
          <w:highlight w:val="white"/>
          <w:lang w:val="fr-FR"/>
        </w:rPr>
        <w:t xml:space="preserve"> </w:t>
      </w:r>
      <w:proofErr w:type="spellStart"/>
      <w:r w:rsidRPr="004F072D">
        <w:rPr>
          <w:rFonts w:ascii="Trebuchet MS" w:hAnsi="Trebuchet MS"/>
          <w:b/>
          <w:bCs/>
          <w:color w:val="222222"/>
          <w:highlight w:val="white"/>
          <w:lang w:val="fr-FR"/>
        </w:rPr>
        <w:t>Sociais</w:t>
      </w:r>
      <w:proofErr w:type="spellEnd"/>
      <w:r w:rsidRPr="00725AAC">
        <w:rPr>
          <w:rFonts w:ascii="Trebuchet MS" w:hAnsi="Trebuchet MS"/>
          <w:color w:val="222222"/>
          <w:highlight w:val="white"/>
          <w:lang w:val="fr-FR"/>
        </w:rPr>
        <w:t>, v. 47, n</w:t>
      </w:r>
      <w:r w:rsidRPr="00725AAC">
        <w:rPr>
          <w:rFonts w:ascii="Trebuchet MS" w:hAnsi="Trebuchet MS"/>
          <w:color w:val="222222"/>
          <w:highlight w:val="white"/>
          <w:vertAlign w:val="superscript"/>
          <w:lang w:val="fr-FR"/>
        </w:rPr>
        <w:t>o</w:t>
      </w:r>
      <w:r w:rsidRPr="00725AAC">
        <w:rPr>
          <w:rFonts w:ascii="Trebuchet MS" w:hAnsi="Trebuchet MS"/>
          <w:color w:val="222222"/>
          <w:highlight w:val="white"/>
          <w:lang w:val="fr-FR"/>
        </w:rPr>
        <w:t xml:space="preserve"> 1, p.56-63, 2011.</w:t>
      </w:r>
    </w:p>
    <w:p w14:paraId="6C31AA8D" w14:textId="77777777" w:rsidR="005D7EBD" w:rsidRDefault="005D7EBD" w:rsidP="00C46FD9">
      <w:pPr>
        <w:spacing w:line="276" w:lineRule="auto"/>
        <w:jc w:val="both"/>
        <w:rPr>
          <w:rFonts w:ascii="Trebuchet MS" w:hAnsi="Trebuchet MS" w:cs="Open Sans"/>
          <w:color w:val="333333"/>
        </w:rPr>
      </w:pPr>
      <w:r w:rsidRPr="00FD1027">
        <w:rPr>
          <w:rFonts w:ascii="Trebuchet MS" w:hAnsi="Trebuchet MS" w:cs="Open Sans"/>
          <w:color w:val="333333"/>
        </w:rPr>
        <w:t xml:space="preserve">SCHNEIDER, S. ; CAZELLA, A. A. ; MATTEI, L. F. . </w:t>
      </w:r>
      <w:r w:rsidRPr="008364AB">
        <w:rPr>
          <w:rFonts w:ascii="Trebuchet MS" w:hAnsi="Trebuchet MS" w:cs="Open Sans"/>
          <w:color w:val="333333"/>
        </w:rPr>
        <w:t>Histórico, caracterização e dinâmica recente do Pronaf-</w:t>
      </w:r>
      <w:r>
        <w:rPr>
          <w:rFonts w:ascii="Trebuchet MS" w:hAnsi="Trebuchet MS" w:cs="Open Sans"/>
          <w:color w:val="333333"/>
        </w:rPr>
        <w:t xml:space="preserve"> </w:t>
      </w:r>
      <w:r w:rsidRPr="008364AB">
        <w:rPr>
          <w:rFonts w:ascii="Trebuchet MS" w:hAnsi="Trebuchet MS" w:cs="Open Sans"/>
          <w:color w:val="333333"/>
        </w:rPr>
        <w:t>Programa Nacional de Fortalecimento da Agricultura Familiar. In: SCHNEIDER, S.; SILVA, K. M. ; MARQUES, P. E. M. (Org.).</w:t>
      </w:r>
      <w:r>
        <w:rPr>
          <w:rFonts w:ascii="Trebuchet MS" w:hAnsi="Trebuchet MS" w:cs="Open Sans"/>
          <w:color w:val="333333"/>
        </w:rPr>
        <w:t xml:space="preserve"> </w:t>
      </w:r>
      <w:r w:rsidRPr="008364AB">
        <w:rPr>
          <w:rStyle w:val="Forte"/>
          <w:rFonts w:ascii="Trebuchet MS" w:hAnsi="Trebuchet MS" w:cs="Open Sans"/>
          <w:color w:val="333333"/>
          <w:bdr w:val="none" w:sz="0" w:space="0" w:color="auto" w:frame="1"/>
        </w:rPr>
        <w:t>Polít</w:t>
      </w:r>
      <w:r>
        <w:rPr>
          <w:rStyle w:val="Forte"/>
          <w:rFonts w:ascii="Trebuchet MS" w:hAnsi="Trebuchet MS" w:cs="Open Sans"/>
          <w:color w:val="333333"/>
          <w:bdr w:val="none" w:sz="0" w:space="0" w:color="auto" w:frame="1"/>
        </w:rPr>
        <w:t>i</w:t>
      </w:r>
      <w:r w:rsidRPr="008364AB">
        <w:rPr>
          <w:rStyle w:val="Forte"/>
          <w:rFonts w:ascii="Trebuchet MS" w:hAnsi="Trebuchet MS" w:cs="Open Sans"/>
          <w:color w:val="333333"/>
          <w:bdr w:val="none" w:sz="0" w:space="0" w:color="auto" w:frame="1"/>
        </w:rPr>
        <w:t xml:space="preserve">cas </w:t>
      </w:r>
      <w:r>
        <w:rPr>
          <w:rStyle w:val="Forte"/>
          <w:rFonts w:ascii="Trebuchet MS" w:hAnsi="Trebuchet MS" w:cs="Open Sans"/>
          <w:color w:val="333333"/>
          <w:bdr w:val="none" w:sz="0" w:space="0" w:color="auto" w:frame="1"/>
        </w:rPr>
        <w:t>p</w:t>
      </w:r>
      <w:r w:rsidRPr="008364AB">
        <w:rPr>
          <w:rStyle w:val="Forte"/>
          <w:rFonts w:ascii="Trebuchet MS" w:hAnsi="Trebuchet MS" w:cs="Open Sans"/>
          <w:color w:val="333333"/>
          <w:bdr w:val="none" w:sz="0" w:space="0" w:color="auto" w:frame="1"/>
        </w:rPr>
        <w:t xml:space="preserve">úblicas e </w:t>
      </w:r>
      <w:r>
        <w:rPr>
          <w:rStyle w:val="Forte"/>
          <w:rFonts w:ascii="Trebuchet MS" w:hAnsi="Trebuchet MS" w:cs="Open Sans"/>
          <w:color w:val="333333"/>
          <w:bdr w:val="none" w:sz="0" w:space="0" w:color="auto" w:frame="1"/>
        </w:rPr>
        <w:t>p</w:t>
      </w:r>
      <w:r w:rsidRPr="008364AB">
        <w:rPr>
          <w:rStyle w:val="Forte"/>
          <w:rFonts w:ascii="Trebuchet MS" w:hAnsi="Trebuchet MS" w:cs="Open Sans"/>
          <w:color w:val="333333"/>
          <w:bdr w:val="none" w:sz="0" w:space="0" w:color="auto" w:frame="1"/>
        </w:rPr>
        <w:t xml:space="preserve">articipação </w:t>
      </w:r>
      <w:r>
        <w:rPr>
          <w:rStyle w:val="Forte"/>
          <w:rFonts w:ascii="Trebuchet MS" w:hAnsi="Trebuchet MS" w:cs="Open Sans"/>
          <w:color w:val="333333"/>
          <w:bdr w:val="none" w:sz="0" w:space="0" w:color="auto" w:frame="1"/>
        </w:rPr>
        <w:t>s</w:t>
      </w:r>
      <w:r w:rsidRPr="008364AB">
        <w:rPr>
          <w:rStyle w:val="Forte"/>
          <w:rFonts w:ascii="Trebuchet MS" w:hAnsi="Trebuchet MS" w:cs="Open Sans"/>
          <w:color w:val="333333"/>
          <w:bdr w:val="none" w:sz="0" w:space="0" w:color="auto" w:frame="1"/>
        </w:rPr>
        <w:t xml:space="preserve">ocial no Brasil </w:t>
      </w:r>
      <w:r>
        <w:rPr>
          <w:rStyle w:val="Forte"/>
          <w:rFonts w:ascii="Trebuchet MS" w:hAnsi="Trebuchet MS" w:cs="Open Sans"/>
          <w:color w:val="333333"/>
          <w:bdr w:val="none" w:sz="0" w:space="0" w:color="auto" w:frame="1"/>
        </w:rPr>
        <w:t>r</w:t>
      </w:r>
      <w:r w:rsidRPr="008364AB">
        <w:rPr>
          <w:rStyle w:val="Forte"/>
          <w:rFonts w:ascii="Trebuchet MS" w:hAnsi="Trebuchet MS" w:cs="Open Sans"/>
          <w:color w:val="333333"/>
          <w:bdr w:val="none" w:sz="0" w:space="0" w:color="auto" w:frame="1"/>
        </w:rPr>
        <w:t>ural.</w:t>
      </w:r>
      <w:r>
        <w:rPr>
          <w:rFonts w:ascii="Trebuchet MS" w:hAnsi="Trebuchet MS" w:cs="Open Sans"/>
          <w:color w:val="333333"/>
        </w:rPr>
        <w:t xml:space="preserve"> </w:t>
      </w:r>
      <w:r w:rsidRPr="008364AB">
        <w:rPr>
          <w:rFonts w:ascii="Trebuchet MS" w:hAnsi="Trebuchet MS" w:cs="Open Sans"/>
          <w:color w:val="333333"/>
        </w:rPr>
        <w:t>Porto Alegre: UFRGS, 2004</w:t>
      </w:r>
      <w:r w:rsidRPr="008364AB">
        <w:rPr>
          <w:rStyle w:val="Forte"/>
          <w:rFonts w:ascii="Trebuchet MS" w:hAnsi="Trebuchet MS" w:cs="Open Sans"/>
          <w:color w:val="333333"/>
          <w:bdr w:val="none" w:sz="0" w:space="0" w:color="auto" w:frame="1"/>
        </w:rPr>
        <w:t>,</w:t>
      </w:r>
      <w:r>
        <w:rPr>
          <w:rFonts w:ascii="Trebuchet MS" w:hAnsi="Trebuchet MS" w:cs="Open Sans"/>
          <w:color w:val="333333"/>
        </w:rPr>
        <w:t xml:space="preserve"> </w:t>
      </w:r>
      <w:r w:rsidRPr="008364AB">
        <w:rPr>
          <w:rFonts w:ascii="Trebuchet MS" w:hAnsi="Trebuchet MS" w:cs="Open Sans"/>
          <w:color w:val="333333"/>
        </w:rPr>
        <w:t>1</w:t>
      </w:r>
      <w:r>
        <w:rPr>
          <w:rFonts w:ascii="Trebuchet MS" w:hAnsi="Trebuchet MS" w:cs="Open Sans"/>
          <w:color w:val="333333"/>
        </w:rPr>
        <w:t xml:space="preserve">ª </w:t>
      </w:r>
      <w:r w:rsidRPr="008364AB">
        <w:rPr>
          <w:rFonts w:ascii="Trebuchet MS" w:hAnsi="Trebuchet MS" w:cs="Open Sans"/>
          <w:color w:val="333333"/>
        </w:rPr>
        <w:t>ed.</w:t>
      </w:r>
      <w:r>
        <w:rPr>
          <w:rFonts w:ascii="Trebuchet MS" w:hAnsi="Trebuchet MS" w:cs="Open Sans"/>
          <w:color w:val="333333"/>
        </w:rPr>
        <w:t xml:space="preserve">, </w:t>
      </w:r>
      <w:r w:rsidRPr="008364AB">
        <w:rPr>
          <w:rFonts w:ascii="Trebuchet MS" w:hAnsi="Trebuchet MS" w:cs="Open Sans"/>
          <w:color w:val="333333"/>
        </w:rPr>
        <w:t>v. 1, p. 21-49.</w:t>
      </w:r>
    </w:p>
    <w:p w14:paraId="67E90CFF" w14:textId="7ECA2DC3" w:rsidR="0079765F" w:rsidRPr="008364AB" w:rsidRDefault="0079765F" w:rsidP="00C46FD9">
      <w:pPr>
        <w:spacing w:line="276" w:lineRule="auto"/>
        <w:jc w:val="both"/>
        <w:rPr>
          <w:rFonts w:ascii="Trebuchet MS" w:hAnsi="Trebuchet MS" w:cs="Arial"/>
          <w:color w:val="000000" w:themeColor="text1"/>
        </w:rPr>
      </w:pPr>
      <w:r w:rsidRPr="0079765F">
        <w:rPr>
          <w:rFonts w:ascii="Trebuchet MS" w:hAnsi="Trebuchet MS" w:cs="Arial"/>
          <w:color w:val="000000" w:themeColor="text1"/>
        </w:rPr>
        <w:t>TECCHIO et al. Marcas coletivas e recursos territoriais específicos imateriais: estudo de caso de duas experiências brasileiras. Atas do X Congresso da APDEA e IV ESADR, Coimbra, 2023.</w:t>
      </w:r>
    </w:p>
    <w:p w14:paraId="4868E573" w14:textId="3DC78459" w:rsidR="005D7EBD" w:rsidRPr="00725AAC" w:rsidRDefault="00CC5F8D" w:rsidP="00C46FD9">
      <w:pPr>
        <w:spacing w:line="276" w:lineRule="auto"/>
        <w:jc w:val="both"/>
        <w:rPr>
          <w:rFonts w:ascii="Trebuchet MS" w:hAnsi="Trebuchet MS"/>
          <w:lang w:val="fr-FR"/>
        </w:rPr>
      </w:pPr>
      <w:r>
        <w:rPr>
          <w:rFonts w:ascii="Trebuchet MS" w:hAnsi="Trebuchet MS"/>
          <w:lang w:val="fr-FR"/>
        </w:rPr>
        <w:t>____________</w:t>
      </w:r>
      <w:r w:rsidR="005D7EBD" w:rsidRPr="00725AAC">
        <w:rPr>
          <w:rFonts w:ascii="Trebuchet MS" w:hAnsi="Trebuchet MS"/>
          <w:lang w:val="fr-FR"/>
        </w:rPr>
        <w:t xml:space="preserve">. Marcas </w:t>
      </w:r>
      <w:proofErr w:type="spellStart"/>
      <w:r w:rsidR="005D7EBD" w:rsidRPr="00725AAC">
        <w:rPr>
          <w:rFonts w:ascii="Trebuchet MS" w:hAnsi="Trebuchet MS"/>
          <w:lang w:val="fr-FR"/>
        </w:rPr>
        <w:t>coletivas</w:t>
      </w:r>
      <w:proofErr w:type="spellEnd"/>
      <w:r w:rsidR="005D7EBD" w:rsidRPr="00725AAC">
        <w:rPr>
          <w:rFonts w:ascii="Trebuchet MS" w:hAnsi="Trebuchet MS"/>
          <w:lang w:val="fr-FR"/>
        </w:rPr>
        <w:t xml:space="preserve"> e </w:t>
      </w:r>
      <w:proofErr w:type="spellStart"/>
      <w:r w:rsidR="005D7EBD" w:rsidRPr="00725AAC">
        <w:rPr>
          <w:rFonts w:ascii="Trebuchet MS" w:hAnsi="Trebuchet MS"/>
          <w:lang w:val="fr-FR"/>
        </w:rPr>
        <w:t>cesta</w:t>
      </w:r>
      <w:proofErr w:type="spellEnd"/>
      <w:r w:rsidR="005D7EBD" w:rsidRPr="00725AAC">
        <w:rPr>
          <w:rFonts w:ascii="Trebuchet MS" w:hAnsi="Trebuchet MS"/>
          <w:lang w:val="fr-FR"/>
        </w:rPr>
        <w:t xml:space="preserve"> de bens e </w:t>
      </w:r>
      <w:proofErr w:type="spellStart"/>
      <w:r w:rsidR="005D7EBD" w:rsidRPr="00725AAC">
        <w:rPr>
          <w:rFonts w:ascii="Trebuchet MS" w:hAnsi="Trebuchet MS"/>
          <w:lang w:val="fr-FR"/>
        </w:rPr>
        <w:t>serviços</w:t>
      </w:r>
      <w:proofErr w:type="spellEnd"/>
      <w:r w:rsidR="005D7EBD" w:rsidRPr="00725AAC">
        <w:rPr>
          <w:rFonts w:ascii="Trebuchet MS" w:hAnsi="Trebuchet MS"/>
          <w:lang w:val="fr-FR"/>
        </w:rPr>
        <w:t xml:space="preserve"> </w:t>
      </w:r>
      <w:proofErr w:type="spellStart"/>
      <w:r w:rsidR="005D7EBD" w:rsidRPr="00725AAC">
        <w:rPr>
          <w:rFonts w:ascii="Trebuchet MS" w:hAnsi="Trebuchet MS"/>
          <w:lang w:val="fr-FR"/>
        </w:rPr>
        <w:t>territoriais</w:t>
      </w:r>
      <w:proofErr w:type="spellEnd"/>
      <w:r w:rsidR="005D7EBD" w:rsidRPr="00725AAC">
        <w:rPr>
          <w:rFonts w:ascii="Trebuchet MS" w:hAnsi="Trebuchet MS"/>
          <w:lang w:val="fr-FR"/>
        </w:rPr>
        <w:t xml:space="preserve">: </w:t>
      </w:r>
      <w:proofErr w:type="spellStart"/>
      <w:r w:rsidR="005D7EBD" w:rsidRPr="00725AAC">
        <w:rPr>
          <w:rFonts w:ascii="Trebuchet MS" w:hAnsi="Trebuchet MS"/>
          <w:lang w:val="fr-FR"/>
        </w:rPr>
        <w:t>ações</w:t>
      </w:r>
      <w:proofErr w:type="spellEnd"/>
      <w:r w:rsidR="005D7EBD" w:rsidRPr="00725AAC">
        <w:rPr>
          <w:rFonts w:ascii="Trebuchet MS" w:hAnsi="Trebuchet MS"/>
          <w:lang w:val="fr-FR"/>
        </w:rPr>
        <w:t xml:space="preserve"> de </w:t>
      </w:r>
      <w:proofErr w:type="spellStart"/>
      <w:r w:rsidR="005D7EBD" w:rsidRPr="00725AAC">
        <w:rPr>
          <w:rFonts w:ascii="Trebuchet MS" w:hAnsi="Trebuchet MS"/>
          <w:lang w:val="fr-FR"/>
        </w:rPr>
        <w:t>desenvolvimento</w:t>
      </w:r>
      <w:proofErr w:type="spellEnd"/>
      <w:r w:rsidR="005D7EBD" w:rsidRPr="00725AAC">
        <w:rPr>
          <w:rFonts w:ascii="Trebuchet MS" w:hAnsi="Trebuchet MS"/>
          <w:lang w:val="fr-FR"/>
        </w:rPr>
        <w:t xml:space="preserve"> territorial </w:t>
      </w:r>
      <w:proofErr w:type="spellStart"/>
      <w:r w:rsidR="005D7EBD" w:rsidRPr="00725AAC">
        <w:rPr>
          <w:rFonts w:ascii="Trebuchet MS" w:hAnsi="Trebuchet MS"/>
          <w:lang w:val="fr-FR"/>
        </w:rPr>
        <w:t>sustentável</w:t>
      </w:r>
      <w:proofErr w:type="spellEnd"/>
      <w:r w:rsidR="005D7EBD" w:rsidRPr="00725AAC">
        <w:rPr>
          <w:rFonts w:ascii="Trebuchet MS" w:hAnsi="Trebuchet MS"/>
          <w:lang w:val="fr-FR"/>
        </w:rPr>
        <w:t xml:space="preserve"> no </w:t>
      </w:r>
      <w:proofErr w:type="spellStart"/>
      <w:r w:rsidR="005D7EBD" w:rsidRPr="00725AAC">
        <w:rPr>
          <w:rFonts w:ascii="Trebuchet MS" w:hAnsi="Trebuchet MS"/>
          <w:lang w:val="fr-FR"/>
        </w:rPr>
        <w:t>Oeste</w:t>
      </w:r>
      <w:proofErr w:type="spellEnd"/>
      <w:r w:rsidR="005D7EBD" w:rsidRPr="00725AAC">
        <w:rPr>
          <w:rFonts w:ascii="Trebuchet MS" w:hAnsi="Trebuchet MS"/>
          <w:lang w:val="fr-FR"/>
        </w:rPr>
        <w:t xml:space="preserve"> de Santa Catarina. In: GRISA, C., SABOURIN, E., ELOY, L., MALUF, R. </w:t>
      </w:r>
      <w:r w:rsidR="005D7EBD" w:rsidRPr="004F072D">
        <w:rPr>
          <w:rFonts w:ascii="Trebuchet MS" w:hAnsi="Trebuchet MS"/>
          <w:b/>
          <w:bCs/>
          <w:lang w:val="fr-FR"/>
        </w:rPr>
        <w:t xml:space="preserve">Sistemas </w:t>
      </w:r>
      <w:proofErr w:type="spellStart"/>
      <w:r w:rsidR="005D7EBD" w:rsidRPr="004F072D">
        <w:rPr>
          <w:rFonts w:ascii="Trebuchet MS" w:hAnsi="Trebuchet MS"/>
          <w:b/>
          <w:bCs/>
          <w:lang w:val="fr-FR"/>
        </w:rPr>
        <w:t>alimentares</w:t>
      </w:r>
      <w:proofErr w:type="spellEnd"/>
      <w:r w:rsidR="005D7EBD" w:rsidRPr="004F072D">
        <w:rPr>
          <w:rFonts w:ascii="Trebuchet MS" w:hAnsi="Trebuchet MS"/>
          <w:b/>
          <w:bCs/>
          <w:lang w:val="fr-FR"/>
        </w:rPr>
        <w:t xml:space="preserve"> e </w:t>
      </w:r>
      <w:proofErr w:type="spellStart"/>
      <w:r w:rsidR="005D7EBD" w:rsidRPr="004F072D">
        <w:rPr>
          <w:rFonts w:ascii="Trebuchet MS" w:hAnsi="Trebuchet MS"/>
          <w:b/>
          <w:bCs/>
          <w:lang w:val="fr-FR"/>
        </w:rPr>
        <w:t>territórios</w:t>
      </w:r>
      <w:proofErr w:type="spellEnd"/>
      <w:r w:rsidR="005D7EBD" w:rsidRPr="004F072D">
        <w:rPr>
          <w:rFonts w:ascii="Trebuchet MS" w:hAnsi="Trebuchet MS"/>
          <w:b/>
          <w:bCs/>
          <w:lang w:val="fr-FR"/>
        </w:rPr>
        <w:t xml:space="preserve"> no Brasil</w:t>
      </w:r>
      <w:r w:rsidR="005D7EBD" w:rsidRPr="00725AAC">
        <w:rPr>
          <w:rFonts w:ascii="Trebuchet MS" w:hAnsi="Trebuchet MS"/>
          <w:lang w:val="fr-FR"/>
        </w:rPr>
        <w:t xml:space="preserve">. Porto </w:t>
      </w:r>
      <w:proofErr w:type="spellStart"/>
      <w:r w:rsidR="005D7EBD" w:rsidRPr="00725AAC">
        <w:rPr>
          <w:rFonts w:ascii="Trebuchet MS" w:hAnsi="Trebuchet MS"/>
          <w:lang w:val="fr-FR"/>
        </w:rPr>
        <w:t>Alegre</w:t>
      </w:r>
      <w:proofErr w:type="spellEnd"/>
      <w:r w:rsidR="005D7EBD" w:rsidRPr="00725AAC">
        <w:rPr>
          <w:rFonts w:ascii="Trebuchet MS" w:hAnsi="Trebuchet MS"/>
          <w:lang w:val="fr-FR"/>
        </w:rPr>
        <w:t xml:space="preserve">: </w:t>
      </w:r>
      <w:proofErr w:type="spellStart"/>
      <w:r w:rsidR="005D7EBD" w:rsidRPr="00725AAC">
        <w:rPr>
          <w:rFonts w:ascii="Trebuchet MS" w:hAnsi="Trebuchet MS"/>
          <w:lang w:val="fr-FR"/>
        </w:rPr>
        <w:t>Editora</w:t>
      </w:r>
      <w:proofErr w:type="spellEnd"/>
      <w:r w:rsidR="005D7EBD" w:rsidRPr="00725AAC">
        <w:rPr>
          <w:rFonts w:ascii="Trebuchet MS" w:hAnsi="Trebuchet MS"/>
          <w:lang w:val="fr-FR"/>
        </w:rPr>
        <w:t xml:space="preserve"> da UFRGS, 2022.</w:t>
      </w:r>
    </w:p>
    <w:p w14:paraId="7A12CA73" w14:textId="72ED2012" w:rsidR="0053021A" w:rsidRPr="00CC5F8D" w:rsidRDefault="00CC5F8D" w:rsidP="00CC5F8D">
      <w:pPr>
        <w:spacing w:line="276" w:lineRule="auto"/>
        <w:jc w:val="both"/>
        <w:rPr>
          <w:rFonts w:ascii="Trebuchet MS" w:hAnsi="Trebuchet MS"/>
          <w:lang w:val="fr-FR"/>
        </w:rPr>
      </w:pPr>
      <w:r>
        <w:rPr>
          <w:rFonts w:ascii="Trebuchet MS" w:hAnsi="Trebuchet MS"/>
        </w:rPr>
        <w:t>_____________</w:t>
      </w:r>
      <w:r w:rsidR="005D7EBD" w:rsidRPr="00725AAC">
        <w:rPr>
          <w:rFonts w:ascii="Trebuchet MS" w:hAnsi="Trebuchet MS"/>
        </w:rPr>
        <w:t xml:space="preserve">. Desenvolvimento territorial no Extremo Oeste de Santa Catarina: a abordagem da Cesta de Bens e Serviços Territoriais. </w:t>
      </w:r>
      <w:proofErr w:type="spellStart"/>
      <w:r w:rsidR="005D7EBD" w:rsidRPr="004F072D">
        <w:rPr>
          <w:rFonts w:ascii="Trebuchet MS" w:hAnsi="Trebuchet MS"/>
          <w:b/>
          <w:bCs/>
          <w:lang w:val="fr-FR"/>
        </w:rPr>
        <w:t>Revista</w:t>
      </w:r>
      <w:proofErr w:type="spellEnd"/>
      <w:r w:rsidR="005D7EBD" w:rsidRPr="004F072D">
        <w:rPr>
          <w:rFonts w:ascii="Trebuchet MS" w:hAnsi="Trebuchet MS"/>
          <w:b/>
          <w:bCs/>
          <w:lang w:val="fr-FR"/>
        </w:rPr>
        <w:t xml:space="preserve"> </w:t>
      </w:r>
      <w:proofErr w:type="spellStart"/>
      <w:r w:rsidR="005D7EBD" w:rsidRPr="004F072D">
        <w:rPr>
          <w:rFonts w:ascii="Trebuchet MS" w:hAnsi="Trebuchet MS"/>
          <w:b/>
          <w:bCs/>
          <w:lang w:val="fr-FR"/>
        </w:rPr>
        <w:t>Política</w:t>
      </w:r>
      <w:proofErr w:type="spellEnd"/>
      <w:r w:rsidR="005D7EBD" w:rsidRPr="004F072D">
        <w:rPr>
          <w:rFonts w:ascii="Trebuchet MS" w:hAnsi="Trebuchet MS"/>
          <w:b/>
          <w:bCs/>
          <w:lang w:val="fr-FR"/>
        </w:rPr>
        <w:t xml:space="preserve"> e </w:t>
      </w:r>
      <w:proofErr w:type="spellStart"/>
      <w:r w:rsidR="005D7EBD" w:rsidRPr="004F072D">
        <w:rPr>
          <w:rFonts w:ascii="Trebuchet MS" w:hAnsi="Trebuchet MS"/>
          <w:b/>
          <w:bCs/>
          <w:lang w:val="fr-FR"/>
        </w:rPr>
        <w:t>Planejamento</w:t>
      </w:r>
      <w:proofErr w:type="spellEnd"/>
      <w:r w:rsidR="005D7EBD" w:rsidRPr="004F072D">
        <w:rPr>
          <w:rFonts w:ascii="Trebuchet MS" w:hAnsi="Trebuchet MS"/>
          <w:b/>
          <w:bCs/>
          <w:lang w:val="fr-FR"/>
        </w:rPr>
        <w:t xml:space="preserve"> </w:t>
      </w:r>
      <w:proofErr w:type="spellStart"/>
      <w:r w:rsidR="005D7EBD" w:rsidRPr="004F072D">
        <w:rPr>
          <w:rFonts w:ascii="Trebuchet MS" w:hAnsi="Trebuchet MS"/>
          <w:b/>
          <w:bCs/>
          <w:lang w:val="fr-FR"/>
        </w:rPr>
        <w:t>Regional</w:t>
      </w:r>
      <w:proofErr w:type="spellEnd"/>
      <w:r w:rsidR="005D7EBD" w:rsidRPr="00725AAC">
        <w:rPr>
          <w:rFonts w:ascii="Trebuchet MS" w:hAnsi="Trebuchet MS"/>
          <w:lang w:val="fr-FR"/>
        </w:rPr>
        <w:t>, vol. 8, nº 1, 2021, p.1 – 20.</w:t>
      </w:r>
      <w:r>
        <w:rPr>
          <w:rFonts w:ascii="Trebuchet MS" w:hAnsi="Trebuchet MS"/>
          <w:lang w:val="fr-FR"/>
        </w:rPr>
        <w:t>=</w:t>
      </w:r>
    </w:p>
    <w:sectPr w:rsidR="0053021A" w:rsidRPr="00CC5F8D" w:rsidSect="005E3A01">
      <w:footerReference w:type="default" r:id="rId8"/>
      <w:pgSz w:w="11906" w:h="16838"/>
      <w:pgMar w:top="1418" w:right="1418"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7F9A3" w14:textId="77777777" w:rsidR="008A436C" w:rsidRDefault="008A436C" w:rsidP="0027518C">
      <w:r>
        <w:separator/>
      </w:r>
    </w:p>
  </w:endnote>
  <w:endnote w:type="continuationSeparator" w:id="0">
    <w:p w14:paraId="794E8EC1" w14:textId="77777777" w:rsidR="008A436C" w:rsidRDefault="008A436C"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ntonio">
    <w:altName w:val="Calibri"/>
    <w:panose1 w:val="020B0604020202020204"/>
    <w:charset w:val="4D"/>
    <w:family w:val="auto"/>
    <w:pitch w:val="variable"/>
    <w:sig w:usb0="A00000EF" w:usb1="0000204B" w:usb2="00000000" w:usb3="00000000" w:csb0="00000093"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C0C9C" w14:textId="77777777" w:rsidR="008A436C" w:rsidRDefault="008A436C" w:rsidP="0027518C">
      <w:r>
        <w:separator/>
      </w:r>
    </w:p>
  </w:footnote>
  <w:footnote w:type="continuationSeparator" w:id="0">
    <w:p w14:paraId="5A348DC5" w14:textId="77777777" w:rsidR="008A436C" w:rsidRDefault="008A436C" w:rsidP="0027518C">
      <w:r>
        <w:continuationSeparator/>
      </w:r>
    </w:p>
  </w:footnote>
  <w:footnote w:id="1">
    <w:p w14:paraId="701FAF53" w14:textId="0DF4584A" w:rsidR="005D7EBD" w:rsidRPr="005D7EBD" w:rsidRDefault="005D7EBD" w:rsidP="005D7EBD">
      <w:pPr>
        <w:jc w:val="both"/>
        <w:rPr>
          <w:rFonts w:ascii="Trebuchet MS" w:eastAsia="Times New Roman" w:hAnsi="Trebuchet MS"/>
          <w:sz w:val="20"/>
          <w:szCs w:val="20"/>
        </w:rPr>
      </w:pPr>
      <w:r>
        <w:rPr>
          <w:rStyle w:val="Refdenotaderodap"/>
        </w:rPr>
        <w:footnoteRef/>
      </w:r>
      <w:r>
        <w:t xml:space="preserve"> </w:t>
      </w:r>
      <w:r w:rsidRPr="00F92E27">
        <w:rPr>
          <w:rFonts w:ascii="Trebuchet MS" w:eastAsia="Times New Roman" w:hAnsi="Trebuchet MS"/>
          <w:sz w:val="20"/>
          <w:szCs w:val="20"/>
        </w:rPr>
        <w:t xml:space="preserve">A elaboração deste </w:t>
      </w:r>
      <w:r>
        <w:rPr>
          <w:rFonts w:ascii="Trebuchet MS" w:eastAsia="Times New Roman" w:hAnsi="Trebuchet MS"/>
          <w:sz w:val="20"/>
          <w:szCs w:val="20"/>
        </w:rPr>
        <w:t>artigo</w:t>
      </w:r>
      <w:r w:rsidRPr="00F92E27">
        <w:rPr>
          <w:rFonts w:ascii="Trebuchet MS" w:eastAsia="Times New Roman" w:hAnsi="Trebuchet MS"/>
          <w:sz w:val="20"/>
          <w:szCs w:val="20"/>
        </w:rPr>
        <w:t xml:space="preserve"> </w:t>
      </w:r>
      <w:r>
        <w:rPr>
          <w:rFonts w:ascii="Trebuchet MS" w:eastAsia="Times New Roman" w:hAnsi="Trebuchet MS"/>
          <w:sz w:val="20"/>
          <w:szCs w:val="20"/>
        </w:rPr>
        <w:t>contou com</w:t>
      </w:r>
      <w:r w:rsidRPr="00F92E27">
        <w:rPr>
          <w:rFonts w:ascii="Trebuchet MS" w:eastAsia="Times New Roman" w:hAnsi="Trebuchet MS"/>
          <w:sz w:val="20"/>
          <w:szCs w:val="20"/>
        </w:rPr>
        <w:t xml:space="preserve"> contribuições dos seguintes projetos de pesquisa: i) Inovação e transição sustentável: Cesta de bens e serviços em territórios amazônicos, Edital de chamada pública </w:t>
      </w:r>
      <w:proofErr w:type="spellStart"/>
      <w:r w:rsidRPr="00F92E27">
        <w:rPr>
          <w:rFonts w:ascii="Trebuchet MS" w:eastAsia="Times New Roman" w:hAnsi="Trebuchet MS"/>
          <w:sz w:val="20"/>
          <w:szCs w:val="20"/>
        </w:rPr>
        <w:t>Confap</w:t>
      </w:r>
      <w:proofErr w:type="spellEnd"/>
      <w:r w:rsidRPr="00F92E27">
        <w:rPr>
          <w:rFonts w:ascii="Trebuchet MS" w:eastAsia="Times New Roman" w:hAnsi="Trebuchet MS"/>
          <w:sz w:val="20"/>
          <w:szCs w:val="20"/>
        </w:rPr>
        <w:t xml:space="preserve"> nº 003/2022, Programa de apoio a projetos de pesquisa Iniciativa Amazônia +10, que conta com o financiamento da Fundação de Amparo à Pesquisa e Inovação do Estado de Santa Catarina (</w:t>
      </w:r>
      <w:proofErr w:type="spellStart"/>
      <w:r w:rsidRPr="00F92E27">
        <w:rPr>
          <w:rFonts w:ascii="Trebuchet MS" w:eastAsia="Times New Roman" w:hAnsi="Trebuchet MS"/>
          <w:sz w:val="20"/>
          <w:szCs w:val="20"/>
        </w:rPr>
        <w:t>Fapesc</w:t>
      </w:r>
      <w:proofErr w:type="spellEnd"/>
      <w:r w:rsidRPr="00F92E27">
        <w:rPr>
          <w:rFonts w:ascii="Trebuchet MS" w:eastAsia="Times New Roman" w:hAnsi="Trebuchet MS"/>
          <w:sz w:val="20"/>
          <w:szCs w:val="20"/>
        </w:rPr>
        <w:t xml:space="preserve">), </w:t>
      </w:r>
      <w:r w:rsidRPr="00F92E27">
        <w:rPr>
          <w:rFonts w:ascii="Trebuchet MS" w:hAnsi="Trebuchet MS"/>
          <w:sz w:val="20"/>
          <w:szCs w:val="20"/>
        </w:rPr>
        <w:t xml:space="preserve">Edital Suplemento nº 28/2022; </w:t>
      </w:r>
      <w:proofErr w:type="spellStart"/>
      <w:r w:rsidRPr="00F92E27">
        <w:rPr>
          <w:rFonts w:ascii="Trebuchet MS" w:hAnsi="Trebuchet MS"/>
          <w:sz w:val="20"/>
          <w:szCs w:val="20"/>
        </w:rPr>
        <w:t>ii</w:t>
      </w:r>
      <w:proofErr w:type="spellEnd"/>
      <w:r w:rsidRPr="00F92E27">
        <w:rPr>
          <w:rFonts w:ascii="Trebuchet MS" w:hAnsi="Trebuchet MS"/>
          <w:sz w:val="20"/>
          <w:szCs w:val="20"/>
        </w:rPr>
        <w:t xml:space="preserve">) </w:t>
      </w:r>
      <w:r w:rsidRPr="00F92E27">
        <w:rPr>
          <w:rFonts w:ascii="Trebuchet MS" w:eastAsia="Times New Roman" w:hAnsi="Trebuchet MS"/>
          <w:sz w:val="20"/>
          <w:szCs w:val="20"/>
        </w:rPr>
        <w:t>Desenvolvimento territorial sustentável: a Cesta de bens e serviços, mercados e marcas territoriais, CNPq – PQ 2022.</w:t>
      </w:r>
    </w:p>
  </w:footnote>
  <w:footnote w:id="2">
    <w:p w14:paraId="6DBA78B4" w14:textId="74369611" w:rsidR="00216EFF" w:rsidRPr="0090504B" w:rsidRDefault="00216EFF" w:rsidP="00216EFF">
      <w:pPr>
        <w:pStyle w:val="Textodenotaderodap"/>
        <w:rPr>
          <w:rFonts w:ascii="Trebuchet MS" w:hAnsi="Trebuchet MS"/>
          <w:lang w:val="pt-BR"/>
        </w:rPr>
      </w:pPr>
      <w:r w:rsidRPr="0090504B">
        <w:rPr>
          <w:rStyle w:val="Refdenotaderodap"/>
          <w:rFonts w:ascii="Trebuchet MS" w:hAnsi="Trebuchet MS"/>
        </w:rPr>
        <w:footnoteRef/>
      </w:r>
      <w:r w:rsidRPr="0090504B">
        <w:rPr>
          <w:rFonts w:ascii="Trebuchet MS" w:hAnsi="Trebuchet MS"/>
        </w:rPr>
        <w:t xml:space="preserve"> </w:t>
      </w:r>
      <w:r w:rsidR="0090504B" w:rsidRPr="0090504B">
        <w:rPr>
          <w:rFonts w:ascii="Trebuchet MS" w:eastAsia="Arial" w:hAnsi="Trebuchet MS" w:cs="Arial"/>
        </w:rPr>
        <w:t>Universidade Federal de Santa Catarina (UFSC) e assessor da Secretaria de Governança Fundiária, Desenvolvimento Territorial e Socioambiental do Ministério do Desenvolvimento Agrário e Agricultura Familiar (SFDT/MDA)</w:t>
      </w:r>
      <w:r w:rsidRPr="0090504B">
        <w:rPr>
          <w:rFonts w:ascii="Trebuchet MS" w:eastAsia="Arial" w:hAnsi="Trebuchet MS" w:cs="Arial"/>
        </w:rPr>
        <w:t xml:space="preserve">, </w:t>
      </w:r>
      <w:hyperlink r:id="rId1" w:history="1">
        <w:r w:rsidR="0090504B" w:rsidRPr="0090504B">
          <w:rPr>
            <w:rStyle w:val="Hyperlink"/>
            <w:rFonts w:ascii="Trebuchet MS" w:eastAsia="Arial" w:hAnsi="Trebuchet MS" w:cs="Arial"/>
          </w:rPr>
          <w:t>aacazella@gmail.com</w:t>
        </w:r>
      </w:hyperlink>
      <w:r w:rsidRPr="0090504B">
        <w:rPr>
          <w:rFonts w:ascii="Trebuchet MS" w:eastAsia="Arial" w:hAnsi="Trebuchet MS" w:cs="Arial"/>
        </w:rPr>
        <w:t>.</w:t>
      </w:r>
    </w:p>
  </w:footnote>
  <w:footnote w:id="3">
    <w:p w14:paraId="25B57293" w14:textId="29C56CA9" w:rsidR="00216EFF" w:rsidRPr="0090504B" w:rsidRDefault="00216EFF" w:rsidP="00216EFF">
      <w:pPr>
        <w:pStyle w:val="Textodenotaderodap"/>
        <w:rPr>
          <w:rFonts w:ascii="Trebuchet MS" w:hAnsi="Trebuchet MS"/>
          <w:lang w:val="pt-BR"/>
        </w:rPr>
      </w:pPr>
      <w:r w:rsidRPr="0090504B">
        <w:rPr>
          <w:rStyle w:val="Refdenotaderodap"/>
          <w:rFonts w:ascii="Trebuchet MS" w:hAnsi="Trebuchet MS"/>
        </w:rPr>
        <w:footnoteRef/>
      </w:r>
      <w:r w:rsidRPr="0090504B">
        <w:rPr>
          <w:rFonts w:ascii="Trebuchet MS" w:hAnsi="Trebuchet MS"/>
        </w:rPr>
        <w:t xml:space="preserve"> </w:t>
      </w:r>
      <w:r w:rsidR="0090504B" w:rsidRPr="0090504B">
        <w:rPr>
          <w:rFonts w:ascii="Trebuchet MS" w:eastAsia="Arial" w:hAnsi="Trebuchet MS" w:cs="Arial"/>
        </w:rPr>
        <w:t>Secretário de Governança Fundiária, Desenvolvimento Territorial e Socioambiental do Ministério do Desenvolvimento Agrário e Agricultura Familiar (SFDT/MDA)</w:t>
      </w:r>
      <w:r w:rsidRPr="0090504B">
        <w:rPr>
          <w:rFonts w:ascii="Trebuchet MS" w:eastAsia="Arial" w:hAnsi="Trebuchet MS" w:cs="Arial"/>
        </w:rPr>
        <w:t xml:space="preserve">, </w:t>
      </w:r>
      <w:r w:rsidR="0090504B" w:rsidRPr="0090504B">
        <w:rPr>
          <w:rFonts w:ascii="Trebuchet MS" w:eastAsia="Arial" w:hAnsi="Trebuchet MS" w:cs="Arial"/>
          <w:color w:val="0563C1"/>
          <w:u w:val="single"/>
        </w:rPr>
        <w:t>moisessavian@</w:t>
      </w:r>
      <w:r w:rsidR="00643B91">
        <w:rPr>
          <w:rFonts w:ascii="Trebuchet MS" w:eastAsia="Arial" w:hAnsi="Trebuchet MS" w:cs="Arial"/>
          <w:color w:val="0563C1"/>
          <w:u w:val="single"/>
        </w:rPr>
        <w:t>gmail.com</w:t>
      </w:r>
      <w:r w:rsidRPr="0090504B">
        <w:rPr>
          <w:rFonts w:ascii="Trebuchet MS" w:eastAsia="Arial" w:hAnsi="Trebuchet MS" w:cs="Arial"/>
        </w:rPr>
        <w:t>.</w:t>
      </w:r>
    </w:p>
  </w:footnote>
  <w:footnote w:id="4">
    <w:p w14:paraId="36216DD3" w14:textId="5CA80E11" w:rsidR="00643B91" w:rsidRPr="00CC5F8D" w:rsidRDefault="00643B91" w:rsidP="00CC5F8D">
      <w:pPr>
        <w:jc w:val="both"/>
        <w:rPr>
          <w:color w:val="000000" w:themeColor="text1"/>
          <w:sz w:val="20"/>
          <w:szCs w:val="20"/>
        </w:rPr>
      </w:pPr>
      <w:r>
        <w:rPr>
          <w:rStyle w:val="Refdenotaderodap"/>
        </w:rPr>
        <w:footnoteRef/>
      </w:r>
      <w:r>
        <w:t xml:space="preserve"> </w:t>
      </w:r>
      <w:r w:rsidRPr="008A784B">
        <w:rPr>
          <w:color w:val="000000" w:themeColor="text1"/>
          <w:sz w:val="20"/>
          <w:szCs w:val="20"/>
          <w:highlight w:val="white"/>
        </w:rPr>
        <w:t>O “Projeto articulação e diálogo sobre políticas para reduzir a pobreza e desigualdade no nordeste semiárido”</w:t>
      </w:r>
      <w:r w:rsidR="003B016A">
        <w:rPr>
          <w:color w:val="000000" w:themeColor="text1"/>
          <w:sz w:val="20"/>
          <w:szCs w:val="20"/>
          <w:highlight w:val="white"/>
        </w:rPr>
        <w:t xml:space="preserve"> foi criado</w:t>
      </w:r>
      <w:r w:rsidRPr="008A784B">
        <w:rPr>
          <w:color w:val="000000" w:themeColor="text1"/>
          <w:sz w:val="20"/>
          <w:szCs w:val="20"/>
          <w:highlight w:val="white"/>
        </w:rPr>
        <w:t xml:space="preserve"> em 200</w:t>
      </w:r>
      <w:r w:rsidR="003B016A">
        <w:rPr>
          <w:color w:val="000000" w:themeColor="text1"/>
          <w:sz w:val="20"/>
          <w:szCs w:val="20"/>
          <w:highlight w:val="white"/>
        </w:rPr>
        <w:t>1</w:t>
      </w:r>
      <w:r w:rsidR="00CC5F8D">
        <w:rPr>
          <w:color w:val="000000" w:themeColor="text1"/>
          <w:sz w:val="20"/>
          <w:szCs w:val="20"/>
          <w:highlight w:val="white"/>
        </w:rPr>
        <w:t xml:space="preserve"> e conta </w:t>
      </w:r>
      <w:r w:rsidR="003B016A" w:rsidRPr="008A784B">
        <w:rPr>
          <w:color w:val="000000" w:themeColor="text1"/>
          <w:sz w:val="20"/>
          <w:szCs w:val="20"/>
          <w:highlight w:val="white"/>
        </w:rPr>
        <w:t>com apoio do Fundo Internacional de Desenvolvimento Agrícola</w:t>
      </w:r>
      <w:r w:rsidR="003B016A">
        <w:rPr>
          <w:color w:val="000000" w:themeColor="text1"/>
          <w:sz w:val="20"/>
          <w:szCs w:val="20"/>
          <w:highlight w:val="white"/>
        </w:rPr>
        <w:t>.</w:t>
      </w:r>
      <w:r w:rsidR="003B016A" w:rsidRPr="008A784B">
        <w:rPr>
          <w:color w:val="000000" w:themeColor="text1"/>
          <w:sz w:val="20"/>
          <w:szCs w:val="20"/>
          <w:highlight w:val="white"/>
        </w:rPr>
        <w:t xml:space="preserve"> </w:t>
      </w:r>
      <w:r w:rsidR="003B016A">
        <w:rPr>
          <w:color w:val="000000" w:themeColor="text1"/>
          <w:sz w:val="20"/>
          <w:szCs w:val="20"/>
          <w:highlight w:val="white"/>
        </w:rPr>
        <w:t>Mais conhecido por</w:t>
      </w:r>
      <w:r w:rsidRPr="008A784B">
        <w:rPr>
          <w:color w:val="000000" w:themeColor="text1"/>
          <w:sz w:val="20"/>
          <w:szCs w:val="20"/>
          <w:highlight w:val="white"/>
        </w:rPr>
        <w:t xml:space="preserve"> Projeto Dom Helder Câmara, em homenagem ao arcebispo emérito de O</w:t>
      </w:r>
      <w:r>
        <w:rPr>
          <w:color w:val="000000" w:themeColor="text1"/>
          <w:sz w:val="20"/>
          <w:szCs w:val="20"/>
          <w:highlight w:val="white"/>
        </w:rPr>
        <w:t>linda e Recife (1909-1999)</w:t>
      </w:r>
      <w:r w:rsidR="003B016A">
        <w:rPr>
          <w:color w:val="000000" w:themeColor="text1"/>
          <w:sz w:val="20"/>
          <w:szCs w:val="20"/>
          <w:highlight w:val="white"/>
        </w:rPr>
        <w:t>,</w:t>
      </w:r>
      <w:r>
        <w:rPr>
          <w:color w:val="000000" w:themeColor="text1"/>
          <w:sz w:val="20"/>
          <w:szCs w:val="20"/>
          <w:highlight w:val="white"/>
        </w:rPr>
        <w:t xml:space="preserve"> </w:t>
      </w:r>
      <w:r w:rsidR="003B016A">
        <w:rPr>
          <w:color w:val="000000" w:themeColor="text1"/>
          <w:sz w:val="20"/>
          <w:szCs w:val="20"/>
          <w:highlight w:val="white"/>
        </w:rPr>
        <w:t>a partir de</w:t>
      </w:r>
      <w:r w:rsidR="003B016A" w:rsidRPr="008A784B">
        <w:rPr>
          <w:color w:val="000000" w:themeColor="text1"/>
          <w:sz w:val="20"/>
          <w:szCs w:val="20"/>
          <w:highlight w:val="white"/>
        </w:rPr>
        <w:t xml:space="preserve"> 2003</w:t>
      </w:r>
      <w:r w:rsidR="003B016A">
        <w:rPr>
          <w:color w:val="000000" w:themeColor="text1"/>
          <w:sz w:val="20"/>
          <w:szCs w:val="20"/>
          <w:highlight w:val="white"/>
        </w:rPr>
        <w:t xml:space="preserve"> </w:t>
      </w:r>
      <w:r w:rsidRPr="008A784B">
        <w:rPr>
          <w:color w:val="000000" w:themeColor="text1"/>
          <w:sz w:val="20"/>
          <w:szCs w:val="20"/>
          <w:highlight w:val="white"/>
        </w:rPr>
        <w:t xml:space="preserve">passou a integrar as ações do MDA </w:t>
      </w:r>
      <w:r w:rsidR="003B016A">
        <w:rPr>
          <w:color w:val="000000" w:themeColor="text1"/>
          <w:sz w:val="20"/>
          <w:szCs w:val="20"/>
          <w:highlight w:val="white"/>
        </w:rPr>
        <w:t>e em 2023 adotou a territorialização das suas ações</w:t>
      </w:r>
      <w:r w:rsidR="003B016A">
        <w:rPr>
          <w:color w:val="000000" w:themeColor="text1"/>
          <w:sz w:val="20"/>
          <w:szCs w:val="20"/>
        </w:rPr>
        <w:t>, atuando em trinta territórios.</w:t>
      </w:r>
    </w:p>
  </w:footnote>
  <w:footnote w:id="5">
    <w:p w14:paraId="5D651CB5" w14:textId="77777777" w:rsidR="005D7EBD" w:rsidRPr="00512D8D" w:rsidRDefault="005D7EBD" w:rsidP="005D7EBD">
      <w:pPr>
        <w:pStyle w:val="Textodenotaderodap"/>
        <w:jc w:val="both"/>
        <w:rPr>
          <w:rFonts w:ascii="Trebuchet MS" w:hAnsi="Trebuchet MS" w:cs="Arial"/>
        </w:rPr>
      </w:pPr>
      <w:r w:rsidRPr="00C11086">
        <w:rPr>
          <w:rStyle w:val="Refdenotaderodap"/>
          <w:rFonts w:eastAsiaTheme="majorEastAsia"/>
        </w:rPr>
        <w:footnoteRef/>
      </w:r>
      <w:r w:rsidRPr="00C11086">
        <w:t xml:space="preserve"> </w:t>
      </w:r>
      <w:r w:rsidRPr="00512D8D">
        <w:rPr>
          <w:rFonts w:ascii="Trebuchet MS" w:hAnsi="Trebuchet MS" w:cs="Arial"/>
        </w:rPr>
        <w:t>A equipe do Laboratório de Estudos da Multifuncionalidade Agrícola e do Território (</w:t>
      </w:r>
      <w:proofErr w:type="spellStart"/>
      <w:r w:rsidRPr="00512D8D">
        <w:rPr>
          <w:rFonts w:ascii="Trebuchet MS" w:hAnsi="Trebuchet MS" w:cs="Arial"/>
        </w:rPr>
        <w:t>Lemate</w:t>
      </w:r>
      <w:proofErr w:type="spellEnd"/>
      <w:r w:rsidRPr="00512D8D">
        <w:rPr>
          <w:rFonts w:ascii="Trebuchet MS" w:hAnsi="Trebuchet MS" w:cs="Arial"/>
        </w:rPr>
        <w:t xml:space="preserve">/UFSC) </w:t>
      </w:r>
      <w:r>
        <w:rPr>
          <w:rFonts w:ascii="Trebuchet MS" w:hAnsi="Trebuchet MS" w:cs="Arial"/>
        </w:rPr>
        <w:t>pretende</w:t>
      </w:r>
      <w:r w:rsidRPr="00512D8D">
        <w:rPr>
          <w:rFonts w:ascii="Trebuchet MS" w:hAnsi="Trebuchet MS" w:cs="Arial"/>
        </w:rPr>
        <w:t xml:space="preserve"> adaptar o guia metodológico formulado por esses autores às situações dos territórios rurais brasileiros. Uma iniciativa piloto de curso </w:t>
      </w:r>
      <w:proofErr w:type="spellStart"/>
      <w:r w:rsidRPr="00512D8D">
        <w:rPr>
          <w:rFonts w:ascii="Trebuchet MS" w:hAnsi="Trebuchet MS" w:cs="Arial"/>
        </w:rPr>
        <w:t>EaD</w:t>
      </w:r>
      <w:proofErr w:type="spellEnd"/>
      <w:r w:rsidRPr="00512D8D">
        <w:rPr>
          <w:rFonts w:ascii="Trebuchet MS" w:hAnsi="Trebuchet MS" w:cs="Arial"/>
        </w:rPr>
        <w:t xml:space="preserve"> apresenta alguns elementos nessa direção e pode ser </w:t>
      </w:r>
      <w:proofErr w:type="spellStart"/>
      <w:r w:rsidRPr="00512D8D">
        <w:rPr>
          <w:rFonts w:ascii="Trebuchet MS" w:hAnsi="Trebuchet MS" w:cs="Arial"/>
        </w:rPr>
        <w:t>acessado</w:t>
      </w:r>
      <w:proofErr w:type="spellEnd"/>
      <w:r>
        <w:rPr>
          <w:rFonts w:ascii="Trebuchet MS" w:hAnsi="Trebuchet MS" w:cs="Arial"/>
        </w:rPr>
        <w:t xml:space="preserve"> de forma livre</w:t>
      </w:r>
      <w:r w:rsidRPr="00512D8D">
        <w:rPr>
          <w:rFonts w:ascii="Trebuchet MS" w:hAnsi="Trebuchet MS" w:cs="Arial"/>
        </w:rPr>
        <w:t>, com direito a certificado da UFSC. Outr</w:t>
      </w:r>
      <w:r>
        <w:rPr>
          <w:rFonts w:ascii="Trebuchet MS" w:hAnsi="Trebuchet MS" w:cs="Arial"/>
        </w:rPr>
        <w:t>a</w:t>
      </w:r>
      <w:r w:rsidRPr="00512D8D">
        <w:rPr>
          <w:rFonts w:ascii="Trebuchet MS" w:hAnsi="Trebuchet MS" w:cs="Arial"/>
        </w:rPr>
        <w:t xml:space="preserve"> </w:t>
      </w:r>
      <w:r>
        <w:rPr>
          <w:rFonts w:ascii="Trebuchet MS" w:hAnsi="Trebuchet MS" w:cs="Arial"/>
        </w:rPr>
        <w:t>atividade nessa direção</w:t>
      </w:r>
      <w:r w:rsidRPr="00512D8D">
        <w:rPr>
          <w:rFonts w:ascii="Trebuchet MS" w:hAnsi="Trebuchet MS" w:cs="Arial"/>
        </w:rPr>
        <w:t xml:space="preserve"> é a Escola de Verão e das Águas que, nas quatro edições já realizadas desde 2022, deu visibilidade a inúmeros territórios rurais criativos brasileiros. As sessões dessas quatro edições estão disponíveis no canal </w:t>
      </w:r>
      <w:proofErr w:type="spellStart"/>
      <w:r w:rsidRPr="00512D8D">
        <w:rPr>
          <w:rFonts w:ascii="Trebuchet MS" w:hAnsi="Trebuchet MS" w:cs="Arial"/>
        </w:rPr>
        <w:t>youtube</w:t>
      </w:r>
      <w:proofErr w:type="spellEnd"/>
      <w:r w:rsidRPr="00512D8D">
        <w:rPr>
          <w:rFonts w:ascii="Trebuchet MS" w:hAnsi="Trebuchet MS" w:cs="Arial"/>
        </w:rPr>
        <w:t xml:space="preserve"> do </w:t>
      </w:r>
      <w:proofErr w:type="spellStart"/>
      <w:r w:rsidRPr="00512D8D">
        <w:rPr>
          <w:rFonts w:ascii="Trebuchet MS" w:hAnsi="Trebuchet MS" w:cs="Arial"/>
        </w:rPr>
        <w:t>Lemate</w:t>
      </w:r>
      <w:proofErr w:type="spellEnd"/>
      <w:r w:rsidRPr="00512D8D">
        <w:rPr>
          <w:rFonts w:ascii="Trebuchet MS" w:hAnsi="Trebuchet MS" w:cs="Arial"/>
        </w:rPr>
        <w:t>/UFSC.</w:t>
      </w:r>
    </w:p>
  </w:footnote>
  <w:footnote w:id="6">
    <w:p w14:paraId="008D8CA7" w14:textId="77777777" w:rsidR="005D7EBD" w:rsidRPr="00555ACF" w:rsidRDefault="005D7EBD" w:rsidP="005D7EBD">
      <w:pPr>
        <w:pStyle w:val="Textodenotaderodap"/>
        <w:jc w:val="both"/>
        <w:rPr>
          <w:rFonts w:ascii="Arial" w:hAnsi="Arial" w:cs="Arial"/>
        </w:rPr>
      </w:pPr>
      <w:r w:rsidRPr="00555ACF">
        <w:rPr>
          <w:rStyle w:val="Refdenotaderodap"/>
          <w:rFonts w:ascii="Arial" w:eastAsiaTheme="majorEastAsia" w:hAnsi="Arial" w:cs="Arial"/>
        </w:rPr>
        <w:footnoteRef/>
      </w:r>
      <w:r w:rsidRPr="00555ACF">
        <w:rPr>
          <w:rFonts w:ascii="Arial" w:hAnsi="Arial" w:cs="Arial"/>
        </w:rPr>
        <w:t xml:space="preserve"> A principal diferença entre OCS e OPAC é que o primeiro se volta para agricultores familiares que comercializam de forma direta, prevalecendo a relação de confiança entre produtores e consumidores</w:t>
      </w:r>
      <w:r>
        <w:rPr>
          <w:rFonts w:ascii="Arial" w:hAnsi="Arial" w:cs="Arial"/>
        </w:rPr>
        <w:t>. Já o OPAC, a comercialização não se limita à venda direta e, para tanto, tem um sistema mais complexo de controle social.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216EFF"/>
    <w:rsid w:val="00240487"/>
    <w:rsid w:val="0027518C"/>
    <w:rsid w:val="00295FBE"/>
    <w:rsid w:val="002B2423"/>
    <w:rsid w:val="002B4BA2"/>
    <w:rsid w:val="0032757F"/>
    <w:rsid w:val="003B016A"/>
    <w:rsid w:val="004906DE"/>
    <w:rsid w:val="004F32C4"/>
    <w:rsid w:val="00507B98"/>
    <w:rsid w:val="0053021A"/>
    <w:rsid w:val="005C0782"/>
    <w:rsid w:val="005D7EBD"/>
    <w:rsid w:val="005E3A01"/>
    <w:rsid w:val="00634370"/>
    <w:rsid w:val="00643B91"/>
    <w:rsid w:val="00680A10"/>
    <w:rsid w:val="00692EEB"/>
    <w:rsid w:val="00733AFB"/>
    <w:rsid w:val="00757F24"/>
    <w:rsid w:val="0079765F"/>
    <w:rsid w:val="008A436C"/>
    <w:rsid w:val="008B1892"/>
    <w:rsid w:val="008E7A76"/>
    <w:rsid w:val="0090504B"/>
    <w:rsid w:val="00B61734"/>
    <w:rsid w:val="00B667E7"/>
    <w:rsid w:val="00B862A4"/>
    <w:rsid w:val="00BC3981"/>
    <w:rsid w:val="00C46FD9"/>
    <w:rsid w:val="00CC5F8D"/>
    <w:rsid w:val="00D0700C"/>
    <w:rsid w:val="00D31A9F"/>
    <w:rsid w:val="00D46408"/>
    <w:rsid w:val="00D84787"/>
    <w:rsid w:val="00F31D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unhideWhenUsed/>
    <w:rsid w:val="00216EFF"/>
    <w:rPr>
      <w:vertAlign w:val="superscript"/>
    </w:rPr>
  </w:style>
  <w:style w:type="character" w:styleId="Hyperlink">
    <w:name w:val="Hyperlink"/>
    <w:basedOn w:val="Fontepargpadro"/>
    <w:uiPriority w:val="99"/>
    <w:unhideWhenUsed/>
    <w:rsid w:val="0090504B"/>
    <w:rPr>
      <w:color w:val="467886" w:themeColor="hyperlink"/>
      <w:u w:val="single"/>
    </w:rPr>
  </w:style>
  <w:style w:type="character" w:styleId="MenoPendente">
    <w:name w:val="Unresolved Mention"/>
    <w:basedOn w:val="Fontepargpadro"/>
    <w:uiPriority w:val="99"/>
    <w:semiHidden/>
    <w:unhideWhenUsed/>
    <w:rsid w:val="00905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aacazella@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15</Pages>
  <Words>4412</Words>
  <Characters>23831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AAC</cp:lastModifiedBy>
  <cp:revision>5</cp:revision>
  <dcterms:created xsi:type="dcterms:W3CDTF">2025-02-20T16:32:00Z</dcterms:created>
  <dcterms:modified xsi:type="dcterms:W3CDTF">2025-05-12T12:35:00Z</dcterms:modified>
</cp:coreProperties>
</file>