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F21A3" w14:textId="77777777" w:rsidR="00632928" w:rsidRPr="004279AE" w:rsidRDefault="00632928" w:rsidP="004279AE">
      <w:pPr>
        <w:pStyle w:val="NormalWeb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</w:rPr>
      </w:pPr>
    </w:p>
    <w:p w14:paraId="5AD6300D" w14:textId="451874F0" w:rsidR="001C165A" w:rsidRDefault="001C165A" w:rsidP="001C16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C1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O (DES)CUMPRIMENTO DOS INFORMES DE MÉRITO DA COMISSÃO INTERAMERICANA DE DIREITOS HUMANOS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NA IMPLEMENTAÇÃO</w:t>
      </w:r>
      <w:r w:rsidRPr="001C16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POLÍTICAS PÚBLICAS NO BRASIL</w:t>
      </w:r>
    </w:p>
    <w:p w14:paraId="6364CF6F" w14:textId="77777777" w:rsidR="000507BC" w:rsidRPr="001C165A" w:rsidRDefault="000507BC" w:rsidP="001C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D64390" w14:textId="77777777" w:rsidR="00632928" w:rsidRPr="004279AE" w:rsidRDefault="00632928" w:rsidP="004279AE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6EADC4D" w14:textId="3DF3DB60" w:rsidR="00632928" w:rsidRPr="004279AE" w:rsidRDefault="00632928" w:rsidP="001C165A">
      <w:pPr>
        <w:pStyle w:val="NormalWeb"/>
        <w:spacing w:before="0" w:beforeAutospacing="0" w:after="0" w:afterAutospacing="0" w:line="360" w:lineRule="auto"/>
        <w:jc w:val="both"/>
      </w:pPr>
      <w:r w:rsidRPr="004279AE">
        <w:rPr>
          <w:b/>
          <w:bCs/>
          <w:color w:val="000000"/>
        </w:rPr>
        <w:t xml:space="preserve">PALAVRAS-CHAVES: </w:t>
      </w:r>
      <w:r w:rsidR="000507BC">
        <w:t>Comissão Interamericana de Direitos Humanos, Políticas Públicas, Brasil.</w:t>
      </w:r>
    </w:p>
    <w:p w14:paraId="5B1272E0" w14:textId="77777777" w:rsidR="00632928" w:rsidRPr="004279AE" w:rsidRDefault="00632928" w:rsidP="004279AE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E71A1E0" w14:textId="3911FE62" w:rsidR="004279AE" w:rsidRPr="004279AE" w:rsidRDefault="004279AE" w:rsidP="004279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das conquistas alcançadas com a transição </w:t>
      </w:r>
      <w:r w:rsidR="00AD7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democrática e com a aprovação da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nova Constituição da República Federativa do Brasil, em 1988, foi a incorporação paulatina do Estado Brasileiro em uma agenda internacional de proteção aos direitos humanos (RAMOS, 2020). Desse modo, o Brasil ratificou e aderiu tratados, tanto a nível universal da Organização das Nações Unidas (ONU), quanto a nív</w:t>
      </w:r>
      <w:r w:rsidR="00EB48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 regional da Organização dos E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stados Americanos (OEA). Especificamente em relação ao Sistema Interamericano de Direitos Humanos (SIDH), o Estado Brasileiro ratificou a Convenção Americana de Direitos Humanos (CADH), em 1992, e reconheceu a competência contenciosa da Corte Interamericana de Direitos Humanos (Corte IDH), em 1998. </w:t>
      </w:r>
    </w:p>
    <w:p w14:paraId="585BE777" w14:textId="5889FAA6" w:rsidR="004279AE" w:rsidRPr="004279AE" w:rsidRDefault="004279AE" w:rsidP="004279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Comissão Interamericana de Direitos Humanos (CIDH) e a Corte IDH são os órgãos do SIDH responsáveis por monitorar e implementar os direitos enunciados na CADH. A CIDH, cuja principal função é promover a observância e a salvaguarda dos direitos humanos nas Américas, representa a totalidade dos países membros da OEA, formando um sistema dual de proteção, no qual se aplica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Declaração Americana dos Direitos e D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everes do Homem ou a CADH, conforme o caso (QUIROGA; ROJAS, 2007). Já a Corte IDH detém dupla competência: contenciosa, para aqueles Estados Partes que aceitaram as funções de natureza jurisdicional, julgando as controvérsias sobre a aplicação e interpretação da CADH; e consultiva, interpretando os dispositivos da CADH e de outros tratados (LEDESMA, 2004).</w:t>
      </w:r>
    </w:p>
    <w:p w14:paraId="35604CF7" w14:textId="660BF737" w:rsidR="004C5769" w:rsidRPr="004279AE" w:rsidRDefault="004279AE" w:rsidP="004C5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Ocorre que, apesar das contribuições dos órgãos do SIDH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modulação das condutas dos Estados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 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promoção de </w:t>
      </w:r>
      <w:proofErr w:type="spellStart"/>
      <w:r w:rsidRPr="00427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estándares</w:t>
      </w:r>
      <w:proofErr w:type="spellEnd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proteção aos direitos humanos, a efetividade das decisões da CIDH e da Corte IDH ainda é um grande desafio. Embora o Brasil tenha ratificado a CADH e aceitado a competência contenciosa da Corte IDH como compromisso em </w:t>
      </w:r>
      <w:r w:rsidR="003D35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promover e proteger os direitos humanos dos indivíduos sob sua jurisdição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ainda enfrenta o problema de </w:t>
      </w:r>
      <w:proofErr w:type="spellStart"/>
      <w:r w:rsidRPr="004279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compliance</w:t>
      </w:r>
      <w:proofErr w:type="spellEnd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 controle de convencionalidade com os 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regulamentos externos. </w:t>
      </w:r>
      <w:proofErr w:type="spellStart"/>
      <w:r w:rsidRPr="004279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Compliance</w:t>
      </w:r>
      <w:proofErr w:type="spellEnd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Taylor e </w:t>
      </w:r>
      <w:proofErr w:type="spellStart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Kapiszewski</w:t>
      </w:r>
      <w:proofErr w:type="spellEnd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é entendida como a plena execução</w:t>
      </w:r>
      <w:r w:rsidR="003D35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ação em uma ou mais decisão judicial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É importante pensar que a </w:t>
      </w:r>
      <w:proofErr w:type="spellStart"/>
      <w:r w:rsidRPr="004279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compliance</w:t>
      </w:r>
      <w:proofErr w:type="spellEnd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a falta dela - reversão e retaliação - representam reações dis</w:t>
      </w:r>
      <w:r w:rsidR="00AD7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tintas para uma decisão jurídica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diferentes implicações para a independência e </w:t>
      </w:r>
      <w:proofErr w:type="spellStart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emponderamento</w:t>
      </w:r>
      <w:proofErr w:type="spellEnd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judicial, e, portanto, para o Estado de Direito e a democracia (TAYLOR; KAPISZEWSKI, 2003).</w:t>
      </w:r>
      <w:r w:rsidR="004C57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Neste contexto, a presente pesquisa busca abordar</w:t>
      </w:r>
      <w:r w:rsidR="004C5769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questões relativas à resistência da comunidade jurídica</w:t>
      </w:r>
      <w:r w:rsidR="004C57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legislativa e executiva</w:t>
      </w:r>
      <w:r w:rsidR="004C5769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incorporar </w:t>
      </w:r>
      <w:r w:rsidR="003D35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decisões do SIDH</w:t>
      </w:r>
      <w:r w:rsidR="004C5769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sua rotina, bem como questões atinentes à efetividade das decisões dos organismos internacionais.</w:t>
      </w:r>
      <w:r w:rsidR="004C57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34B6C651" w14:textId="4FD53C94" w:rsidR="000507BC" w:rsidRDefault="001C165A" w:rsidP="000507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4279AE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objetivo geral deste trabalho é verificar o grau de cumprimento das medidas recomendadas ao Estado Brasileiro nos informes de mérito da CIDH, em matéria de políticas públicas.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Desse modo, importa diferenciar duas etapas importantes no trâmite da </w:t>
      </w:r>
      <w:r w:rsidR="004A46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CIDH. A primeira delas diz respeito ao “Primeiro Informe” ou “Relatório 50”, em razão de sua previsão no artigo 50 da CADH. Nesse momento, a CIDH delibera sobre a constatação de violação de direitos humanos e encaminha um primeiro relatório com recomendações ao Estado, de forma confidencial</w:t>
      </w:r>
      <w:r w:rsid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4A46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segundo momento é inaugurado na ausência de ação judicial perante a Corte IDH, denominado “Segundo Informe”, decorrente do artigo 51 da CADH. </w:t>
      </w:r>
      <w:r w:rsid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fase é pú</w:t>
      </w:r>
      <w:r w:rsidR="00EB48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blica, com as recomendações ao E</w:t>
      </w:r>
      <w:r w:rsid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violador</w:t>
      </w:r>
      <w:r w:rsidR="00EB48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cessar as violações e promover os atos necessários para evita-las, bem como a previsão do</w:t>
      </w:r>
      <w:r w:rsid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prazo para cumpri-las (RAMOS, 2020). </w:t>
      </w:r>
      <w:r w:rsidR="004A46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</w:p>
    <w:p w14:paraId="5CAD0BA9" w14:textId="05013057" w:rsidR="00EB48EF" w:rsidRPr="00E24457" w:rsidRDefault="000507BC" w:rsidP="00E2445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universo de es</w:t>
      </w:r>
      <w:r w:rsidR="00AD7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tudo é</w:t>
      </w:r>
      <w:r w:rsidR="00E244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composto pelos 12 informes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mérito da CIDH (Segundo Informe) pendentes</w:t>
      </w:r>
      <w:r w:rsidRP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contra o Brasil e disponíveis na plataforma SIMORE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Interamericano</w:t>
      </w:r>
      <w:r w:rsidRP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ferramenta que sistematiza as recomendações feitas pela CIDH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lançado em 2020</w:t>
      </w:r>
      <w:r w:rsidRP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Desse modo a metodologia consistirá na exploração do banco de dados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análise qualitativa através do </w:t>
      </w:r>
      <w:r w:rsidRPr="000507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software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NVivo</w:t>
      </w:r>
      <w:proofErr w:type="spellEnd"/>
      <w:r w:rsidRP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 técnica de pesquisa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utilizada</w:t>
      </w:r>
      <w:r w:rsidRP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será a revisão bibliográfica e documental per</w:t>
      </w:r>
      <w:r w:rsidR="00AD7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tinente ao objeto do estudo, assim</w:t>
      </w:r>
      <w:r w:rsidRP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a pesquisa jurisprudencial e doutrinária referentes ao tema.</w:t>
      </w:r>
      <w:r w:rsidR="00EB4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4279AE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objetivos específicos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presente pesquisa</w:t>
      </w:r>
      <w:r w:rsidR="004279AE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são: examin</w:t>
      </w:r>
      <w:r w:rsidR="001C16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 os 12 relatórios de mérito pendentes na</w:t>
      </w:r>
      <w:r w:rsidR="004279AE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CIDH em relação ao Brasil atualmente</w:t>
      </w:r>
      <w:r w:rsidR="00E244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(Informes Nº 54/04; 55/01; 23/02; 40/03; 32/04; 33/04; 66/06; 35/08; 25/09; 26/09; 37/10; e 07/16)</w:t>
      </w:r>
      <w:r w:rsidR="004279AE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analisar o grau de cumprimento das recomendações, especificamente em matéria de políticas públicas; examinar a relevância das recomendações da CIDH para a formulação de políticas públicas no Brasil; e investigar as razões para o não cumprimento integral das medidas.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32ADC58" w14:textId="5CDCF696" w:rsidR="004C5769" w:rsidRPr="00EB48EF" w:rsidRDefault="004279AE" w:rsidP="00EB48E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relevância da pesquisa repousa no fato que o cumprimento das decisões e recomendações proferidas pelos órgãos do SIDH contribui para a realização da justiça para as 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vítimas de violações de direitos humanos</w:t>
      </w:r>
      <w:r w:rsidR="00E244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(MADEIRA, 2016)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CIDH</w:t>
      </w:r>
      <w:r w:rsidR="00AD7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enquanto 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órgão responsável por fazer uma série de recomendações aos Estados denunciados com o objetivo de cessar as violaç</w:t>
      </w:r>
      <w:r w:rsidR="00AD7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ões e reparar os danos gerados, possui como uma de suas atribuições ditar medidas que correspondem à criação e implementação de políticas públicas. As políticas públicas são consideradas medidas de não repetição ou estruturais, pois além </w:t>
      </w:r>
      <w:r w:rsidR="00AD75BB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reparação do caso concreto, servem </w:t>
      </w:r>
      <w:r w:rsidR="00EB48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impedir futuras violações</w:t>
      </w:r>
      <w:r w:rsidR="00AD7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implementadas</w:t>
      </w:r>
      <w:r w:rsidR="00EB48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0507BC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Ademais, a</w:t>
      </w:r>
      <w:r w:rsidR="00AD7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pesquisa mostra-se relevante na medida em que a</w:t>
      </w:r>
      <w:r w:rsidR="000507BC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maioria das investigações sobre o cumprimento de decisões do SIDH se voltam para a análise da execução das sentenças proferidas pel</w:t>
      </w:r>
      <w:r w:rsidR="000507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Corte IDH</w:t>
      </w:r>
      <w:r w:rsidR="000507BC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F664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modo que não há</w:t>
      </w:r>
      <w:r w:rsidR="000507BC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tanta produção direcionada à verificação do cumprimento das recomendações dos informes de mérito da CIDH. </w:t>
      </w:r>
    </w:p>
    <w:p w14:paraId="282BF9D1" w14:textId="4DB077E8" w:rsidR="000507BC" w:rsidRPr="004279AE" w:rsidRDefault="000507BC" w:rsidP="004C576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Desse modo, há um </w:t>
      </w:r>
      <w:r w:rsidRPr="004279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plus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importância,</w:t>
      </w:r>
      <w:r w:rsidR="004C57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considerando que o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cumprimento das recomendações </w:t>
      </w:r>
      <w:r w:rsidR="00EB48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proferidas pela CIDH</w:t>
      </w:r>
      <w:r w:rsidR="004C57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 levar o caso à apreciação da Corte IDH, com a consequente responsabilidade internacional</w:t>
      </w:r>
      <w:r w:rsidR="00EB48E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Estado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que enseja diversas indagações como objeto deste estudo: a CIDH pode sugerir mudanças legislativas e adoção de políticas públicas no direito interno? Qual é a força vinculante das recomendações da CIDH em matéria de políticas públicas? Qual atitude o Brasil deve tomar em relação às medidas ditadas? Quais são as consequências do não cumprimento? Quais impactos as vítimas sofrem com o descumprimento das recomendações?</w:t>
      </w:r>
    </w:p>
    <w:p w14:paraId="5D975727" w14:textId="23ECB9E7" w:rsidR="00E24457" w:rsidRDefault="00E24457" w:rsidP="000507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relação a força vinculante dos Informes da CIDH, a Corte IDH já superou o entendimento inicial de que o termo “recomendação” implicaria em mera censura moral sem força vinculativa (RAMOS, 2019). No julgado </w:t>
      </w:r>
      <w:proofErr w:type="spellStart"/>
      <w:r w:rsidRPr="003073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Loayza</w:t>
      </w:r>
      <w:proofErr w:type="spellEnd"/>
      <w:r w:rsidRPr="003073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3073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Tamayo</w:t>
      </w:r>
      <w:proofErr w:type="spellEnd"/>
      <w:r w:rsidRPr="003073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Vs.  Peru (1997)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CF1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Corte IDH diferenciou o Primeiro e Segundo Informes e </w:t>
      </w:r>
      <w:r w:rsidR="003073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consignou que o Primeiro Informe</w:t>
      </w:r>
      <w:r w:rsidR="00CF1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não é vinculante, uma vez que não é definitivo; contudo, se um caso não é apresentando perante à Corte IDH e edita-se o Segundo Informe, esse deve ser cumprido em respeito ao princípio da boa-fé e em </w:t>
      </w:r>
      <w:r w:rsidR="003073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observância</w:t>
      </w:r>
      <w:r w:rsidR="00F664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</w:t>
      </w:r>
      <w:r w:rsidR="003073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F1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compromissos assumidos com a ratificação da CADH.</w:t>
      </w:r>
    </w:p>
    <w:p w14:paraId="17CBC536" w14:textId="332092EB" w:rsidR="003D355E" w:rsidRDefault="003073E6" w:rsidP="000507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3D35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omo resultado preliminar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pesquisa ainda em desenvolvimento </w:t>
      </w:r>
      <w:r w:rsidR="00737A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possível apontar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foram identificadas 28 medidas sobre a implementação de políticas públicas nos</w:t>
      </w:r>
      <w:r w:rsidR="00737A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12 informes analisados. Destas</w:t>
      </w:r>
      <w:r w:rsidR="001E04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737A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14 apresentam cumprimento parcial; 9 cumprimento pendente; 3 cumprimento parcial substancial</w:t>
      </w:r>
      <w:r w:rsidR="001E04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737A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apenas 2 o cumprimento total. </w:t>
      </w:r>
      <w:r w:rsidR="001E04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Pretende-se, a partir de então, analisar o cumprimento ou inércia do Brasil na implementação de políticas públicas ditadas pela CIDH partindo dos seguintes eixos de análise: fatores jurídicos (recepção das recomendações no sistema brasileiro); fatores institucionais (a estrutura intergovernamental); </w:t>
      </w:r>
      <w:r w:rsidR="001E04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fatores organizacionais (orçamento, cultura das burocracias </w:t>
      </w:r>
      <w:r w:rsidR="001E0487"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encarregadas de implementar ordens jurídicas internacionais</w:t>
      </w:r>
      <w:r w:rsidR="001E04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); fatores temáticos (relacionados ao tema e público alvo d</w:t>
      </w:r>
      <w:r w:rsidR="00186F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política); e fatores externos (</w:t>
      </w:r>
      <w:r w:rsidR="00186FB7">
        <w:rPr>
          <w:rFonts w:ascii="Times New Roman" w:eastAsia="Times New Roman" w:hAnsi="Times New Roman" w:cs="Times New Roman"/>
          <w:sz w:val="24"/>
          <w:szCs w:val="24"/>
          <w:lang w:eastAsia="pt-BR"/>
        </w:rPr>
        <w:t>ANZOLA</w:t>
      </w:r>
      <w:r w:rsidR="00186FB7" w:rsidRPr="00186FB7">
        <w:rPr>
          <w:rFonts w:ascii="Times New Roman" w:eastAsia="Times New Roman" w:hAnsi="Times New Roman" w:cs="Times New Roman"/>
          <w:sz w:val="24"/>
          <w:szCs w:val="24"/>
          <w:lang w:eastAsia="pt-BR"/>
        </w:rPr>
        <w:t>; SÁNCHE</w:t>
      </w:r>
      <w:r w:rsidR="00186FB7">
        <w:rPr>
          <w:rFonts w:ascii="Times New Roman" w:eastAsia="Times New Roman" w:hAnsi="Times New Roman" w:cs="Times New Roman"/>
          <w:sz w:val="24"/>
          <w:szCs w:val="24"/>
          <w:lang w:eastAsia="pt-BR"/>
        </w:rPr>
        <w:t>Z</w:t>
      </w:r>
      <w:r w:rsidR="00186FB7" w:rsidRPr="00186FB7">
        <w:rPr>
          <w:rFonts w:ascii="Times New Roman" w:eastAsia="Times New Roman" w:hAnsi="Times New Roman" w:cs="Times New Roman"/>
          <w:sz w:val="24"/>
          <w:szCs w:val="24"/>
          <w:lang w:eastAsia="pt-BR"/>
        </w:rPr>
        <w:t>; UREÑA</w:t>
      </w:r>
      <w:r w:rsidR="00186FB7">
        <w:rPr>
          <w:rFonts w:ascii="Times New Roman" w:eastAsia="Times New Roman" w:hAnsi="Times New Roman" w:cs="Times New Roman"/>
          <w:sz w:val="24"/>
          <w:szCs w:val="24"/>
          <w:lang w:eastAsia="pt-BR"/>
        </w:rPr>
        <w:t>, 2014).</w:t>
      </w:r>
    </w:p>
    <w:p w14:paraId="3AF9CD9D" w14:textId="77777777" w:rsidR="000507BC" w:rsidRPr="004279AE" w:rsidRDefault="000507BC" w:rsidP="004279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29AE9" w14:textId="4081CBAD" w:rsidR="004279AE" w:rsidRPr="004279AE" w:rsidRDefault="004279AE" w:rsidP="004279A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32048A1" w14:textId="3080AE32" w:rsidR="004279AE" w:rsidRDefault="009C3684" w:rsidP="00186F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C36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Referências:</w:t>
      </w:r>
    </w:p>
    <w:p w14:paraId="44B99984" w14:textId="77777777" w:rsidR="00186FB7" w:rsidRDefault="00186FB7" w:rsidP="00186F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6C65415" w14:textId="049E93D8" w:rsidR="00186FB7" w:rsidRPr="00F40FA5" w:rsidRDefault="00186FB7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pt-BR"/>
        </w:rPr>
      </w:pPr>
      <w:r w:rsidRPr="00186FB7">
        <w:rPr>
          <w:rFonts w:ascii="Times New Roman" w:eastAsia="Times New Roman" w:hAnsi="Times New Roman" w:cs="Times New Roman"/>
          <w:sz w:val="24"/>
          <w:szCs w:val="24"/>
          <w:lang w:eastAsia="pt-BR"/>
        </w:rPr>
        <w:t>ANZOLA, Sergio; SÁNCHE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</w:t>
      </w:r>
      <w:r w:rsidRPr="00186F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Beatriz Eugenia; UREÑA, Rene. </w:t>
      </w:r>
      <w:r w:rsidRPr="00F40FA5">
        <w:rPr>
          <w:rFonts w:ascii="Times New Roman" w:eastAsia="Times New Roman" w:hAnsi="Times New Roman" w:cs="Times New Roman"/>
          <w:sz w:val="24"/>
          <w:szCs w:val="24"/>
          <w:lang w:val="es-AR" w:eastAsia="pt-BR"/>
        </w:rPr>
        <w:t xml:space="preserve">Después del fallo: el cumplimiento de las decisiones del sistema interamericano de derechos humanos. Una propuesta de metodología. In: BURGOGUE-LARSEN, Laurence; MAUÉS, Antonio; SÁNCHEZ, Beatriz Eugenia. </w:t>
      </w:r>
      <w:r w:rsidRPr="00F40FA5">
        <w:rPr>
          <w:rFonts w:ascii="Times New Roman" w:eastAsia="Times New Roman" w:hAnsi="Times New Roman" w:cs="Times New Roman"/>
          <w:b/>
          <w:sz w:val="24"/>
          <w:szCs w:val="24"/>
          <w:lang w:val="es-AR" w:eastAsia="pt-BR"/>
        </w:rPr>
        <w:t>Derechos Humanos y Políticas Públicas</w:t>
      </w:r>
      <w:r w:rsidRPr="00F40FA5">
        <w:rPr>
          <w:rFonts w:ascii="Times New Roman" w:eastAsia="Times New Roman" w:hAnsi="Times New Roman" w:cs="Times New Roman"/>
          <w:sz w:val="24"/>
          <w:szCs w:val="24"/>
          <w:lang w:val="es-AR" w:eastAsia="pt-BR"/>
        </w:rPr>
        <w:t>. Red de Derechos Humanos y Educación Superior, 2014.</w:t>
      </w:r>
    </w:p>
    <w:p w14:paraId="03B106AF" w14:textId="77777777" w:rsidR="00186FB7" w:rsidRPr="00F40FA5" w:rsidRDefault="00186FB7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 w:eastAsia="pt-BR"/>
        </w:rPr>
      </w:pPr>
    </w:p>
    <w:p w14:paraId="34B00F78" w14:textId="1702E0AD" w:rsidR="00FF6C9F" w:rsidRDefault="00FF6C9F" w:rsidP="00186FB7">
      <w:pPr>
        <w:pStyle w:val="NormalWeb"/>
        <w:spacing w:before="0" w:beforeAutospacing="0" w:after="0" w:afterAutospacing="0" w:line="360" w:lineRule="auto"/>
        <w:jc w:val="both"/>
      </w:pPr>
      <w:r>
        <w:rPr>
          <w:color w:val="000000"/>
        </w:rPr>
        <w:t>CORTE IDH, Corte Interamericana de Direitos Humanos.</w:t>
      </w:r>
      <w:r w:rsidRPr="00186FB7">
        <w:rPr>
          <w:b/>
          <w:color w:val="000000"/>
        </w:rPr>
        <w:t xml:space="preserve"> </w:t>
      </w:r>
      <w:proofErr w:type="spellStart"/>
      <w:r w:rsidRPr="00186FB7">
        <w:rPr>
          <w:b/>
          <w:color w:val="000000"/>
        </w:rPr>
        <w:t>Loayza</w:t>
      </w:r>
      <w:proofErr w:type="spellEnd"/>
      <w:r w:rsidRPr="00186FB7">
        <w:rPr>
          <w:b/>
          <w:color w:val="000000"/>
        </w:rPr>
        <w:t xml:space="preserve"> </w:t>
      </w:r>
      <w:proofErr w:type="spellStart"/>
      <w:r w:rsidRPr="00186FB7">
        <w:rPr>
          <w:b/>
          <w:color w:val="000000"/>
        </w:rPr>
        <w:t>Tamayo</w:t>
      </w:r>
      <w:proofErr w:type="spellEnd"/>
      <w:r w:rsidRPr="00186FB7">
        <w:rPr>
          <w:b/>
          <w:color w:val="000000"/>
        </w:rPr>
        <w:t xml:space="preserve"> Vs.  Peru</w:t>
      </w:r>
      <w:r w:rsidRPr="00186FB7">
        <w:rPr>
          <w:b/>
          <w:bCs/>
          <w:color w:val="000000"/>
        </w:rPr>
        <w:t xml:space="preserve">. </w:t>
      </w:r>
      <w:r w:rsidR="00186FB7">
        <w:rPr>
          <w:color w:val="000000"/>
        </w:rPr>
        <w:t>Sentença de 17 de setembro de 1997</w:t>
      </w:r>
      <w:r>
        <w:rPr>
          <w:color w:val="000000"/>
        </w:rPr>
        <w:t xml:space="preserve">. Disponível em: </w:t>
      </w:r>
      <w:r w:rsidR="00186FB7" w:rsidRPr="00186FB7">
        <w:t>https://www.corteidh.or.cr/docs/casos/articulos/seriec_33_esp.pdf</w:t>
      </w:r>
      <w:r w:rsidR="00186FB7">
        <w:t>.</w:t>
      </w:r>
      <w:r w:rsidR="00186FB7">
        <w:rPr>
          <w:color w:val="000000"/>
        </w:rPr>
        <w:t xml:space="preserve"> Acesso em: 15</w:t>
      </w:r>
      <w:r>
        <w:rPr>
          <w:color w:val="000000"/>
        </w:rPr>
        <w:t xml:space="preserve"> nov. 2020.</w:t>
      </w:r>
    </w:p>
    <w:p w14:paraId="58F09B50" w14:textId="77777777" w:rsidR="00FF6C9F" w:rsidRPr="00FF6C9F" w:rsidRDefault="00FF6C9F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DAAAD6" w14:textId="64720305" w:rsidR="00FF6C9F" w:rsidRPr="00FF6C9F" w:rsidRDefault="00FF6C9F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FA5">
        <w:rPr>
          <w:rFonts w:ascii="Times New Roman" w:eastAsia="Times New Roman" w:hAnsi="Times New Roman" w:cs="Times New Roman"/>
          <w:sz w:val="24"/>
          <w:szCs w:val="24"/>
          <w:lang w:val="es-AR" w:eastAsia="pt-BR"/>
        </w:rPr>
        <w:t xml:space="preserve">LEDESMA, Hector Faúndez. </w:t>
      </w:r>
      <w:r w:rsidRPr="00F40FA5">
        <w:rPr>
          <w:rFonts w:ascii="Times New Roman" w:eastAsia="Times New Roman" w:hAnsi="Times New Roman" w:cs="Times New Roman"/>
          <w:b/>
          <w:sz w:val="24"/>
          <w:szCs w:val="24"/>
          <w:lang w:val="es-AR" w:eastAsia="pt-BR"/>
        </w:rPr>
        <w:t>El Sistema Interamericano de Protección de los Derechos Humanos: aspectos institucionales y procesales</w:t>
      </w:r>
      <w:r w:rsidRPr="00F40FA5">
        <w:rPr>
          <w:rFonts w:ascii="Times New Roman" w:eastAsia="Times New Roman" w:hAnsi="Times New Roman" w:cs="Times New Roman"/>
          <w:sz w:val="24"/>
          <w:szCs w:val="24"/>
          <w:lang w:val="es-AR" w:eastAsia="pt-BR"/>
        </w:rPr>
        <w:t xml:space="preserve">. </w:t>
      </w:r>
      <w:r w:rsidRPr="00FF6C9F">
        <w:rPr>
          <w:rFonts w:ascii="Times New Roman" w:eastAsia="Times New Roman" w:hAnsi="Times New Roman" w:cs="Times New Roman"/>
          <w:sz w:val="24"/>
          <w:szCs w:val="24"/>
          <w:lang w:eastAsia="pt-BR"/>
        </w:rPr>
        <w:t>San José: Instituto Interameric</w:t>
      </w:r>
      <w:r w:rsidR="00186FB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FF6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de </w:t>
      </w:r>
      <w:proofErr w:type="spellStart"/>
      <w:r w:rsidRPr="00FF6C9F">
        <w:rPr>
          <w:rFonts w:ascii="Times New Roman" w:eastAsia="Times New Roman" w:hAnsi="Times New Roman" w:cs="Times New Roman"/>
          <w:sz w:val="24"/>
          <w:szCs w:val="24"/>
          <w:lang w:eastAsia="pt-BR"/>
        </w:rPr>
        <w:t>Derechos</w:t>
      </w:r>
      <w:proofErr w:type="spellEnd"/>
      <w:r w:rsidRPr="00FF6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Humanos, 2004.</w:t>
      </w:r>
    </w:p>
    <w:p w14:paraId="163A3CEF" w14:textId="77777777" w:rsidR="00FF6C9F" w:rsidRPr="00FF6C9F" w:rsidRDefault="00FF6C9F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9FE8AA" w14:textId="77777777" w:rsidR="00FF6C9F" w:rsidRDefault="00FF6C9F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F6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MADEIRA, Lígia Mori. </w:t>
      </w:r>
      <w:proofErr w:type="spellStart"/>
      <w:r w:rsidRPr="00FF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Compliance</w:t>
      </w:r>
      <w:proofErr w:type="spellEnd"/>
      <w:r w:rsidRPr="00FF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: a (rara) aplicação de instrumentos internacionais de proteção a direitos humanos pelos tribunais intermediários no Brasil. </w:t>
      </w:r>
      <w:r w:rsidRPr="00FF6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Revista Brasileira de Ciência Política, n. 21. Brasília, set./dez, 2016, p. 45-76.</w:t>
      </w:r>
    </w:p>
    <w:p w14:paraId="2A67186D" w14:textId="77777777" w:rsidR="00FF6C9F" w:rsidRPr="00FF6C9F" w:rsidRDefault="00FF6C9F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1772CE75" w14:textId="33B91C19" w:rsidR="00FF6C9F" w:rsidRPr="00FF6C9F" w:rsidRDefault="00FF6C9F" w:rsidP="00186F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RAMOS, André de Carvalho. </w:t>
      </w:r>
      <w:r w:rsidRPr="00FF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Curso de direitos </w:t>
      </w:r>
      <w:r w:rsidR="00186FB7" w:rsidRPr="00FF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humanos</w:t>
      </w:r>
      <w:r w:rsidR="00186FB7" w:rsidRPr="00FF6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F6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São Paulo: Saraiva, 2020.</w:t>
      </w:r>
    </w:p>
    <w:p w14:paraId="243073CA" w14:textId="77777777" w:rsidR="00FF6C9F" w:rsidRPr="00FF6C9F" w:rsidRDefault="00FF6C9F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D6D0CA" w14:textId="6D2522EC" w:rsidR="00FF6C9F" w:rsidRPr="00F40FA5" w:rsidRDefault="00FF6C9F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F6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RAMOS, André de Carvalho.</w:t>
      </w:r>
      <w:r w:rsidRPr="00FF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Processo internacional de direitos humanos.</w:t>
      </w:r>
      <w:r w:rsidRPr="00FF6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4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 xml:space="preserve">São Paulo: </w:t>
      </w:r>
      <w:r w:rsidR="00186FB7" w:rsidRPr="00F4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>Saraiva, 2019</w:t>
      </w:r>
      <w:r w:rsidRPr="00F4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>.</w:t>
      </w:r>
    </w:p>
    <w:p w14:paraId="75633C45" w14:textId="77777777" w:rsidR="00AD75BB" w:rsidRPr="00F40FA5" w:rsidRDefault="00AD75BB" w:rsidP="00AD75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F40F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KAPISZEWSKI, Diana; TAYLOR, Matthew M. Compliance: Conceptualizing, Measuring,</w:t>
      </w:r>
    </w:p>
    <w:p w14:paraId="560A403A" w14:textId="7B0C2A89" w:rsidR="00AD75BB" w:rsidRPr="00F40FA5" w:rsidRDefault="00AD75BB" w:rsidP="00AD75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F40F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and Explaining Adherence to Judicial Rulings. </w:t>
      </w:r>
      <w:r w:rsidRPr="00F40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t-BR"/>
        </w:rPr>
        <w:t>Law and Social Inquiry</w:t>
      </w:r>
      <w:r w:rsidRPr="00F40F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v. 38, 4, 2013.</w:t>
      </w:r>
    </w:p>
    <w:p w14:paraId="1CC8B332" w14:textId="77777777" w:rsidR="00AD75BB" w:rsidRPr="00F40FA5" w:rsidRDefault="00AD75BB" w:rsidP="00AD75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388F49D1" w14:textId="77777777" w:rsidR="004279AE" w:rsidRDefault="004279AE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4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s-AR" w:eastAsia="pt-BR"/>
        </w:rPr>
        <w:lastRenderedPageBreak/>
        <w:t xml:space="preserve">QUIROGA, Cecilia Medina; ROJAS, Claudio Nash. </w:t>
      </w:r>
      <w:r w:rsidRPr="00F4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AR" w:eastAsia="pt-BR"/>
        </w:rPr>
        <w:t>Sistema interamericano de derechos humanos: introducción a sus mecanismos de protección.</w:t>
      </w:r>
      <w:r w:rsidRPr="00F40F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s-AR" w:eastAsia="pt-BR"/>
        </w:rPr>
        <w:t xml:space="preserve"> </w:t>
      </w:r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Chile: </w:t>
      </w:r>
      <w:proofErr w:type="spellStart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Universidad</w:t>
      </w:r>
      <w:proofErr w:type="spellEnd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 Chile/</w:t>
      </w:r>
      <w:proofErr w:type="spellStart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Facultad</w:t>
      </w:r>
      <w:proofErr w:type="spellEnd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proofErr w:type="spellStart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derecho</w:t>
      </w:r>
      <w:proofErr w:type="spellEnd"/>
      <w:r w:rsidRPr="00427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, 2007.</w:t>
      </w:r>
    </w:p>
    <w:p w14:paraId="1F433871" w14:textId="77777777" w:rsidR="00186FB7" w:rsidRPr="004279AE" w:rsidRDefault="00186FB7" w:rsidP="00186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F613D1" w14:textId="77777777" w:rsidR="004279AE" w:rsidRPr="004279AE" w:rsidRDefault="004279AE" w:rsidP="00FF6C9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71E30B" w14:textId="3B857E37" w:rsidR="00844166" w:rsidRPr="00FF6C9F" w:rsidRDefault="00844166" w:rsidP="00FF6C9F">
      <w:pPr>
        <w:widowControl w:val="0"/>
        <w:spacing w:line="360" w:lineRule="auto"/>
        <w:ind w:right="-330"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sectPr w:rsidR="00844166" w:rsidRPr="00FF6C9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6BB1" w14:textId="77777777" w:rsidR="00876122" w:rsidRDefault="00876122" w:rsidP="00646E7E">
      <w:pPr>
        <w:spacing w:after="0" w:line="240" w:lineRule="auto"/>
      </w:pPr>
      <w:r>
        <w:separator/>
      </w:r>
    </w:p>
  </w:endnote>
  <w:endnote w:type="continuationSeparator" w:id="0">
    <w:p w14:paraId="7F5B93F1" w14:textId="77777777" w:rsidR="00876122" w:rsidRDefault="00876122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425A2" w14:textId="77777777" w:rsidR="00876122" w:rsidRDefault="00876122" w:rsidP="00646E7E">
      <w:pPr>
        <w:spacing w:after="0" w:line="240" w:lineRule="auto"/>
      </w:pPr>
      <w:r>
        <w:separator/>
      </w:r>
    </w:p>
  </w:footnote>
  <w:footnote w:type="continuationSeparator" w:id="0">
    <w:p w14:paraId="293CF98A" w14:textId="77777777" w:rsidR="00876122" w:rsidRDefault="00876122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7C80" w14:textId="64CA4EFB" w:rsidR="00646E7E" w:rsidRDefault="00E14A86" w:rsidP="00844166">
    <w:pPr>
      <w:pStyle w:val="Head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Header"/>
      <w:rPr>
        <w:noProof/>
      </w:rPr>
    </w:pPr>
  </w:p>
  <w:p w14:paraId="0CCD5649" w14:textId="3C73D615" w:rsidR="00E14A86" w:rsidRDefault="00E14A86" w:rsidP="00844166">
    <w:pPr>
      <w:pStyle w:val="Header"/>
      <w:rPr>
        <w:noProof/>
      </w:rPr>
    </w:pPr>
  </w:p>
  <w:p w14:paraId="42E8B9DF" w14:textId="752F7C78" w:rsidR="00E14A86" w:rsidRDefault="00E14A86" w:rsidP="00844166">
    <w:pPr>
      <w:pStyle w:val="Header"/>
      <w:rPr>
        <w:noProof/>
      </w:rPr>
    </w:pPr>
  </w:p>
  <w:p w14:paraId="516CC3D3" w14:textId="77777777" w:rsidR="00E14A86" w:rsidRPr="00844166" w:rsidRDefault="00E14A86" w:rsidP="00844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E7735"/>
    <w:multiLevelType w:val="multilevel"/>
    <w:tmpl w:val="180C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C6"/>
    <w:rsid w:val="00023FFF"/>
    <w:rsid w:val="000507BC"/>
    <w:rsid w:val="00186FB7"/>
    <w:rsid w:val="001A3363"/>
    <w:rsid w:val="001C165A"/>
    <w:rsid w:val="001E0487"/>
    <w:rsid w:val="0020054E"/>
    <w:rsid w:val="00214389"/>
    <w:rsid w:val="00246CE8"/>
    <w:rsid w:val="00270FDD"/>
    <w:rsid w:val="002C6633"/>
    <w:rsid w:val="003073E6"/>
    <w:rsid w:val="00317AEE"/>
    <w:rsid w:val="003429E9"/>
    <w:rsid w:val="003D355E"/>
    <w:rsid w:val="004279AE"/>
    <w:rsid w:val="004A2EB8"/>
    <w:rsid w:val="004A4658"/>
    <w:rsid w:val="004C430C"/>
    <w:rsid w:val="004C5769"/>
    <w:rsid w:val="00596825"/>
    <w:rsid w:val="00603CE9"/>
    <w:rsid w:val="00605F8D"/>
    <w:rsid w:val="00632928"/>
    <w:rsid w:val="00646E7E"/>
    <w:rsid w:val="006F5644"/>
    <w:rsid w:val="00736B1A"/>
    <w:rsid w:val="00737A60"/>
    <w:rsid w:val="00782A16"/>
    <w:rsid w:val="007C3B0D"/>
    <w:rsid w:val="008224A7"/>
    <w:rsid w:val="00844166"/>
    <w:rsid w:val="00870E69"/>
    <w:rsid w:val="00876122"/>
    <w:rsid w:val="0088703A"/>
    <w:rsid w:val="0099182E"/>
    <w:rsid w:val="00992398"/>
    <w:rsid w:val="009A7209"/>
    <w:rsid w:val="009B16A0"/>
    <w:rsid w:val="009C3684"/>
    <w:rsid w:val="00A00F7C"/>
    <w:rsid w:val="00AD75BB"/>
    <w:rsid w:val="00AE3CE8"/>
    <w:rsid w:val="00B60B9B"/>
    <w:rsid w:val="00C13ACD"/>
    <w:rsid w:val="00C35757"/>
    <w:rsid w:val="00CD516D"/>
    <w:rsid w:val="00CF1B81"/>
    <w:rsid w:val="00D54BF0"/>
    <w:rsid w:val="00E14A86"/>
    <w:rsid w:val="00E24457"/>
    <w:rsid w:val="00E35B4F"/>
    <w:rsid w:val="00E55D80"/>
    <w:rsid w:val="00EB48EF"/>
    <w:rsid w:val="00ED0610"/>
    <w:rsid w:val="00EF1BF7"/>
    <w:rsid w:val="00F40FA5"/>
    <w:rsid w:val="00F664A5"/>
    <w:rsid w:val="00FD4E10"/>
    <w:rsid w:val="00FD5DC6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7E"/>
  </w:style>
  <w:style w:type="paragraph" w:styleId="Footer">
    <w:name w:val="footer"/>
    <w:basedOn w:val="Normal"/>
    <w:link w:val="Footer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E7E"/>
  </w:style>
  <w:style w:type="character" w:styleId="CommentReference">
    <w:name w:val="annotation reference"/>
    <w:basedOn w:val="DefaultParagraphFont"/>
    <w:uiPriority w:val="99"/>
    <w:semiHidden/>
    <w:unhideWhenUsed/>
    <w:rsid w:val="00844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A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9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928"/>
    <w:rPr>
      <w:vertAlign w:val="superscript"/>
    </w:rPr>
  </w:style>
  <w:style w:type="paragraph" w:customStyle="1" w:styleId="CorpodoTexto">
    <w:name w:val="Corpo do Texto"/>
    <w:basedOn w:val="Normal"/>
    <w:qFormat/>
    <w:rsid w:val="00632928"/>
    <w:pPr>
      <w:spacing w:after="0" w:line="360" w:lineRule="auto"/>
      <w:ind w:firstLine="709"/>
      <w:jc w:val="both"/>
    </w:pPr>
    <w:rPr>
      <w:rFonts w:ascii="Arial" w:eastAsia="Arial Unicode MS" w:hAnsi="Arial" w:cs="Times New Roman"/>
      <w:sz w:val="24"/>
    </w:rPr>
  </w:style>
  <w:style w:type="paragraph" w:customStyle="1" w:styleId="NotadeRodap">
    <w:name w:val="Nota de Rodapé"/>
    <w:basedOn w:val="FootnoteText"/>
    <w:autoRedefine/>
    <w:qFormat/>
    <w:rsid w:val="00632928"/>
    <w:pPr>
      <w:spacing w:after="120"/>
      <w:ind w:left="284" w:hanging="284"/>
    </w:pPr>
    <w:rPr>
      <w:rFonts w:ascii="Arial" w:eastAsia="Arial Unicode MS" w:hAnsi="Arial" w:cs="Times New Roman"/>
    </w:rPr>
  </w:style>
  <w:style w:type="character" w:customStyle="1" w:styleId="apple-tab-span">
    <w:name w:val="apple-tab-span"/>
    <w:basedOn w:val="DefaultParagraphFont"/>
    <w:rsid w:val="0042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D454-4EC8-4776-9BCA-F386958D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Amanda Reis</cp:lastModifiedBy>
  <cp:revision>4</cp:revision>
  <cp:lastPrinted>2020-10-10T20:41:00Z</cp:lastPrinted>
  <dcterms:created xsi:type="dcterms:W3CDTF">2020-11-16T00:09:00Z</dcterms:created>
  <dcterms:modified xsi:type="dcterms:W3CDTF">2020-11-17T19:43:00Z</dcterms:modified>
</cp:coreProperties>
</file>