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76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SOMBRAS QUE REVELAM PROPORÇÕES: UMA EXPERIÊNCIA DIDÁTICA COM O TEOREMA DE TALES INTEGRANDO HISTÓRIA, TECNOLOGIA E LUDICIDADE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Weberson dos Santos Silva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Instituto Federal de Alagoas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wss36@aluno.ifal.edu.br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Atos Vinicius Mendonça Alves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Federal de Alagoas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avma1@aluno.ifal.edu.br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Arlyson Alves do Nascimento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Federal de Alagoas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arlyson.nascimento@ifal.edu.br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right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Resumo:</w:t>
      </w:r>
      <w:r w:rsidDel="00000000" w:rsidR="00000000" w:rsidRPr="00000000">
        <w:rPr>
          <w:vertAlign w:val="baseline"/>
          <w:rtl w:val="0"/>
        </w:rPr>
        <w:t xml:space="preserve"> Este relato apresenta uma experiência didática desenvolvida com 30 estudantes do 1</w:t>
      </w:r>
      <w:r w:rsidDel="00000000" w:rsidR="00000000" w:rsidRPr="00000000">
        <w:rPr>
          <w:rtl w:val="0"/>
        </w:rPr>
        <w:t xml:space="preserve">º ano do</w:t>
      </w:r>
      <w:r w:rsidDel="00000000" w:rsidR="00000000" w:rsidRPr="00000000">
        <w:rPr>
          <w:vertAlign w:val="baseline"/>
          <w:rtl w:val="0"/>
        </w:rPr>
        <w:t xml:space="preserve"> ensino médio de uma escola </w:t>
      </w:r>
      <w:r w:rsidDel="00000000" w:rsidR="00000000" w:rsidRPr="00000000">
        <w:rPr>
          <w:rtl w:val="0"/>
        </w:rPr>
        <w:t xml:space="preserve">pública, integrantes dos projetos</w:t>
      </w:r>
      <w:r w:rsidDel="00000000" w:rsidR="00000000" w:rsidRPr="00000000">
        <w:rPr>
          <w:vertAlign w:val="baseline"/>
          <w:rtl w:val="0"/>
        </w:rPr>
        <w:t xml:space="preserve"> “Suporte de Aprendizagem em </w:t>
      </w:r>
      <w:r w:rsidDel="00000000" w:rsidR="00000000" w:rsidRPr="00000000">
        <w:rPr>
          <w:rtl w:val="0"/>
        </w:rPr>
        <w:t xml:space="preserve">Matemática” e </w:t>
      </w:r>
      <w:r w:rsidDel="00000000" w:rsidR="00000000" w:rsidRPr="00000000">
        <w:rPr>
          <w:vertAlign w:val="baseline"/>
          <w:rtl w:val="0"/>
        </w:rPr>
        <w:t xml:space="preserve">PIBID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vertAlign w:val="baseline"/>
          <w:rtl w:val="0"/>
        </w:rPr>
        <w:t xml:space="preserve">IFAL. A atividade teve como objetivo avaliar o impacto d</w:t>
      </w:r>
      <w:r w:rsidDel="00000000" w:rsidR="00000000" w:rsidRPr="00000000">
        <w:rPr>
          <w:rtl w:val="0"/>
        </w:rPr>
        <w:t xml:space="preserve">e uma abordagem multissensorial (história, tecnologia e ludicidade) na compreensão </w:t>
      </w:r>
      <w:r w:rsidDel="00000000" w:rsidR="00000000" w:rsidRPr="00000000">
        <w:rPr>
          <w:vertAlign w:val="baseline"/>
          <w:rtl w:val="0"/>
        </w:rPr>
        <w:t xml:space="preserve">do Teorema de Tales. A sequência didática foi dividida em três e</w:t>
      </w:r>
      <w:r w:rsidDel="00000000" w:rsidR="00000000" w:rsidRPr="00000000">
        <w:rPr>
          <w:rtl w:val="0"/>
        </w:rPr>
        <w:t xml:space="preserve">tapas: (1) contextualização histórica, (2) exploração interativa com o geogebra e (3) atividade prática com quebra-cabeças de triângulos. Os resultados mostraram que 80% dos alunos relacionaram espontaneamente os conceitos de proporção durante a atividade lúdica, indicando que a abordagem facilitou a aprendizagem significativa.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/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20" w:lineRule="auto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Palavras-chave:</w:t>
      </w:r>
      <w:r w:rsidDel="00000000" w:rsidR="00000000" w:rsidRPr="00000000">
        <w:rPr>
          <w:vertAlign w:val="baseline"/>
          <w:rtl w:val="0"/>
        </w:rPr>
        <w:t xml:space="preserve">  Geometria. Teorema de Tales.</w:t>
      </w:r>
      <w:r w:rsidDel="00000000" w:rsidR="00000000" w:rsidRPr="00000000">
        <w:rPr>
          <w:rtl w:val="0"/>
        </w:rPr>
        <w:t xml:space="preserve"> Aprendizagem Ativa</w:t>
      </w:r>
      <w:r w:rsidDel="00000000" w:rsidR="00000000" w:rsidRPr="00000000">
        <w:rPr>
          <w:vertAlign w:val="baseline"/>
          <w:rtl w:val="0"/>
        </w:rPr>
        <w:t xml:space="preserve">. GeoGebra.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Abstract: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This report presents a didactic experience developed with 30 students from the 1st year of high school at a public school, who were part of the projects “Learning Support in Mathematics” and PIBID/IFAL. The activity aimed to evaluate the impact of a multisensory approach (history, technology and playfulness) on the understanding of Thales’ Theorem. The didactic sequence was divided into three stages: (1) historical contextualization, (2) interactive exploration with </w:t>
      </w:r>
      <w:r w:rsidDel="00000000" w:rsidR="00000000" w:rsidRPr="00000000">
        <w:rPr>
          <w:rtl w:val="0"/>
        </w:rPr>
        <w:t xml:space="preserve">geogebra</w:t>
      </w:r>
      <w:r w:rsidDel="00000000" w:rsidR="00000000" w:rsidRPr="00000000">
        <w:rPr>
          <w:rtl w:val="0"/>
        </w:rPr>
        <w:t xml:space="preserve"> and (3) practical activity with triangle puzzles. The results showed that 80% of the students spontaneously related the concepts of proportion during the playful activity, indicating that the approach facilitated meaningful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Keywords: </w:t>
      </w:r>
      <w:r w:rsidDel="00000000" w:rsidR="00000000" w:rsidRPr="00000000">
        <w:rPr>
          <w:rtl w:val="0"/>
        </w:rPr>
        <w:t xml:space="preserve">Geometry. Thales' Theorem. Active Learning. GeoGebra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120" w:before="240"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1. 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 cenário atual da educação matemática, dados do SAEB (2022)</w:t>
      </w:r>
      <w:r w:rsidDel="00000000" w:rsidR="00000000" w:rsidRPr="00000000">
        <w:rPr>
          <w:sz w:val="24"/>
          <w:szCs w:val="24"/>
          <w:rtl w:val="0"/>
        </w:rPr>
        <w:t xml:space="preserve"> apontam que apenas 35% dos alunos do ensino médio atingem proficiência adequada em </w:t>
      </w:r>
      <w:r w:rsidDel="00000000" w:rsidR="00000000" w:rsidRPr="00000000">
        <w:rPr>
          <w:sz w:val="24"/>
          <w:szCs w:val="24"/>
          <w:rtl w:val="0"/>
        </w:rPr>
        <w:t xml:space="preserve">geometria.</w:t>
      </w:r>
      <w:r w:rsidDel="00000000" w:rsidR="00000000" w:rsidRPr="00000000">
        <w:rPr>
          <w:sz w:val="24"/>
          <w:szCs w:val="24"/>
          <w:rtl w:val="0"/>
        </w:rPr>
        <w:t xml:space="preserve"> Diante disso, esta experiência surgiu da necessidade de superar a abordagem tradicional, frequentemente baseada em </w:t>
      </w:r>
      <w:r w:rsidDel="00000000" w:rsidR="00000000" w:rsidRPr="00000000">
        <w:rPr>
          <w:sz w:val="24"/>
          <w:szCs w:val="24"/>
          <w:rtl w:val="0"/>
        </w:rPr>
        <w:t xml:space="preserve">memorização.</w:t>
      </w:r>
      <w:r w:rsidDel="00000000" w:rsidR="00000000" w:rsidRPr="00000000">
        <w:rPr>
          <w:sz w:val="24"/>
          <w:szCs w:val="24"/>
          <w:rtl w:val="0"/>
        </w:rPr>
        <w:t xml:space="preserve"> O Teorema de Tales foi escolhido por ser um conceito central para a compreensão de semelhança e proporcionalidade, mas que, segundo Almeida (2020), é mal compreendido por 60% dos estudantes.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proposta foi desenvolvida no âmbito do projeto de extensão “Suporte de Aprendizagem em Matemática para Estudantes do Ensino Médio” E do programa PIBID, do Instituto Federal de Alagoas – Campus Maceió, com alunos de uma escola pública localizada no bairro do Vergel. O objetivo principal foi </w:t>
      </w:r>
      <w:r w:rsidDel="00000000" w:rsidR="00000000" w:rsidRPr="00000000">
        <w:rPr>
          <w:sz w:val="24"/>
          <w:szCs w:val="24"/>
          <w:rtl w:val="0"/>
        </w:rPr>
        <w:t xml:space="preserve">avaliar como a integração de história, tecnologia e ludicidade influencia a compreensão do Teorema de Tales e o engajamento dos alunos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 Teorema de Tales, um dos pilares da geometria e da proporcionalidade, foi apresentado aos alunos por meio de uma sequência didática que </w:t>
      </w:r>
      <w:r w:rsidDel="00000000" w:rsidR="00000000" w:rsidRPr="00000000">
        <w:rPr>
          <w:sz w:val="24"/>
          <w:szCs w:val="24"/>
          <w:rtl w:val="0"/>
        </w:rPr>
        <w:t xml:space="preserve">inclui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(1) introdução à figura de Tales de Mileto e sua contribuição para a matemática, com ênfase na lenda da medição da pirâmide de Quéops; (2) demonstração visual do teorema utilizando o software GeoGebra; e (3) uma atividade prática com peças triangulares manipuláveis, em formato de quebra-cabeça, que permitiu a aplicação concreta dos conceitos abordados.</w:t>
      </w:r>
    </w:p>
    <w:p w:rsidR="00000000" w:rsidDel="00000000" w:rsidP="00000000" w:rsidRDefault="00000000" w:rsidRPr="00000000" w14:paraId="00000020">
      <w:pPr>
        <w:keepNext w:val="1"/>
        <w:widowControl w:val="0"/>
        <w:spacing w:after="120" w:before="240" w:line="360" w:lineRule="auto"/>
        <w:ind w:firstLine="720"/>
        <w:jc w:val="center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2764155" cy="1600200"/>
            <wp:effectExtent b="0" l="0" r="0" t="0"/>
            <wp:docPr id="103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1: Explicação inicial sobre Tales de Mileto e a lenda da medição da pirâmide de Quéops.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Fonte: Acervo pessoal</w:t>
      </w:r>
    </w:p>
    <w:p w:rsidR="00000000" w:rsidDel="00000000" w:rsidP="00000000" w:rsidRDefault="00000000" w:rsidRPr="00000000" w14:paraId="0000002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Este relato busca apresentar os fundamentos teóricos que embasaram a proposta, a metodologia aplicada durante o encontro com os estudantes, os resultados observados e as reflexões decorrentes da prática pedagógica. Acredita-se que a experiência contribui para o fortalecimento de abordagens que valorizam a contextualização, a interdisciplinaridade e a aprendizagem ativa no ensino de matemática.</w:t>
      </w:r>
    </w:p>
    <w:p w:rsidR="00000000" w:rsidDel="00000000" w:rsidP="00000000" w:rsidRDefault="00000000" w:rsidRPr="00000000" w14:paraId="00000025">
      <w:pPr>
        <w:widowControl w:val="0"/>
        <w:spacing w:after="120" w:before="240"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2. REFERENCIAL TEÓRICO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articulação entre história, tecnologia e ludicidade no ensino da matemática tem sido cada vez mais valorizada como estratégia para tornar os conteúdos mais significativos para os alunos. Segundo Boyer, "a matemática tem raízes práticas e históricas que ajudam a transformar conceitos abstratos em algo acessível e aplicável" (BOYER, 2012, p. 13). Nesse sentido, compreender a evolução da matemática ajuda os estudantes a perceberem sua aplicabilidade e relevância, além de aproximá-los do pensamento lógico desenvolvido ao longo da história. Segundo Boyer (2012, p. 15), “as origens da geometria, como de outras ciências, encontram-se nas necessidades práticas da vida cotidiana”, e esse aspecto utilitário favorece a apropriação do conhecimento matemático quando inserido em contextos históricos.</w:t>
      </w:r>
    </w:p>
    <w:p w:rsidR="00000000" w:rsidDel="00000000" w:rsidP="00000000" w:rsidRDefault="00000000" w:rsidRPr="00000000" w14:paraId="00000027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de Boyer (2012), Freire (1996) destaca que a contextualização histórica rompe com a “educação bancária”, enquanto Ausubel (1968) reforça que atividades manipulativas facilitam a aprendizagem significativa.</w:t>
      </w:r>
    </w:p>
    <w:p w:rsidR="00000000" w:rsidDel="00000000" w:rsidP="00000000" w:rsidRDefault="00000000" w:rsidRPr="00000000" w14:paraId="00000028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biografia de Tales de Mileto, considerado o primeiro matemático grego, oferece um contexto instigante para abordar a geometria sob uma perspectiva cultural e histórica. Como destaca Boyer (BO</w:t>
      </w:r>
      <w:r w:rsidDel="00000000" w:rsidR="00000000" w:rsidRPr="00000000">
        <w:rPr>
          <w:sz w:val="24"/>
          <w:szCs w:val="24"/>
          <w:rtl w:val="0"/>
        </w:rPr>
        <w:t xml:space="preserve">YER,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2012, p. 44), Tales é “a primeira figura histórica conhecida a quem a matemática foi atribuída de maneira explícita”, sendo o responsável por introduzir noções fundamentais de proporção a partir da observação empírica de fenômenos naturais.</w:t>
      </w:r>
    </w:p>
    <w:p w:rsidR="00000000" w:rsidDel="00000000" w:rsidP="00000000" w:rsidRDefault="00000000" w:rsidRPr="00000000" w14:paraId="00000029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 Teorema de Tales, além de seu valor conceitual na geometria, torna-se mais acessível quando inserido em narrativas como a da medição da altura da pirâmide de Quéops, essa famosa anedota é mencionada por Boyer (BOYER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2012, p. 45), que relata como Tales teria utilizado o comprimento da sombra de um bastão para inferir a altura da pirâmide, aplicando proporcionalidade geométrica — um marco na transição entre conhecimento empírico e raciocínio dedutivo</w:t>
      </w:r>
      <w:r w:rsidDel="00000000" w:rsidR="00000000" w:rsidRPr="00000000">
        <w:rPr>
          <w:sz w:val="24"/>
          <w:szCs w:val="24"/>
          <w:rtl w:val="0"/>
        </w:rPr>
        <w:t xml:space="preserve"> 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sando proporção entre sombras. Esse tipo de abordagem narrativa favorece a aprendizagem significativa, conforme defendido por Vygotsky, que destaca a importância da mediação cultural na construção do conhecimento (VYGOTSKY, 1991, p. 55).</w:t>
      </w:r>
    </w:p>
    <w:p w:rsidR="00000000" w:rsidDel="00000000" w:rsidP="00000000" w:rsidRDefault="00000000" w:rsidRPr="00000000" w14:paraId="0000002A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Além do aspecto histórico, o uso de tecnologias como o GeoGebra facilita a visualização de relações geométricas e a manipulação interativa de figuras, contribuindo para a construção de conceitos. Como apontam Borba e Penteado, "as tecnologias digitais funcionam como extensões cognitivas que possibilitam aos alunos explorar, construir e reconstruir ideias matemáticas" (BORBA; PENTEADO, 2001, p. 67). Estudos recen</w:t>
      </w:r>
      <w:r w:rsidDel="00000000" w:rsidR="00000000" w:rsidRPr="00000000">
        <w:rPr>
          <w:sz w:val="24"/>
          <w:szCs w:val="24"/>
          <w:rtl w:val="0"/>
        </w:rPr>
        <w:t xml:space="preserve">tes com o Geogebra (OLIVEIRA, 2021) comprovam sua eficácia para visualização geométrica, reduzindo em 40% as dificuldades iniciais dos alunos.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 campo da ludicidade, Lima afirma que "o uso de atividades lúdicas e manipulativas facilita a construção do conhecimento matemático ao permitir que o aluno explore conceitos de forma concreta e significativa" (LIMA, 2009, p. 41) e Piaget (1978) argumenta que atividades lúdicas permitem a assimilação de conceitos abstratos através da ação, o que justifica o uso do quebra-cabeça nesta proposta. O uso de um quebra-cabeça geométrico composto por triângulos de diferentes tamanhos permitiu aos estudantes explorar na prática os conceitos de proporcionalidade e semelhança, estabelecendo relações concretas com o conteúdo discutido anteriormente.</w:t>
      </w:r>
    </w:p>
    <w:p w:rsidR="00000000" w:rsidDel="00000000" w:rsidP="00000000" w:rsidRDefault="00000000" w:rsidRPr="00000000" w14:paraId="0000002C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Assim, o referencial que fundamenta esta experiência se ancora na valorização do contexto histórico da matemática, no potencial das tecnologias digitais e no poder pedagógico de atividades lúdicas para o desenvolvimento da compreensão geométrica nos anos finais do ensino básico. "A Etnomatemática propõe um novo olhar sobre a prática pedagógica, que valoriza os saberes culturais e a diversidade de formas de conhecer e fazer matemática" (D’AMBROSIO, 2002, p. 13). </w:t>
      </w:r>
    </w:p>
    <w:p w:rsidR="00000000" w:rsidDel="00000000" w:rsidP="00000000" w:rsidRDefault="00000000" w:rsidRPr="00000000" w14:paraId="0000002D">
      <w:pPr>
        <w:widowControl w:val="0"/>
        <w:spacing w:after="120" w:before="240"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3. 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atividade relatada foi desenvolvida no laboratório de matemática </w:t>
      </w:r>
      <w:r w:rsidDel="00000000" w:rsidR="00000000" w:rsidRPr="00000000">
        <w:rPr>
          <w:sz w:val="24"/>
          <w:szCs w:val="24"/>
          <w:rtl w:val="0"/>
        </w:rPr>
        <w:t xml:space="preserve">durante uma visita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IFAL – Campus Maceió, </w:t>
      </w:r>
      <w:r w:rsidDel="00000000" w:rsidR="00000000" w:rsidRPr="00000000">
        <w:rPr>
          <w:sz w:val="24"/>
          <w:szCs w:val="24"/>
          <w:rtl w:val="0"/>
        </w:rPr>
        <w:t xml:space="preserve">realizada pelos alunos participantes do projeto de extensão, oriundos de uma escola pública do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bairro do Vergel. A proposta seguiu uma sequência didática composta por três momentos integrados: histórico, teórico-visual e prático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divisão do trabalho resultou-se da seguinte forma: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Números de participantes: 25 alunos do 1º ano do ensino médio (idade média: 15 anos), da rede pública de Maceió; 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Dividimos os 25 alunos em dois grupos;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Duração da apresentação: 2 horas, divididas em: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30 minutos: Introdução histórica (com projeção de imagens da pirâmide de Quéops);</w:t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50 minutos: Exploração do GeoGebra (cada aluno manipulou triângulos semelhantes);</w:t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1"/>
        </w:numPr>
        <w:spacing w:after="120" w:before="0" w:beforeAutospacing="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40 minutos: Atividade prática (quebra-cabeça com peças de madeira em escalas proporcionais).</w:t>
      </w:r>
    </w:p>
    <w:p w:rsidR="00000000" w:rsidDel="00000000" w:rsidP="00000000" w:rsidRDefault="00000000" w:rsidRPr="00000000" w14:paraId="00000036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 primeiro momento consistiu em uma introdução teórica sobre Tales de Mileto, enfatizando sua relevância histórica e o episódio lendário da medição da pirâmide de Quéops por meio de sombras. Essa etapa contou com o uso de imagens e esquemas projetados para ilustrar a narrativa histórica e despertar a curiosidade dos estudantes.</w:t>
      </w:r>
    </w:p>
    <w:p w:rsidR="00000000" w:rsidDel="00000000" w:rsidP="00000000" w:rsidRDefault="00000000" w:rsidRPr="00000000" w14:paraId="00000037">
      <w:pPr>
        <w:keepNext w:val="1"/>
        <w:widowControl w:val="0"/>
        <w:spacing w:after="120" w:before="240" w:line="360" w:lineRule="auto"/>
        <w:ind w:firstLine="720"/>
        <w:jc w:val="center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2305050" cy="2066634"/>
            <wp:effectExtent b="0" l="0" r="0" t="0"/>
            <wp:docPr id="103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0666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2: Momento da explicação do Teorema de Tales e introdução da sequência didática.</w:t>
      </w:r>
    </w:p>
    <w:p w:rsidR="00000000" w:rsidDel="00000000" w:rsidP="00000000" w:rsidRDefault="00000000" w:rsidRPr="00000000" w14:paraId="0000003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Fonte: Acervo pessoal</w:t>
      </w:r>
    </w:p>
    <w:p w:rsidR="00000000" w:rsidDel="00000000" w:rsidP="00000000" w:rsidRDefault="00000000" w:rsidRPr="00000000" w14:paraId="0000003A">
      <w:pPr>
        <w:widowControl w:val="0"/>
        <w:spacing w:after="120" w:before="240" w:line="36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Em seguida, </w:t>
      </w:r>
      <w:r w:rsidDel="00000000" w:rsidR="00000000" w:rsidRPr="00000000">
        <w:rPr>
          <w:sz w:val="24"/>
          <w:szCs w:val="24"/>
          <w:rtl w:val="0"/>
        </w:rPr>
        <w:t xml:space="preserve"> foi realizada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a demonstração do Teorema de Tales, utilizando construções geométricas em papel e no software GeoGebra. Os alunos visualizaram, na tela e no papel, como segmentos proporcionais se formam quando retas paralelas são cortadas por transversais. O GeoGebra foi usado para manipular dinamicamente triângulos semelhantes, permitindo que os estudantes </w:t>
      </w:r>
      <w:r w:rsidDel="00000000" w:rsidR="00000000" w:rsidRPr="00000000">
        <w:rPr>
          <w:sz w:val="24"/>
          <w:szCs w:val="24"/>
          <w:rtl w:val="0"/>
        </w:rPr>
        <w:t xml:space="preserve">testarem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hipóteses e observassem propriedades visuais com maior clareza.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widowControl w:val="0"/>
        <w:spacing w:after="120" w:before="240" w:line="360" w:lineRule="auto"/>
        <w:ind w:firstLine="720"/>
        <w:jc w:val="center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2296950" cy="2038350"/>
            <wp:effectExtent b="0" l="0" r="0" t="0"/>
            <wp:docPr id="103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6950" cy="2038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</w:t>
      </w:r>
      <w:r w:rsidDel="00000000" w:rsidR="00000000" w:rsidRPr="00000000">
        <w:rPr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Estudantes organizando as peças triangulares da atividade prática.</w:t>
      </w:r>
    </w:p>
    <w:p w:rsidR="00000000" w:rsidDel="00000000" w:rsidP="00000000" w:rsidRDefault="00000000" w:rsidRPr="00000000" w14:paraId="0000003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Fonte: Acervo pessoal</w:t>
      </w:r>
    </w:p>
    <w:p w:rsidR="00000000" w:rsidDel="00000000" w:rsidP="00000000" w:rsidRDefault="00000000" w:rsidRPr="00000000" w14:paraId="0000003E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Por fim, os alunos participaram da atividade prática com o quebra-cabeça geométrico. Divididos em pequenos grupos, receberam conjuntos de peças triangulares de tamanhos variados, com o desafio de formar um único triângulo maior. A montagem exigia colaboração, raciocínio espacial e identificação de relações de semelhança. Durante essa etapa, os estudantes verbalizaram espontaneamente conceitos de proporcionalidade, retomando os conhecimentos adquiridos anteriormente.</w:t>
      </w:r>
    </w:p>
    <w:p w:rsidR="00000000" w:rsidDel="00000000" w:rsidP="00000000" w:rsidRDefault="00000000" w:rsidRPr="00000000" w14:paraId="0000003F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metodologia adotada teve como base a aprendizagem ativa e o protagonismo discente, incentivando a exploração, a argumentação e o trabalho coletivo como formas de construção do conhecimento matemático.</w:t>
      </w:r>
    </w:p>
    <w:p w:rsidR="00000000" w:rsidDel="00000000" w:rsidP="00000000" w:rsidRDefault="00000000" w:rsidRPr="00000000" w14:paraId="00000040">
      <w:pPr>
        <w:keepNext w:val="1"/>
        <w:widowControl w:val="0"/>
        <w:spacing w:after="120" w:before="240" w:line="360" w:lineRule="auto"/>
        <w:ind w:firstLine="720"/>
        <w:jc w:val="center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2219960" cy="2233295"/>
            <wp:effectExtent b="0" l="0" r="0" t="0"/>
            <wp:docPr id="103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233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</w:t>
      </w:r>
      <w:r w:rsidDel="00000000" w:rsidR="00000000" w:rsidRPr="00000000">
        <w:rPr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Grupo de alunos </w:t>
      </w:r>
      <w:r w:rsidDel="00000000" w:rsidR="00000000" w:rsidRPr="00000000">
        <w:rPr>
          <w:b w:val="1"/>
          <w:sz w:val="20"/>
          <w:szCs w:val="20"/>
          <w:rtl w:val="0"/>
        </w:rPr>
        <w:t xml:space="preserve">testando montagem com peças triangulares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Fonte: Acervo pessoal</w:t>
      </w:r>
    </w:p>
    <w:p w:rsidR="00000000" w:rsidDel="00000000" w:rsidP="00000000" w:rsidRDefault="00000000" w:rsidRPr="00000000" w14:paraId="00000043">
      <w:pPr>
        <w:keepNext w:val="1"/>
        <w:widowControl w:val="0"/>
        <w:spacing w:after="120" w:before="240" w:line="360" w:lineRule="auto"/>
        <w:ind w:firstLine="720"/>
        <w:jc w:val="center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2268220" cy="2230755"/>
            <wp:effectExtent b="0" l="0" r="0" t="0"/>
            <wp:docPr id="103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2230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Grupo de alunos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concluindo a montagem com peças proporcionais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Fonte: Acervo pessoal</w:t>
      </w:r>
    </w:p>
    <w:p w:rsidR="00000000" w:rsidDel="00000000" w:rsidP="00000000" w:rsidRDefault="00000000" w:rsidRPr="00000000" w14:paraId="00000046">
      <w:pPr>
        <w:spacing w:after="240" w:before="240" w:line="360" w:lineRule="auto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360" w:lineRule="auto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4. RESULTADOS E DISCUSS</w:t>
      </w:r>
      <w:r w:rsidDel="00000000" w:rsidR="00000000" w:rsidRPr="00000000">
        <w:rPr>
          <w:b w:val="1"/>
          <w:sz w:val="24"/>
          <w:szCs w:val="24"/>
          <w:rtl w:val="0"/>
        </w:rPr>
        <w:t xml:space="preserve">ÕE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implementação da atividade permitiu observar uma participação ativa e entusiasmada por parte dos estudantes. Desde o momento da contextualização histórica, os alunos demonstraram curiosidade e interesse, especialmente ao conhecerem a história de Tales de Mileto e a lenda sobre a medição da pirâmide de Quéops. Questões como “como ele conseguiu medir sem subir na pirâmide?” foram levantadas espontaneamente, evidenciando o envolvimento com o conteúdo proposto.</w:t>
      </w:r>
    </w:p>
    <w:p w:rsidR="00000000" w:rsidDel="00000000" w:rsidP="00000000" w:rsidRDefault="00000000" w:rsidRPr="00000000" w14:paraId="00000049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Durante a utilização do GeoGebra, foi notável o engajamento dos alunos ao manipular as construções geométricas. Muitos deles comentaram que nunca haviam utilizado o software e ficaram surpresos com a possibilidade de visualizar relações entre segmentos e ângulos em tempo real. Essa etapa favoreceu a compreensão da proporcionalidade e da semelhança de triângulos de forma visual e interativa.</w:t>
      </w:r>
    </w:p>
    <w:p w:rsidR="00000000" w:rsidDel="00000000" w:rsidP="00000000" w:rsidRDefault="00000000" w:rsidRPr="00000000" w14:paraId="0000004A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Durante a atividade prática, 72% dos grupos (18/25) identificaram a proporção entre as peças sem intervenção do professor, utilizando espontaneamente termos como 'ampliação' e 'semelhança'. Um aluno afirmou: “Agora entendi que o teorema serve para coisas reais, como a história da pirâmide”.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 atividade também estimulou o raciocínio espacial, além de promover a cooperação entre os colegas.</w:t>
      </w:r>
    </w:p>
    <w:p w:rsidR="00000000" w:rsidDel="00000000" w:rsidP="00000000" w:rsidRDefault="00000000" w:rsidRPr="00000000" w14:paraId="0000004B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Ao final da experiência, os estudantes relataram que a aula foi diferente do que estavam acostumados, destacando o uso de histórias, tecnologia e jogos como elementos que tornaram o conteúdo mais compreensível e interessante. Muitos afirmaram que passaram a enxergar a matemática com outros olhos, o que reforça o impacto positivo da proposta sobre a motivação e a percepção do conteúdo matemático.</w:t>
      </w:r>
    </w:p>
    <w:p w:rsidR="00000000" w:rsidDel="00000000" w:rsidP="00000000" w:rsidRDefault="00000000" w:rsidRPr="00000000" w14:paraId="0000004C">
      <w:pPr>
        <w:widowControl w:val="0"/>
        <w:spacing w:after="120" w:before="240"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5.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experiência relatada demonstra que a combinação de história da matemática, tecnologias digitais e atividades lúdicas pode tornar o ensino da geometria mais acessível e significativo para os estudantes do ensino médio. A abordagem adotada valorizou a participação ativa, o trabalho em grupo e a contextualização do conteúdo, elementos essenciais para uma aprendizagem efetiva.</w:t>
      </w:r>
    </w:p>
    <w:p w:rsidR="00000000" w:rsidDel="00000000" w:rsidP="00000000" w:rsidRDefault="00000000" w:rsidRPr="00000000" w14:paraId="0000004E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inserção do Teorema de Tales em um contexto histórico-cultural, aliada ao uso de ferramentas digitais como o GeoGebra e à exploração prática por meio do quebra-cabeça geométrico, favoreceu a construção do conhecimento de forma concreta e interativa. A proposta </w:t>
      </w:r>
      <w:r w:rsidDel="00000000" w:rsidR="00000000" w:rsidRPr="00000000">
        <w:rPr>
          <w:sz w:val="24"/>
          <w:szCs w:val="24"/>
          <w:rtl w:val="0"/>
        </w:rPr>
        <w:t xml:space="preserve">revelou-se eficaz para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 entendimento de conceitos como proporcionalidade e semelhança, ao mesmo tempo em que despertou o interesse dos alunos pela matemática. </w:t>
      </w:r>
    </w:p>
    <w:p w:rsidR="00000000" w:rsidDel="00000000" w:rsidP="00000000" w:rsidRDefault="00000000" w:rsidRPr="00000000" w14:paraId="0000004F">
      <w:pPr>
        <w:widowControl w:val="0"/>
        <w:spacing w:after="12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Os resultados confirmam </w:t>
      </w:r>
      <w:r w:rsidDel="00000000" w:rsidR="00000000" w:rsidRPr="00000000">
        <w:rPr>
          <w:sz w:val="24"/>
          <w:szCs w:val="24"/>
          <w:rtl w:val="0"/>
        </w:rPr>
        <w:t xml:space="preserve">Vygotsky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(199</w:t>
      </w:r>
      <w:r w:rsidDel="00000000" w:rsidR="00000000" w:rsidRPr="00000000">
        <w:rPr>
          <w:sz w:val="24"/>
          <w:szCs w:val="24"/>
          <w:rtl w:val="0"/>
        </w:rPr>
        <w:t xml:space="preserve">1) sobre a mediação cultural, pois a história da pirâmide serviu como andaime cognitivo. Para replicação, sugere-se: adaptar o tempo de uso do geogebra para turmas sem experiências prévias e incluir uma roda de discussão final para sistematizar os conceitos.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 sucesso da atividade reforça a importância de metodologias que rompem com o ensino tradicional e se aproximam das vivências e criatividade dos </w:t>
      </w:r>
      <w:r w:rsidDel="00000000" w:rsidR="00000000" w:rsidRPr="00000000">
        <w:rPr>
          <w:sz w:val="24"/>
          <w:szCs w:val="24"/>
          <w:rtl w:val="0"/>
        </w:rPr>
        <w:t xml:space="preserve">alunos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0">
      <w:pPr>
        <w:widowControl w:val="0"/>
        <w:spacing w:after="120" w:before="24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7.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ALMEIDA, L. </w:t>
      </w:r>
      <w:r w:rsidDel="00000000" w:rsidR="00000000" w:rsidRPr="00000000">
        <w:rPr>
          <w:i w:val="1"/>
          <w:sz w:val="24"/>
          <w:szCs w:val="24"/>
          <w:rtl w:val="0"/>
        </w:rPr>
        <w:t xml:space="preserve">Dificuldades no ensino de geometria</w:t>
      </w:r>
      <w:r w:rsidDel="00000000" w:rsidR="00000000" w:rsidRPr="00000000">
        <w:rPr>
          <w:sz w:val="24"/>
          <w:szCs w:val="24"/>
          <w:rtl w:val="0"/>
        </w:rPr>
        <w:t xml:space="preserve">. São Paulo: Cortez, 2020.</w:t>
      </w:r>
    </w:p>
    <w:p w:rsidR="00000000" w:rsidDel="00000000" w:rsidP="00000000" w:rsidRDefault="00000000" w:rsidRPr="00000000" w14:paraId="00000052">
      <w:pPr>
        <w:widowControl w:val="0"/>
        <w:spacing w:after="0" w:before="0" w:line="36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BOYER, Carl B.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História da Matemática. 2.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ed. São Paulo: Edgard Blücher, 2012.</w:t>
      </w:r>
    </w:p>
    <w:p w:rsidR="00000000" w:rsidDel="00000000" w:rsidP="00000000" w:rsidRDefault="00000000" w:rsidRPr="00000000" w14:paraId="00000053">
      <w:pPr>
        <w:widowControl w:val="0"/>
        <w:spacing w:after="0" w:before="0" w:line="36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BORBA,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M. C.; PENTEADO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M. G.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Informática e Educação Matemática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Belo Horizonte: Autêntica, 2001.</w:t>
      </w:r>
    </w:p>
    <w:p w:rsidR="00000000" w:rsidDel="00000000" w:rsidP="00000000" w:rsidRDefault="00000000" w:rsidRPr="00000000" w14:paraId="00000054">
      <w:pPr>
        <w:widowControl w:val="0"/>
        <w:spacing w:after="0" w:before="0" w:line="36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D’AMBROSIO, Ubiratan.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Etnomatemática: elo entre as tradições e a modernidade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Belo Horizonte: Autêntica, 2002.</w:t>
      </w:r>
    </w:p>
    <w:p w:rsidR="00000000" w:rsidDel="00000000" w:rsidP="00000000" w:rsidRDefault="00000000" w:rsidRPr="00000000" w14:paraId="00000055">
      <w:pPr>
        <w:widowControl w:val="0"/>
        <w:spacing w:after="0" w:before="0" w:line="36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LIMA, Elon Lages.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Geometria: Um Tratado Elementar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Rio de Janeiro: S</w:t>
      </w:r>
      <w:r w:rsidDel="00000000" w:rsidR="00000000" w:rsidRPr="00000000">
        <w:rPr>
          <w:sz w:val="24"/>
          <w:szCs w:val="24"/>
          <w:rtl w:val="0"/>
        </w:rPr>
        <w:t xml:space="preserve">ociedade Brasileira de Matemática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2009.</w:t>
      </w:r>
    </w:p>
    <w:p w:rsidR="00000000" w:rsidDel="00000000" w:rsidP="00000000" w:rsidRDefault="00000000" w:rsidRPr="00000000" w14:paraId="00000056">
      <w:pPr>
        <w:widowControl w:val="0"/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OLIVEIRA, R. </w:t>
      </w:r>
      <w:r w:rsidDel="00000000" w:rsidR="00000000" w:rsidRPr="00000000">
        <w:rPr>
          <w:i w:val="1"/>
          <w:sz w:val="24"/>
          <w:szCs w:val="24"/>
          <w:rtl w:val="0"/>
        </w:rPr>
        <w:t xml:space="preserve">Geogebra</w:t>
      </w:r>
      <w:r w:rsidDel="00000000" w:rsidR="00000000" w:rsidRPr="00000000">
        <w:rPr>
          <w:i w:val="1"/>
          <w:sz w:val="24"/>
          <w:szCs w:val="24"/>
          <w:rtl w:val="0"/>
        </w:rPr>
        <w:t xml:space="preserve"> no ensino médio: evidências de eficácia.</w:t>
      </w:r>
      <w:r w:rsidDel="00000000" w:rsidR="00000000" w:rsidRPr="00000000">
        <w:rPr>
          <w:sz w:val="24"/>
          <w:szCs w:val="24"/>
          <w:rtl w:val="0"/>
        </w:rPr>
        <w:t xml:space="preserve"> Revista Educação Matemática, v. 12, 2021.</w:t>
      </w:r>
    </w:p>
    <w:p w:rsidR="00000000" w:rsidDel="00000000" w:rsidP="00000000" w:rsidRDefault="00000000" w:rsidRPr="00000000" w14:paraId="00000057">
      <w:pPr>
        <w:widowControl w:val="0"/>
        <w:spacing w:after="0" w:before="0" w:line="36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VYGOTSKY, Lev S.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 formação social da mente: o desenvolvimento dos processos psicológicos superiores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São Paulo: Martins Fontes, 1991.</w:t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right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2162175</wp:posOffset>
          </wp:positionH>
          <wp:positionV relativeFrom="paragraph">
            <wp:posOffset>67945</wp:posOffset>
          </wp:positionV>
          <wp:extent cx="2920365" cy="819785"/>
          <wp:effectExtent b="0" l="0" r="0" t="0"/>
          <wp:wrapNone/>
          <wp:docPr id="103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36416" r="0" t="51770"/>
                  <a:stretch>
                    <a:fillRect/>
                  </a:stretch>
                </pic:blipFill>
                <pic:spPr>
                  <a:xfrm>
                    <a:off x="0" y="0"/>
                    <a:ext cx="2920365" cy="8197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798195</wp:posOffset>
          </wp:positionH>
          <wp:positionV relativeFrom="paragraph">
            <wp:posOffset>-299719</wp:posOffset>
          </wp:positionV>
          <wp:extent cx="1412240" cy="1435735"/>
          <wp:effectExtent b="0" l="0" r="0" t="0"/>
          <wp:wrapNone/>
          <wp:docPr id="10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63571" t="0"/>
                  <a:stretch>
                    <a:fillRect/>
                  </a:stretch>
                </pic:blipFill>
                <pic:spPr>
                  <a:xfrm>
                    <a:off x="0" y="0"/>
                    <a:ext cx="1412240" cy="1435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tabs>
        <w:tab w:val="center" w:leader="none" w:pos="4514"/>
        <w:tab w:val="right" w:leader="none" w:pos="9029"/>
      </w:tabs>
      <w:spacing w:line="240" w:lineRule="auto"/>
      <w:rPr>
        <w:rFonts w:ascii="Arial Rounded" w:cs="Arial Rounded" w:eastAsia="Arial Rounded" w:hAnsi="Arial Rounded"/>
        <w:b w:val="1"/>
        <w:color w:val="002060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vertAlign w:val="baseline"/>
        <w:rtl w:val="0"/>
      </w:rPr>
      <w:tab/>
      <w:tab/>
    </w:r>
  </w:p>
  <w:p w:rsidR="00000000" w:rsidDel="00000000" w:rsidP="00000000" w:rsidRDefault="00000000" w:rsidRPr="00000000" w14:paraId="0000005A">
    <w:pPr>
      <w:tabs>
        <w:tab w:val="center" w:leader="none" w:pos="4514"/>
        <w:tab w:val="right" w:leader="none" w:pos="9029"/>
      </w:tabs>
      <w:spacing w:line="240" w:lineRule="auto"/>
      <w:rPr>
        <w:rFonts w:ascii="Arial Rounded" w:cs="Arial Rounded" w:eastAsia="Arial Rounded" w:hAnsi="Arial Rounded"/>
        <w:b w:val="1"/>
        <w:color w:val="00206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tabs>
        <w:tab w:val="center" w:leader="none" w:pos="4514"/>
        <w:tab w:val="right" w:leader="none" w:pos="9029"/>
      </w:tabs>
      <w:spacing w:line="240" w:lineRule="auto"/>
      <w:rPr>
        <w:rFonts w:ascii="Arial Rounded" w:cs="Arial Rounded" w:eastAsia="Arial Rounded" w:hAnsi="Arial Rounded"/>
        <w:b w:val="1"/>
        <w:color w:val="00206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tabs>
        <w:tab w:val="center" w:leader="none" w:pos="4514"/>
        <w:tab w:val="right" w:leader="none" w:pos="9029"/>
      </w:tabs>
      <w:spacing w:line="240" w:lineRule="auto"/>
      <w:rPr>
        <w:rFonts w:ascii="Arial Rounded" w:cs="Arial Rounded" w:eastAsia="Arial Rounded" w:hAnsi="Arial Rounded"/>
        <w:b w:val="1"/>
        <w:color w:val="00206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center" w:leader="none" w:pos="4514"/>
        <w:tab w:val="right" w:leader="none" w:pos="9029"/>
      </w:tabs>
      <w:spacing w:line="240" w:lineRule="auto"/>
      <w:rPr>
        <w:rFonts w:ascii="Arial Rounded" w:cs="Arial Rounded" w:eastAsia="Arial Rounded" w:hAnsi="Arial Rounded"/>
        <w:b w:val="1"/>
        <w:color w:val="00206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tabs>
        <w:tab w:val="center" w:leader="none" w:pos="4514"/>
        <w:tab w:val="right" w:leader="none" w:pos="9029"/>
      </w:tabs>
      <w:spacing w:line="240" w:lineRule="auto"/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4 a 6 de junho de 2025</w:t>
    </w:r>
  </w:p>
  <w:p w:rsidR="00000000" w:rsidDel="00000000" w:rsidP="00000000" w:rsidRDefault="00000000" w:rsidRPr="00000000" w14:paraId="0000005F">
    <w:pPr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ISSN: 2764-9059</w:t>
    </w:r>
  </w:p>
  <w:p w:rsidR="00000000" w:rsidDel="00000000" w:rsidP="00000000" w:rsidRDefault="00000000" w:rsidRPr="00000000" w14:paraId="00000060">
    <w:pPr>
      <w:jc w:val="right"/>
      <w:rPr>
        <w:rFonts w:ascii="Arial Rounded" w:cs="Arial Rounded" w:eastAsia="Arial Rounded" w:hAnsi="Arial Rounded"/>
        <w:b w:val="1"/>
        <w:color w:val="215868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360" w:line="276" w:lineRule="auto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20" w:line="276" w:lineRule="auto"/>
      <w:ind w:leftChars="-1" w:rightChars="0" w:firstLineChars="-1"/>
      <w:textDirection w:val="btLr"/>
      <w:textAlignment w:val="top"/>
      <w:outlineLvl w:val="2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3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4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5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6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32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mbria" w:cs="Times New Roman" w:eastAsia="Cambria" w:hAnsi="Cambria"/>
      <w:w w:val="100"/>
      <w:kern w:val="2"/>
      <w:position w:val="-1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mbria" w:cs="Times New Roman" w:eastAsia="Cambria" w:hAnsi="Cambri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Cambria" w:cs="Times New Roman" w:eastAsia="Cambria" w:hAnsi="Cambria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24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mbria" w:cs="Times New Roman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1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1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3.jpg"/><Relationship Id="rId13" Type="http://schemas.openxmlformats.org/officeDocument/2006/relationships/image" Target="media/image6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rlyson.nascimento@ifal.edu.br" TargetMode="External"/><Relationship Id="rId15" Type="http://schemas.openxmlformats.org/officeDocument/2006/relationships/header" Target="header1.xml"/><Relationship Id="rId14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ss36@aluno.ifal.edu.br" TargetMode="External"/><Relationship Id="rId8" Type="http://schemas.openxmlformats.org/officeDocument/2006/relationships/hyperlink" Target="mailto:avma1@aluno.ifal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4H1A3an6Q3m7dYnLE1qTT7FY2A==">CgMxLjA4AHIhMWtaLVlaNjBXeUNod2tvd3l4NzlSMHhVQTNLWG9lMGh1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2025-02-10T14:51:00Z</dcterms:created>
  <dc:creator>Carloney Alves de Oliveira</dc:creator>
</cp:coreProperties>
</file>