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709" w:right="665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TRATAMENTO DE REABSORÇÃO EXTERNA EM DENTE TRAUMATIZADO - ABORDAGEM CLÍNICA E PROGNÓSTICO: RELATO DE CASO¹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Ian José Sousa da Fonsêca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Cezar Henrique Fonseca Pio³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Clailson Morais de Sousa</w:t>
      </w:r>
      <w:r w:rsidDel="00000000" w:rsidR="00000000" w:rsidRPr="00000000">
        <w:rPr>
          <w:sz w:val="22"/>
          <w:szCs w:val="22"/>
          <w:rtl w:val="0"/>
        </w:rPr>
        <w:t xml:space="preserve">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Rômulo Augusto Soares Moura⁵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709" w:right="66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right="665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reabsorção radicular externa é uma possível complicação de traumas dentários, especialmente em dentes anteriores. Seu diagnóstico precoce e tratamento adequado são essenciais para preservar o elemento dental. Este relato apresenta o caso de um paciente com escurecimento e reabsorção do dente 22 após trauma, destacando o manejo endodôntico e os resultados clínicos obtidos.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RELATO DE CASO: </w:t>
      </w:r>
      <w:r w:rsidDel="00000000" w:rsidR="00000000" w:rsidRPr="00000000">
        <w:rPr>
          <w:rFonts w:ascii="Arial" w:cs="Arial" w:eastAsia="Arial" w:hAnsi="Arial"/>
          <w:rtl w:val="0"/>
        </w:rPr>
        <w:t xml:space="preserve">Paciente R.C.S.R., 27 anos, sexo masculino, procurou atendimento com queixa de escurecimento do dente 22 após trauma. Ao exame clínico, observou-se alteração de coloração e resposta negativa ao teste de sensibilidade pulpar, palpação e percussão. O exame radiográfico sugeriu reabsorção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apical</w:t>
      </w:r>
      <w:r w:rsidDel="00000000" w:rsidR="00000000" w:rsidRPr="00000000">
        <w:rPr>
          <w:rFonts w:ascii="Arial" w:cs="Arial" w:eastAsia="Arial" w:hAnsi="Arial"/>
          <w:rtl w:val="0"/>
        </w:rPr>
        <w:t xml:space="preserve"> radicular. Diante do diagnóstico, optou-se pelo tratamento endodôntico. Foi realizado o acesso coronário, seguido do preparo químico-mecânico com limas K-Flex, técnica Crown-Down e clorexidina como substância química auxiliar. O conduto foi então preenchido com medicação intracanal à base de hidróxido de cálcio. Após 14 dias, o elemento dentário estava apto a ser obturado, e um cimento à base de MTA foi utilizado.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O trauma dentário foi o fator desencadeante da reabsorção radicular externa. O tratamento endodôntico, com o uso do MTA Fillapex, demonstrou ser eficaz, promovendo reparo apical e neoformação de tecido mineralizado em um período de 6 meses. O acompanhamento clínico e radiográfico evidenciou estabilização do quadro, reforçando a importância do manejo adequado para o sucesso do tratamento. </w:t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Reabsorção da Raiz. Traumatismos Dentários. Hidróxido de Cálcio. Tratamento do Canal Radicular. Odontologia.</w:t>
      </w:r>
    </w:p>
    <w:p w:rsidR="00000000" w:rsidDel="00000000" w:rsidP="00000000" w:rsidRDefault="00000000" w:rsidRPr="00000000" w14:paraId="0000000D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1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2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2"/>
          <w:szCs w:val="22"/>
          <w:rtl w:val="0"/>
        </w:rPr>
        <w:t xml:space="preserve">Trabalho apresentado na V Jornada Acadêmica de Odontologia (JAO), promovida pelo Centro Universitário Santo Agostinho, nos dias 29 e 30 de maio de 2025.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²Autor. Estudante do curso de graduação em Odontologia no Centro Universitário Santo Agostinho (UNIFSA).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³Autor. Estudante do curso de graduação em Odontologia no Centro Universitário Santo Agostinho (UNIFSA).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⁴Autor. Estudante do curso de graduação em Odontologia no Centro Universitário Santo Agostinho (UNIFSA).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⁵</w:t>
      </w:r>
      <w:r w:rsidDel="00000000" w:rsidR="00000000" w:rsidRPr="00000000">
        <w:rPr>
          <w:sz w:val="22"/>
          <w:szCs w:val="22"/>
          <w:rtl w:val="0"/>
        </w:rPr>
        <w:t xml:space="preserve">Mestre em Odontologia (UFPI) e Professor de graduação em Odontologia (UNIFSA). Orientadora da Pesquisa.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