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7F09" w14:textId="50F81400" w:rsidR="000C4F0E" w:rsidRDefault="000C4F0E" w:rsidP="00AA034E">
      <w:pPr>
        <w:jc w:val="both"/>
        <w:rPr>
          <w:b/>
          <w:bCs/>
          <w:sz w:val="24"/>
          <w:szCs w:val="24"/>
        </w:rPr>
      </w:pPr>
      <w:r w:rsidRPr="000C4F0E">
        <w:rPr>
          <w:b/>
          <w:bCs/>
          <w:sz w:val="24"/>
          <w:szCs w:val="24"/>
        </w:rPr>
        <w:t>ANÁLISE DE PERSISTÊNCIA E RECIDIVA DE NEOPLASIA INTRAEPITELIAL CERVICAL APÓS EXÉRESE DE ZONA DE TRANSFORMAÇÃO COM MARGEM ENDOCERCIVAL COMPROMETIDA NO NÚCLEO DE PREVENÇÃO DE DOENÇAS GINECOLÓGICAS DA UNIVERSIDADE FEDERAL DE SÃO PAULO</w:t>
      </w:r>
    </w:p>
    <w:p w14:paraId="7B857FF0" w14:textId="77777777" w:rsidR="00044268" w:rsidRDefault="00044268" w:rsidP="00AA034E">
      <w:pPr>
        <w:jc w:val="both"/>
        <w:rPr>
          <w:sz w:val="24"/>
          <w:szCs w:val="24"/>
        </w:rPr>
      </w:pPr>
    </w:p>
    <w:p w14:paraId="58241E5D" w14:textId="21C6D878" w:rsidR="00044268" w:rsidRDefault="00044268" w:rsidP="00AA0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EVELINE XAVIER PEREIRA DE SOUZA, ESPECIALIZANDA </w:t>
      </w:r>
      <w:r w:rsidR="00644920">
        <w:rPr>
          <w:sz w:val="24"/>
          <w:szCs w:val="24"/>
        </w:rPr>
        <w:t>EM PTGI DA UNIFES</w:t>
      </w:r>
      <w:r>
        <w:rPr>
          <w:sz w:val="24"/>
          <w:szCs w:val="24"/>
        </w:rPr>
        <w:t>P, SÃO PAULO</w:t>
      </w:r>
      <w:r w:rsidR="00644920">
        <w:rPr>
          <w:sz w:val="24"/>
          <w:szCs w:val="24"/>
        </w:rPr>
        <w:t xml:space="preserve"> (SP)</w:t>
      </w:r>
      <w:r>
        <w:rPr>
          <w:sz w:val="24"/>
          <w:szCs w:val="24"/>
        </w:rPr>
        <w:t>, BRASIL</w:t>
      </w:r>
    </w:p>
    <w:p w14:paraId="70E5AE98" w14:textId="022D55FB" w:rsidR="00044268" w:rsidRDefault="00044268" w:rsidP="00AA034E">
      <w:pPr>
        <w:jc w:val="both"/>
        <w:rPr>
          <w:sz w:val="24"/>
          <w:szCs w:val="24"/>
        </w:rPr>
      </w:pPr>
      <w:r>
        <w:rPr>
          <w:sz w:val="24"/>
          <w:szCs w:val="24"/>
        </w:rPr>
        <w:t>ISABELA QUERIDO LOPES</w:t>
      </w:r>
      <w:r w:rsidR="00644920">
        <w:rPr>
          <w:sz w:val="24"/>
          <w:szCs w:val="24"/>
        </w:rPr>
        <w:t>, ESPECIALIZANDA EM PTGI DA UNIFESP, SÃO PAULO (SP), BRASIL</w:t>
      </w:r>
    </w:p>
    <w:p w14:paraId="25B319B5" w14:textId="1CDBFC3D" w:rsidR="00644920" w:rsidRDefault="00044268" w:rsidP="00644920">
      <w:pPr>
        <w:jc w:val="both"/>
        <w:rPr>
          <w:sz w:val="24"/>
          <w:szCs w:val="24"/>
        </w:rPr>
      </w:pPr>
      <w:r>
        <w:rPr>
          <w:sz w:val="24"/>
          <w:szCs w:val="24"/>
        </w:rPr>
        <w:t>PAULA FERNAND</w:t>
      </w:r>
      <w:r w:rsidR="00A43B97">
        <w:rPr>
          <w:sz w:val="24"/>
          <w:szCs w:val="24"/>
        </w:rPr>
        <w:t>A</w:t>
      </w:r>
      <w:r>
        <w:rPr>
          <w:sz w:val="24"/>
          <w:szCs w:val="24"/>
        </w:rPr>
        <w:t xml:space="preserve"> SANTOS PALLONE DUTRA, PRECEPTORA </w:t>
      </w:r>
      <w:r w:rsidR="00644920">
        <w:rPr>
          <w:sz w:val="24"/>
          <w:szCs w:val="24"/>
        </w:rPr>
        <w:t xml:space="preserve">EM GINECOLOGIA </w:t>
      </w:r>
      <w:r>
        <w:rPr>
          <w:sz w:val="24"/>
          <w:szCs w:val="24"/>
        </w:rPr>
        <w:t>D</w:t>
      </w:r>
      <w:r w:rsidR="00644920">
        <w:rPr>
          <w:sz w:val="24"/>
          <w:szCs w:val="24"/>
        </w:rPr>
        <w:t>A</w:t>
      </w:r>
      <w:r w:rsidR="00644920" w:rsidRPr="00644920">
        <w:rPr>
          <w:sz w:val="24"/>
          <w:szCs w:val="24"/>
        </w:rPr>
        <w:t xml:space="preserve"> </w:t>
      </w:r>
      <w:r w:rsidR="00644920">
        <w:rPr>
          <w:sz w:val="24"/>
          <w:szCs w:val="24"/>
        </w:rPr>
        <w:t>UNIFESP, SÃO PAULO (SP), BRASIL</w:t>
      </w:r>
    </w:p>
    <w:p w14:paraId="434138A1" w14:textId="281B54C9" w:rsidR="00A91ABF" w:rsidRDefault="00141709" w:rsidP="00AA034E">
      <w:pPr>
        <w:jc w:val="both"/>
        <w:rPr>
          <w:sz w:val="24"/>
          <w:szCs w:val="24"/>
        </w:rPr>
      </w:pPr>
      <w:r>
        <w:rPr>
          <w:sz w:val="24"/>
          <w:szCs w:val="24"/>
        </w:rPr>
        <w:t>NEILA MARIA DE GÓIS SPECK, PROFESSORA ADJUNTA DA UNIFESP, SÃO PAULO (SP), BRASIL</w:t>
      </w:r>
    </w:p>
    <w:p w14:paraId="52DB4A07" w14:textId="77777777" w:rsidR="00141709" w:rsidRDefault="00141709" w:rsidP="00AA034E">
      <w:pPr>
        <w:jc w:val="both"/>
        <w:rPr>
          <w:sz w:val="24"/>
          <w:szCs w:val="24"/>
        </w:rPr>
      </w:pPr>
    </w:p>
    <w:p w14:paraId="38A9B5EF" w14:textId="55D1794B" w:rsidR="00AB551F" w:rsidRDefault="007A70B3" w:rsidP="00AA034E">
      <w:pPr>
        <w:pStyle w:val="PargrafodaLista"/>
        <w:tabs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Introdução: </w:t>
      </w:r>
      <w:r w:rsidR="00A91ABF" w:rsidRPr="00A91ABF">
        <w:rPr>
          <w:color w:val="000000"/>
          <w:sz w:val="24"/>
          <w:szCs w:val="24"/>
        </w:rPr>
        <w:t xml:space="preserve">O câncer de colo de útero é o quarto tipo de câncer mais comum entre mulheres em todo o mundo, </w:t>
      </w:r>
      <w:r w:rsidR="009D12AF">
        <w:rPr>
          <w:color w:val="000000"/>
          <w:sz w:val="24"/>
          <w:szCs w:val="24"/>
        </w:rPr>
        <w:t>estando</w:t>
      </w:r>
      <w:r w:rsidR="00A91ABF" w:rsidRPr="00A91ABF">
        <w:rPr>
          <w:color w:val="000000"/>
          <w:sz w:val="24"/>
          <w:szCs w:val="24"/>
        </w:rPr>
        <w:t xml:space="preserve"> 90% dos casos se concentra</w:t>
      </w:r>
      <w:r w:rsidR="009D12AF">
        <w:rPr>
          <w:color w:val="000000"/>
          <w:sz w:val="24"/>
          <w:szCs w:val="24"/>
        </w:rPr>
        <w:t xml:space="preserve">dos </w:t>
      </w:r>
      <w:r w:rsidR="00A91ABF" w:rsidRPr="00A91ABF">
        <w:rPr>
          <w:color w:val="000000"/>
          <w:sz w:val="24"/>
          <w:szCs w:val="24"/>
        </w:rPr>
        <w:t>em países de baixa e média renda. No Brasil, ocupa o 3º lugar em incidência e 4º em mortalidade. Sua lesão precursora, a neoplasia intraepitelial cervical (NIC), é necessária para o desenvolvimento da doença invasora, sendo, portanto, de suma importância a determinação de fatores de risco relacionados a sua persistência e recidiva após tratamento. </w:t>
      </w:r>
      <w:r>
        <w:rPr>
          <w:color w:val="000000"/>
          <w:sz w:val="24"/>
          <w:szCs w:val="24"/>
        </w:rPr>
        <w:t>Objetivo</w:t>
      </w:r>
      <w:r w:rsidR="00A91ABF" w:rsidRPr="00A91ABF">
        <w:rPr>
          <w:b/>
          <w:bCs/>
          <w:color w:val="000000"/>
          <w:sz w:val="24"/>
          <w:szCs w:val="24"/>
        </w:rPr>
        <w:t>:</w:t>
      </w:r>
      <w:r w:rsidR="00A91ABF" w:rsidRPr="00A91ABF">
        <w:rPr>
          <w:color w:val="000000"/>
          <w:sz w:val="24"/>
          <w:szCs w:val="24"/>
        </w:rPr>
        <w:t xml:space="preserve"> Avaliar fatores de risco para comprometimento de margens em peça de exérese da zona de transformação (EZT), persistência e recidiva das lesões intraepiteliais em pacientes submetidas à EZT no período do estudo.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Materiais e </w:t>
      </w:r>
      <w:r w:rsidR="009D12AF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étodos</w:t>
      </w:r>
      <w:r w:rsidR="00A91ABF" w:rsidRPr="00A91ABF">
        <w:rPr>
          <w:b/>
          <w:bCs/>
          <w:color w:val="000000"/>
          <w:sz w:val="24"/>
          <w:szCs w:val="24"/>
        </w:rPr>
        <w:t>:</w:t>
      </w:r>
      <w:r w:rsidR="00A91ABF" w:rsidRPr="00A91ABF">
        <w:rPr>
          <w:color w:val="000000"/>
          <w:sz w:val="24"/>
          <w:szCs w:val="24"/>
        </w:rPr>
        <w:t xml:space="preserve"> Realizamos uma coorte retrospectiva no ambulatório de Ginecologia da Universidade Federal de São Paulo, de </w:t>
      </w:r>
      <w:r w:rsidR="009D12AF">
        <w:rPr>
          <w:color w:val="000000"/>
          <w:sz w:val="24"/>
          <w:szCs w:val="24"/>
        </w:rPr>
        <w:t>janeiro</w:t>
      </w:r>
      <w:r w:rsidR="00A91ABF" w:rsidRPr="00A91ABF">
        <w:rPr>
          <w:color w:val="000000"/>
          <w:sz w:val="24"/>
          <w:szCs w:val="24"/>
        </w:rPr>
        <w:t xml:space="preserve"> de 2017 a </w:t>
      </w:r>
      <w:r w:rsidR="009D12AF">
        <w:rPr>
          <w:color w:val="000000"/>
          <w:sz w:val="24"/>
          <w:szCs w:val="24"/>
        </w:rPr>
        <w:t>j</w:t>
      </w:r>
      <w:r w:rsidR="00A91ABF" w:rsidRPr="00A91ABF">
        <w:rPr>
          <w:color w:val="000000"/>
          <w:sz w:val="24"/>
          <w:szCs w:val="24"/>
        </w:rPr>
        <w:t>unho</w:t>
      </w:r>
      <w:r w:rsidR="00644920">
        <w:rPr>
          <w:color w:val="000000"/>
          <w:sz w:val="24"/>
          <w:szCs w:val="24"/>
        </w:rPr>
        <w:t xml:space="preserve"> </w:t>
      </w:r>
      <w:r w:rsidR="00A91ABF" w:rsidRPr="00A91ABF">
        <w:rPr>
          <w:color w:val="000000"/>
          <w:sz w:val="24"/>
          <w:szCs w:val="24"/>
        </w:rPr>
        <w:t xml:space="preserve">de 2020. A coleta de dados foi feita através de pesquisa de prontuário eletrônico, avaliando seguimento de todas </w:t>
      </w:r>
      <w:r w:rsidR="00AC72F6">
        <w:rPr>
          <w:color w:val="000000"/>
          <w:sz w:val="24"/>
          <w:szCs w:val="24"/>
        </w:rPr>
        <w:t xml:space="preserve">as </w:t>
      </w:r>
      <w:r w:rsidR="00A91ABF" w:rsidRPr="00A91ABF">
        <w:rPr>
          <w:color w:val="000000"/>
          <w:sz w:val="24"/>
          <w:szCs w:val="24"/>
        </w:rPr>
        <w:t>pacientes as quais o resultado anátomo patológico evidenciou lesão intraepitelial precursora</w:t>
      </w:r>
      <w:r w:rsidR="009D12AF">
        <w:rPr>
          <w:color w:val="000000"/>
          <w:sz w:val="24"/>
          <w:szCs w:val="24"/>
        </w:rPr>
        <w:t xml:space="preserve"> e a análise estatística foi realizada através do software SPSS v20.0.</w:t>
      </w:r>
      <w:r w:rsidR="00AC72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Resultados</w:t>
      </w:r>
      <w:r w:rsidR="00A91ABF" w:rsidRPr="00A91ABF">
        <w:rPr>
          <w:b/>
          <w:bCs/>
          <w:color w:val="000000"/>
          <w:sz w:val="24"/>
          <w:szCs w:val="24"/>
        </w:rPr>
        <w:t>:</w:t>
      </w:r>
      <w:r w:rsidR="00A91ABF" w:rsidRPr="00A91ABF">
        <w:rPr>
          <w:color w:val="000000"/>
          <w:sz w:val="24"/>
          <w:szCs w:val="24"/>
        </w:rPr>
        <w:t xml:space="preserve"> Das 377 pacientes submetidas a EZT no período, 199 foram incluídas na análise </w:t>
      </w:r>
      <w:r w:rsidR="00E07287">
        <w:rPr>
          <w:color w:val="000000"/>
          <w:sz w:val="24"/>
          <w:szCs w:val="24"/>
        </w:rPr>
        <w:t>tendo realizado seguimento por ao menos 1 ano após procedimento</w:t>
      </w:r>
      <w:r w:rsidR="00A91ABF" w:rsidRPr="00A91ABF">
        <w:rPr>
          <w:color w:val="000000"/>
          <w:sz w:val="24"/>
          <w:szCs w:val="24"/>
        </w:rPr>
        <w:t xml:space="preserve">. Observamos que 59,3% das EZT realizadas tiveram comprimento menor ou igual a 1,0cm (EZT tipo 1) e 44,2% tiveram alguma margem cirúrgica comprometida, sendo a margem endocervical comprometida em 19,1% dos casos. A taxa de persistência de </w:t>
      </w:r>
      <w:r w:rsidR="00E07287">
        <w:rPr>
          <w:color w:val="000000"/>
          <w:sz w:val="24"/>
          <w:szCs w:val="24"/>
        </w:rPr>
        <w:t>NIC</w:t>
      </w:r>
      <w:r w:rsidR="00A91ABF" w:rsidRPr="00A91ABF">
        <w:rPr>
          <w:color w:val="000000"/>
          <w:sz w:val="24"/>
          <w:szCs w:val="24"/>
        </w:rPr>
        <w:t xml:space="preserve"> nos casos estudados foi de 18,1% e a taxa de recidiva de 4,5%, com aumento significativo de risco de persistência de lesão na presença de qualquer margem comprometida, tendo as margens endocervical </w:t>
      </w:r>
      <w:r w:rsidR="00E07287">
        <w:rPr>
          <w:color w:val="000000"/>
          <w:sz w:val="24"/>
          <w:szCs w:val="24"/>
        </w:rPr>
        <w:t xml:space="preserve">[OR 5,1 (IC95% 2,3-11,3)] </w:t>
      </w:r>
      <w:r w:rsidR="00A91ABF" w:rsidRPr="00A91ABF">
        <w:rPr>
          <w:color w:val="000000"/>
          <w:sz w:val="24"/>
          <w:szCs w:val="24"/>
        </w:rPr>
        <w:t xml:space="preserve">e radial </w:t>
      </w:r>
      <w:r w:rsidR="00E07287">
        <w:rPr>
          <w:color w:val="000000"/>
          <w:sz w:val="24"/>
          <w:szCs w:val="24"/>
        </w:rPr>
        <w:t xml:space="preserve">[OR 6,0 (IC95% 2,5-14,4)] </w:t>
      </w:r>
      <w:r w:rsidR="00A91ABF" w:rsidRPr="00A91ABF">
        <w:rPr>
          <w:color w:val="000000"/>
          <w:sz w:val="24"/>
          <w:szCs w:val="24"/>
        </w:rPr>
        <w:t xml:space="preserve">risco </w:t>
      </w:r>
      <w:r w:rsidR="00E07287">
        <w:rPr>
          <w:color w:val="000000"/>
          <w:sz w:val="24"/>
          <w:szCs w:val="24"/>
        </w:rPr>
        <w:t xml:space="preserve">mais </w:t>
      </w:r>
      <w:r w:rsidR="00A91ABF" w:rsidRPr="00A91ABF">
        <w:rPr>
          <w:color w:val="000000"/>
          <w:sz w:val="24"/>
          <w:szCs w:val="24"/>
        </w:rPr>
        <w:t>elevado em relação ao comprometimento da margem ectocervical</w:t>
      </w:r>
      <w:r w:rsidR="00E07287">
        <w:rPr>
          <w:color w:val="000000"/>
          <w:sz w:val="24"/>
          <w:szCs w:val="24"/>
        </w:rPr>
        <w:t xml:space="preserve"> [OR 3,5 (IC95% 1,6-7,2)]</w:t>
      </w:r>
      <w:r w:rsidR="00A91ABF" w:rsidRPr="00A91ABF">
        <w:rPr>
          <w:color w:val="000000"/>
          <w:sz w:val="24"/>
          <w:szCs w:val="24"/>
        </w:rPr>
        <w:t xml:space="preserve">. Não houve aumento do risco de recidiva de acordo com o comprometimento das margens, tabagismo, idade ou status perimenopausal. </w:t>
      </w:r>
      <w:r w:rsidR="00742F09">
        <w:rPr>
          <w:color w:val="000000"/>
          <w:sz w:val="24"/>
          <w:szCs w:val="24"/>
        </w:rPr>
        <w:t xml:space="preserve">O único fator associado ao comprometimento de margens foi o tipo de EZT realizado, com risco elevado quanto menor a EZT realizada (p=0,007). </w:t>
      </w:r>
      <w:r>
        <w:rPr>
          <w:color w:val="000000"/>
          <w:sz w:val="24"/>
          <w:szCs w:val="24"/>
        </w:rPr>
        <w:t>Conclusão</w:t>
      </w:r>
      <w:r w:rsidR="00A91ABF" w:rsidRPr="00A91ABF">
        <w:rPr>
          <w:b/>
          <w:bCs/>
          <w:color w:val="000000"/>
          <w:sz w:val="24"/>
          <w:szCs w:val="24"/>
        </w:rPr>
        <w:t>:</w:t>
      </w:r>
      <w:r w:rsidR="00A91ABF" w:rsidRPr="00A91ABF">
        <w:rPr>
          <w:color w:val="000000"/>
          <w:sz w:val="24"/>
          <w:szCs w:val="24"/>
        </w:rPr>
        <w:t xml:space="preserve"> O tipo de EZT está correlacionado ao aumento de risco de margem endocervical comprometida e as margens endocervical e radial positivas para lesão intraepitelial elevam consideravelmente o risco de persistência de lesão após EZT, portanto estas pacientes estão expostas a maior risco de persistência de doença e devem ser submetida</w:t>
      </w:r>
      <w:r w:rsidR="00742F09">
        <w:rPr>
          <w:color w:val="000000"/>
          <w:sz w:val="24"/>
          <w:szCs w:val="24"/>
        </w:rPr>
        <w:t>s</w:t>
      </w:r>
      <w:r w:rsidR="00A91ABF" w:rsidRPr="00A91ABF">
        <w:rPr>
          <w:color w:val="000000"/>
          <w:sz w:val="24"/>
          <w:szCs w:val="24"/>
        </w:rPr>
        <w:t xml:space="preserve"> a seguimento clínico rigoroso.</w:t>
      </w:r>
    </w:p>
    <w:p w14:paraId="575AEA0A" w14:textId="77777777" w:rsidR="00AB551F" w:rsidRDefault="00AB551F" w:rsidP="00AA034E">
      <w:pPr>
        <w:pStyle w:val="PargrafodaLista"/>
        <w:tabs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0"/>
        <w:jc w:val="both"/>
        <w:rPr>
          <w:color w:val="000000"/>
          <w:sz w:val="24"/>
          <w:szCs w:val="24"/>
        </w:rPr>
      </w:pPr>
    </w:p>
    <w:p w14:paraId="2715DA7B" w14:textId="3389FA49" w:rsidR="00697F3B" w:rsidRDefault="00AA034E" w:rsidP="00AA034E">
      <w:pPr>
        <w:pStyle w:val="PargrafodaLista"/>
        <w:tabs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Palavras chave</w:t>
      </w:r>
      <w:proofErr w:type="gramEnd"/>
      <w:r>
        <w:rPr>
          <w:color w:val="000000"/>
          <w:sz w:val="24"/>
          <w:szCs w:val="24"/>
        </w:rPr>
        <w:t xml:space="preserve">: </w:t>
      </w:r>
      <w:r w:rsidR="00697F3B">
        <w:rPr>
          <w:color w:val="000000"/>
          <w:sz w:val="24"/>
          <w:szCs w:val="24"/>
        </w:rPr>
        <w:t>neoplasia intraepiteial, colo do útero, recidiva, neoplasia residual</w:t>
      </w:r>
    </w:p>
    <w:p w14:paraId="2F8D8512" w14:textId="0CEFDF3B" w:rsidR="00A91ABF" w:rsidRDefault="00A91ABF" w:rsidP="00536EE0">
      <w:pPr>
        <w:jc w:val="both"/>
        <w:rPr>
          <w:sz w:val="24"/>
          <w:szCs w:val="24"/>
        </w:rPr>
      </w:pPr>
    </w:p>
    <w:p w14:paraId="34A1FA5B" w14:textId="46582B3B" w:rsidR="00450451" w:rsidRPr="00044268" w:rsidRDefault="00450451" w:rsidP="00536EE0">
      <w:pPr>
        <w:jc w:val="both"/>
        <w:rPr>
          <w:sz w:val="24"/>
          <w:szCs w:val="24"/>
        </w:rPr>
      </w:pPr>
    </w:p>
    <w:sectPr w:rsidR="00450451" w:rsidRPr="00044268" w:rsidSect="0004426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0E"/>
    <w:rsid w:val="00044268"/>
    <w:rsid w:val="000C4F0E"/>
    <w:rsid w:val="00141709"/>
    <w:rsid w:val="00450451"/>
    <w:rsid w:val="00536EE0"/>
    <w:rsid w:val="00644920"/>
    <w:rsid w:val="00697F3B"/>
    <w:rsid w:val="00742F09"/>
    <w:rsid w:val="007A70B3"/>
    <w:rsid w:val="009D12AF"/>
    <w:rsid w:val="00A43B97"/>
    <w:rsid w:val="00A91ABF"/>
    <w:rsid w:val="00AA034E"/>
    <w:rsid w:val="00AB551F"/>
    <w:rsid w:val="00AC72F6"/>
    <w:rsid w:val="00CC5792"/>
    <w:rsid w:val="00E0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678D"/>
  <w15:chartTrackingRefBased/>
  <w15:docId w15:val="{1F803DB0-FCE9-432E-A2C6-8A62AA29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A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36FD-E38A-40D4-9BE1-F9ECF4E6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LOPES</dc:creator>
  <cp:keywords/>
  <dc:description/>
  <cp:lastModifiedBy>Eveline Xavier</cp:lastModifiedBy>
  <cp:revision>5</cp:revision>
  <dcterms:created xsi:type="dcterms:W3CDTF">2022-08-18T21:15:00Z</dcterms:created>
  <dcterms:modified xsi:type="dcterms:W3CDTF">2022-08-19T21:24:00Z</dcterms:modified>
</cp:coreProperties>
</file>