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AEA9D" w14:textId="24A731BC" w:rsidR="00D0394C" w:rsidRDefault="00D0394C" w:rsidP="0012462E">
      <w:pPr>
        <w:jc w:val="center"/>
        <w:rPr>
          <w:b/>
          <w:sz w:val="24"/>
          <w:szCs w:val="24"/>
        </w:rPr>
      </w:pPr>
    </w:p>
    <w:p w14:paraId="77574101" w14:textId="0BA81DB0" w:rsidR="0012462E" w:rsidRPr="004306A6" w:rsidRDefault="005245CB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DISTRIBUIÇÃO</w:t>
      </w:r>
      <w:r w:rsidRPr="00137AFA">
        <w:rPr>
          <w:b/>
          <w:sz w:val="24"/>
          <w:szCs w:val="24"/>
        </w:rPr>
        <w:t xml:space="preserve"> </w:t>
      </w:r>
      <w:r w:rsidR="00137AFA" w:rsidRPr="00137AFA">
        <w:rPr>
          <w:b/>
          <w:sz w:val="24"/>
          <w:szCs w:val="24"/>
        </w:rPr>
        <w:t xml:space="preserve">DIAMÉTRICA </w:t>
      </w:r>
      <w:r w:rsidR="00DD1086">
        <w:rPr>
          <w:b/>
          <w:sz w:val="24"/>
          <w:szCs w:val="24"/>
        </w:rPr>
        <w:t>EM</w:t>
      </w:r>
      <w:r w:rsidR="00137AFA" w:rsidRPr="00137AFA">
        <w:rPr>
          <w:b/>
          <w:sz w:val="24"/>
          <w:szCs w:val="24"/>
        </w:rPr>
        <w:t xml:space="preserve"> UMA ÁREA FLORESTAL NO MUNICÍPIO DE BARCARENA – PA.</w:t>
      </w:r>
      <w:r w:rsidR="0012462E" w:rsidRPr="004306A6">
        <w:rPr>
          <w:b/>
          <w:sz w:val="24"/>
          <w:szCs w:val="24"/>
        </w:rPr>
        <w:t xml:space="preserve"> </w:t>
      </w:r>
    </w:p>
    <w:p w14:paraId="6965B780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7E3D9851" w14:textId="708D0AD8" w:rsidR="0012462E" w:rsidRPr="004F6258" w:rsidRDefault="00C77708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Larissa da Silva Miranda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Mario Lima dos Santos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 w:rsidR="003A4B26">
        <w:rPr>
          <w:sz w:val="24"/>
          <w:szCs w:val="24"/>
        </w:rPr>
        <w:t xml:space="preserve"> </w:t>
      </w:r>
      <w:r w:rsidR="00506FB9">
        <w:rPr>
          <w:sz w:val="24"/>
          <w:szCs w:val="24"/>
        </w:rPr>
        <w:t xml:space="preserve">Beatriz </w:t>
      </w:r>
      <w:r w:rsidR="00361C85">
        <w:rPr>
          <w:sz w:val="24"/>
          <w:szCs w:val="24"/>
        </w:rPr>
        <w:t xml:space="preserve">Cordeiro </w:t>
      </w:r>
      <w:r w:rsidR="00361C85" w:rsidRPr="00361C85">
        <w:rPr>
          <w:sz w:val="24"/>
          <w:szCs w:val="24"/>
        </w:rPr>
        <w:t>Costa</w:t>
      </w:r>
      <w:r w:rsidR="00361C85">
        <w:rPr>
          <w:sz w:val="24"/>
          <w:szCs w:val="24"/>
          <w:vertAlign w:val="superscript"/>
        </w:rPr>
        <w:t>3</w:t>
      </w:r>
      <w:r w:rsidR="00506FB9" w:rsidRPr="00361C85">
        <w:rPr>
          <w:sz w:val="24"/>
          <w:szCs w:val="24"/>
        </w:rPr>
        <w:t xml:space="preserve">; </w:t>
      </w:r>
      <w:proofErr w:type="spellStart"/>
      <w:r w:rsidR="00506FB9" w:rsidRPr="00361C85">
        <w:rPr>
          <w:sz w:val="24"/>
          <w:szCs w:val="24"/>
        </w:rPr>
        <w:t>Welton</w:t>
      </w:r>
      <w:proofErr w:type="spellEnd"/>
      <w:r w:rsidR="00361C85" w:rsidRPr="00361C85">
        <w:rPr>
          <w:sz w:val="24"/>
          <w:szCs w:val="24"/>
        </w:rPr>
        <w:t xml:space="preserve"> dos Santos Barros</w:t>
      </w:r>
      <w:r w:rsidR="00361C85">
        <w:rPr>
          <w:sz w:val="24"/>
          <w:szCs w:val="24"/>
          <w:vertAlign w:val="superscript"/>
        </w:rPr>
        <w:t>4</w:t>
      </w:r>
      <w:r w:rsidR="00506FB9" w:rsidRPr="00361C85">
        <w:rPr>
          <w:sz w:val="24"/>
          <w:szCs w:val="24"/>
        </w:rPr>
        <w:t>; Vanda</w:t>
      </w:r>
      <w:r w:rsidR="00361C85" w:rsidRPr="00361C85">
        <w:rPr>
          <w:sz w:val="24"/>
          <w:szCs w:val="24"/>
        </w:rPr>
        <w:t xml:space="preserve"> Maria Sales de Andrade</w:t>
      </w:r>
      <w:r w:rsidR="00361C85">
        <w:rPr>
          <w:sz w:val="24"/>
          <w:szCs w:val="24"/>
          <w:vertAlign w:val="superscript"/>
        </w:rPr>
        <w:t>5</w:t>
      </w:r>
      <w:r w:rsidR="00506FB9" w:rsidRPr="00361C85">
        <w:rPr>
          <w:sz w:val="24"/>
          <w:szCs w:val="24"/>
        </w:rPr>
        <w:t xml:space="preserve">; </w:t>
      </w:r>
      <w:r w:rsidR="00361C85" w:rsidRPr="00361C85">
        <w:rPr>
          <w:sz w:val="24"/>
          <w:szCs w:val="24"/>
        </w:rPr>
        <w:t>Francisco de Assis Oliveira</w:t>
      </w:r>
      <w:r w:rsidR="00361C85">
        <w:rPr>
          <w:sz w:val="24"/>
          <w:szCs w:val="24"/>
          <w:vertAlign w:val="superscript"/>
        </w:rPr>
        <w:t>6</w:t>
      </w:r>
      <w:r w:rsidR="0012462E" w:rsidRPr="00361C85">
        <w:rPr>
          <w:sz w:val="24"/>
          <w:szCs w:val="24"/>
        </w:rPr>
        <w:t xml:space="preserve"> </w:t>
      </w:r>
    </w:p>
    <w:p w14:paraId="2C04B8B8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4C2F3CD1" w14:textId="40AC0ECF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D04AEE">
        <w:rPr>
          <w:sz w:val="24"/>
          <w:szCs w:val="24"/>
        </w:rPr>
        <w:t>Mestranda em Ciências Florestais</w:t>
      </w:r>
      <w:r w:rsidRPr="004F6258">
        <w:rPr>
          <w:sz w:val="24"/>
          <w:szCs w:val="24"/>
        </w:rPr>
        <w:t xml:space="preserve">. </w:t>
      </w:r>
      <w:r w:rsid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="00C77708">
        <w:rPr>
          <w:sz w:val="24"/>
          <w:szCs w:val="24"/>
        </w:rPr>
        <w:t>larissa_miranda20@yahoo.com.br</w:t>
      </w:r>
      <w:r w:rsidRPr="004F6258">
        <w:rPr>
          <w:sz w:val="24"/>
          <w:szCs w:val="24"/>
        </w:rPr>
        <w:t xml:space="preserve"> </w:t>
      </w:r>
    </w:p>
    <w:p w14:paraId="7B563EC1" w14:textId="4AA63FDD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C77708">
        <w:rPr>
          <w:sz w:val="24"/>
          <w:szCs w:val="24"/>
        </w:rPr>
        <w:t>Mestre em Ciências Florestais</w:t>
      </w:r>
      <w:r w:rsidRPr="004F6258">
        <w:rPr>
          <w:sz w:val="24"/>
          <w:szCs w:val="24"/>
        </w:rPr>
        <w:t xml:space="preserve">. </w:t>
      </w:r>
      <w:r w:rsidR="00361C85" w:rsidRP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>.</w:t>
      </w:r>
      <w:r w:rsidR="00C77708" w:rsidRPr="00C77708">
        <w:rPr>
          <w:sz w:val="24"/>
          <w:szCs w:val="24"/>
        </w:rPr>
        <w:t xml:space="preserve"> </w:t>
      </w:r>
      <w:r w:rsidR="00C77708" w:rsidRPr="00361C85">
        <w:rPr>
          <w:sz w:val="24"/>
          <w:szCs w:val="24"/>
        </w:rPr>
        <w:t>mariolimaeng@gmail.com</w:t>
      </w:r>
      <w:r w:rsidR="00511E8F">
        <w:rPr>
          <w:sz w:val="24"/>
          <w:szCs w:val="24"/>
        </w:rPr>
        <w:t>.</w:t>
      </w:r>
    </w:p>
    <w:p w14:paraId="6F43394C" w14:textId="058FD1DA" w:rsidR="00361C85" w:rsidRDefault="00361C85" w:rsidP="00361C8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Graduanda em Engenharia Florestal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biacordeirocosta@gmail.com.</w:t>
      </w:r>
    </w:p>
    <w:p w14:paraId="6D3FFC32" w14:textId="095173ED" w:rsidR="00361C85" w:rsidRDefault="00361C85" w:rsidP="00361C8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em Engenharia Florestal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weltonbarrosx@gmail.com.</w:t>
      </w:r>
    </w:p>
    <w:p w14:paraId="55587BB6" w14:textId="7913278B" w:rsidR="00361C85" w:rsidRDefault="00361C85" w:rsidP="00361C8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 w:rsidR="00C77708">
        <w:rPr>
          <w:sz w:val="24"/>
          <w:szCs w:val="24"/>
        </w:rPr>
        <w:t>Doutora em Agrometeorologia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vandaandrade.ufra@gmail.com</w:t>
      </w:r>
      <w:r w:rsidR="0030128A">
        <w:rPr>
          <w:sz w:val="24"/>
          <w:szCs w:val="24"/>
        </w:rPr>
        <w:t>.</w:t>
      </w:r>
    </w:p>
    <w:p w14:paraId="74F574E5" w14:textId="630BB38A" w:rsidR="0012462E" w:rsidRDefault="00361C85" w:rsidP="00361C85">
      <w:pPr>
        <w:pStyle w:val="Rodap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Pr="004F6258">
        <w:rPr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951F55">
        <w:rPr>
          <w:sz w:val="24"/>
          <w:szCs w:val="24"/>
        </w:rPr>
        <w:t xml:space="preserve">Orientador, </w:t>
      </w:r>
      <w:r w:rsidR="00C77708">
        <w:rPr>
          <w:sz w:val="24"/>
          <w:szCs w:val="24"/>
        </w:rPr>
        <w:t>Doutor em Ciências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Pr="00361C85">
        <w:rPr>
          <w:sz w:val="24"/>
          <w:szCs w:val="24"/>
        </w:rPr>
        <w:t>fdeassis.lab@gmail.com</w:t>
      </w:r>
      <w:r>
        <w:rPr>
          <w:sz w:val="24"/>
          <w:szCs w:val="24"/>
        </w:rPr>
        <w:t>.</w:t>
      </w:r>
    </w:p>
    <w:p w14:paraId="07927DB7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19ED8729" w14:textId="77777777" w:rsidR="0012462E" w:rsidRPr="00137AFA" w:rsidRDefault="0012462E" w:rsidP="00137AFA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4866F3C8" w14:textId="77777777" w:rsidR="0012462E" w:rsidRPr="004F6258" w:rsidRDefault="0012462E" w:rsidP="0012462E">
      <w:pPr>
        <w:jc w:val="both"/>
        <w:rPr>
          <w:bCs/>
          <w:sz w:val="24"/>
          <w:szCs w:val="24"/>
        </w:rPr>
      </w:pPr>
    </w:p>
    <w:p w14:paraId="30A308DD" w14:textId="1C3927FC" w:rsidR="0012462E" w:rsidRPr="004F6258" w:rsidRDefault="00B821EA" w:rsidP="0012462E">
      <w:pPr>
        <w:jc w:val="both"/>
        <w:rPr>
          <w:sz w:val="24"/>
          <w:szCs w:val="24"/>
        </w:rPr>
      </w:pPr>
      <w:r w:rsidRPr="00B821EA">
        <w:rPr>
          <w:bCs/>
          <w:sz w:val="24"/>
          <w:szCs w:val="24"/>
        </w:rPr>
        <w:t xml:space="preserve">O objetivo foi avaliar e modelar a distribuição </w:t>
      </w:r>
      <w:proofErr w:type="spellStart"/>
      <w:r w:rsidRPr="00B821EA">
        <w:rPr>
          <w:bCs/>
          <w:sz w:val="24"/>
          <w:szCs w:val="24"/>
        </w:rPr>
        <w:t>diamétrica</w:t>
      </w:r>
      <w:proofErr w:type="spellEnd"/>
      <w:r w:rsidRPr="00B821EA">
        <w:rPr>
          <w:bCs/>
          <w:sz w:val="24"/>
          <w:szCs w:val="24"/>
        </w:rPr>
        <w:t xml:space="preserve"> em uma área com diferentes tipologias florestais no município de Barcarena no estado do Pará</w:t>
      </w:r>
      <w:r>
        <w:rPr>
          <w:bCs/>
          <w:sz w:val="24"/>
          <w:szCs w:val="24"/>
        </w:rPr>
        <w:t>. O trabalho levantou</w:t>
      </w:r>
      <w:r w:rsidRPr="00B821EA">
        <w:rPr>
          <w:bCs/>
          <w:sz w:val="24"/>
          <w:szCs w:val="24"/>
        </w:rPr>
        <w:t xml:space="preserve"> o seguinte questionamento: A distribuição </w:t>
      </w:r>
      <w:proofErr w:type="spellStart"/>
      <w:r w:rsidRPr="00B821EA">
        <w:rPr>
          <w:bCs/>
          <w:sz w:val="24"/>
          <w:szCs w:val="24"/>
        </w:rPr>
        <w:t>diamétrica</w:t>
      </w:r>
      <w:proofErr w:type="spellEnd"/>
      <w:r w:rsidRPr="00B821EA">
        <w:rPr>
          <w:bCs/>
          <w:sz w:val="24"/>
          <w:szCs w:val="24"/>
        </w:rPr>
        <w:t xml:space="preserve"> da floresta no município de Barcarena, PA, possui comportamento caracterís</w:t>
      </w:r>
      <w:r>
        <w:rPr>
          <w:bCs/>
          <w:sz w:val="24"/>
          <w:szCs w:val="24"/>
        </w:rPr>
        <w:t xml:space="preserve">tico de florestas </w:t>
      </w:r>
      <w:proofErr w:type="spellStart"/>
      <w:r>
        <w:rPr>
          <w:bCs/>
          <w:sz w:val="24"/>
          <w:szCs w:val="24"/>
        </w:rPr>
        <w:t>inequiâneas</w:t>
      </w:r>
      <w:proofErr w:type="spellEnd"/>
      <w:r>
        <w:rPr>
          <w:bCs/>
          <w:sz w:val="24"/>
          <w:szCs w:val="24"/>
        </w:rPr>
        <w:t xml:space="preserve">? A </w:t>
      </w:r>
      <w:r w:rsidRPr="00B821EA">
        <w:rPr>
          <w:bCs/>
          <w:sz w:val="24"/>
          <w:szCs w:val="24"/>
        </w:rPr>
        <w:t xml:space="preserve">hipótese elaborada é que a </w:t>
      </w:r>
      <w:proofErr w:type="spellStart"/>
      <w:r w:rsidRPr="00B821EA">
        <w:rPr>
          <w:bCs/>
          <w:sz w:val="24"/>
          <w:szCs w:val="24"/>
        </w:rPr>
        <w:t>antropização</w:t>
      </w:r>
      <w:proofErr w:type="spellEnd"/>
      <w:r w:rsidRPr="00B821EA">
        <w:rPr>
          <w:bCs/>
          <w:sz w:val="24"/>
          <w:szCs w:val="24"/>
        </w:rPr>
        <w:t xml:space="preserve"> ocorrida na área de estudo não altera a estrutura </w:t>
      </w:r>
      <w:proofErr w:type="spellStart"/>
      <w:r w:rsidRPr="00B821EA">
        <w:rPr>
          <w:bCs/>
          <w:sz w:val="24"/>
          <w:szCs w:val="24"/>
        </w:rPr>
        <w:t>diamétrica</w:t>
      </w:r>
      <w:proofErr w:type="spellEnd"/>
      <w:r w:rsidRPr="00B821EA">
        <w:rPr>
          <w:bCs/>
          <w:sz w:val="24"/>
          <w:szCs w:val="24"/>
        </w:rPr>
        <w:t xml:space="preserve"> da floresta de uma distribuição em forma de “J” reverso, característico das florestas amazônicas. </w:t>
      </w:r>
      <w:r>
        <w:rPr>
          <w:bCs/>
          <w:sz w:val="24"/>
          <w:szCs w:val="24"/>
        </w:rPr>
        <w:t>Foram</w:t>
      </w:r>
      <w:r w:rsidRPr="00B821EA">
        <w:rPr>
          <w:bCs/>
          <w:sz w:val="24"/>
          <w:szCs w:val="24"/>
        </w:rPr>
        <w:t xml:space="preserve"> instaladas 30 unidades de amostra (</w:t>
      </w:r>
      <w:proofErr w:type="spellStart"/>
      <w:r w:rsidRPr="00B821EA">
        <w:rPr>
          <w:bCs/>
          <w:sz w:val="24"/>
          <w:szCs w:val="24"/>
        </w:rPr>
        <w:t>UAs</w:t>
      </w:r>
      <w:proofErr w:type="spellEnd"/>
      <w:r w:rsidRPr="00B821EA">
        <w:rPr>
          <w:bCs/>
          <w:sz w:val="24"/>
          <w:szCs w:val="24"/>
        </w:rPr>
        <w:t>), distribuídas em quatro estratos: Floresta Ombrófila Densa Aluvial, Floresta Ombrófila Densa de Terra Firme Explorada, Floresta Ombrófila Densa de Terra Firme Não Explorada e Floresta Secundária</w:t>
      </w:r>
      <w:r w:rsidR="00137AFA" w:rsidRPr="00137AFA">
        <w:rPr>
          <w:bCs/>
          <w:sz w:val="24"/>
          <w:szCs w:val="24"/>
        </w:rPr>
        <w:t xml:space="preserve">. </w:t>
      </w:r>
      <w:r w:rsidRPr="00B821EA">
        <w:rPr>
          <w:bCs/>
          <w:sz w:val="24"/>
          <w:szCs w:val="24"/>
        </w:rPr>
        <w:t xml:space="preserve">Para modelagem </w:t>
      </w:r>
      <w:proofErr w:type="spellStart"/>
      <w:r w:rsidRPr="00B821EA">
        <w:rPr>
          <w:bCs/>
          <w:sz w:val="24"/>
          <w:szCs w:val="24"/>
        </w:rPr>
        <w:t>diamétrica</w:t>
      </w:r>
      <w:proofErr w:type="spellEnd"/>
      <w:r w:rsidRPr="00B821EA">
        <w:rPr>
          <w:bCs/>
          <w:sz w:val="24"/>
          <w:szCs w:val="24"/>
        </w:rPr>
        <w:t>, foram selecionados para ajuste modelos matemáticas probabilísticas: Model</w:t>
      </w:r>
      <w:r>
        <w:rPr>
          <w:bCs/>
          <w:sz w:val="24"/>
          <w:szCs w:val="24"/>
        </w:rPr>
        <w:t xml:space="preserve">o Exponencial negativa de Meyer, </w:t>
      </w:r>
      <w:r w:rsidRPr="00B821EA">
        <w:rPr>
          <w:bCs/>
          <w:sz w:val="24"/>
          <w:szCs w:val="24"/>
        </w:rPr>
        <w:t xml:space="preserve">Modelo Polinomial de </w:t>
      </w:r>
      <w:proofErr w:type="spellStart"/>
      <w:r w:rsidRPr="00B821EA">
        <w:rPr>
          <w:bCs/>
          <w:sz w:val="24"/>
          <w:szCs w:val="24"/>
        </w:rPr>
        <w:t>Goff</w:t>
      </w:r>
      <w:proofErr w:type="spellEnd"/>
      <w:r w:rsidRPr="00B821EA">
        <w:rPr>
          <w:bCs/>
          <w:sz w:val="24"/>
          <w:szCs w:val="24"/>
        </w:rPr>
        <w:t xml:space="preserve"> &amp; West e Função Beta</w:t>
      </w:r>
      <w:r>
        <w:rPr>
          <w:bCs/>
          <w:sz w:val="24"/>
          <w:szCs w:val="24"/>
        </w:rPr>
        <w:t xml:space="preserve">. </w:t>
      </w:r>
      <w:r w:rsidRPr="00B821EA">
        <w:rPr>
          <w:bCs/>
          <w:sz w:val="24"/>
          <w:szCs w:val="24"/>
        </w:rPr>
        <w:t xml:space="preserve">O número de árvores por hectare decresce de acordo com aumento das classes de DAP, seguindo a forma de J invertido, sendo aceita a hipótese elaborada. </w:t>
      </w:r>
      <w:r w:rsidRPr="0079139B">
        <w:rPr>
          <w:sz w:val="24"/>
          <w:szCs w:val="24"/>
        </w:rPr>
        <w:t xml:space="preserve">A distribuição de diâmetros observada é muito semelhante à estimada pela equação ajustada de </w:t>
      </w:r>
      <w:proofErr w:type="spellStart"/>
      <w:r w:rsidRPr="00B821EA">
        <w:rPr>
          <w:sz w:val="24"/>
          <w:szCs w:val="24"/>
        </w:rPr>
        <w:t>Goff</w:t>
      </w:r>
      <w:proofErr w:type="spellEnd"/>
      <w:r w:rsidRPr="00B821EA">
        <w:rPr>
          <w:sz w:val="24"/>
          <w:szCs w:val="24"/>
        </w:rPr>
        <w:t xml:space="preserve"> &amp; West</w:t>
      </w:r>
      <w:proofErr w:type="gramStart"/>
      <w:r w:rsidRPr="00B821EA">
        <w:rPr>
          <w:sz w:val="24"/>
          <w:szCs w:val="24"/>
        </w:rPr>
        <w:t>,</w:t>
      </w:r>
      <w:r w:rsidRPr="0079139B">
        <w:rPr>
          <w:sz w:val="24"/>
          <w:szCs w:val="24"/>
        </w:rPr>
        <w:t xml:space="preserve"> </w:t>
      </w:r>
      <w:r w:rsidRPr="0079139B">
        <w:rPr>
          <w:b/>
          <w:i/>
          <w:sz w:val="24"/>
          <w:szCs w:val="24"/>
        </w:rPr>
        <w:t>,</w:t>
      </w:r>
      <w:proofErr w:type="gramEnd"/>
      <w:r w:rsidRPr="0079139B">
        <w:rPr>
          <w:b/>
          <w:i/>
          <w:sz w:val="24"/>
          <w:szCs w:val="24"/>
        </w:rPr>
        <w:t xml:space="preserve"> </w:t>
      </w:r>
      <w:r w:rsidRPr="0079139B">
        <w:rPr>
          <w:sz w:val="24"/>
          <w:szCs w:val="24"/>
        </w:rPr>
        <w:t xml:space="preserve">sendo esta mais precisa para estimar o número de árvores por hectare em função do DAP cm </w:t>
      </w:r>
      <w:r>
        <w:rPr>
          <w:sz w:val="24"/>
          <w:szCs w:val="24"/>
        </w:rPr>
        <w:t>na</w:t>
      </w:r>
      <w:r w:rsidRPr="0079139B">
        <w:rPr>
          <w:sz w:val="24"/>
          <w:szCs w:val="24"/>
        </w:rPr>
        <w:t xml:space="preserve"> área florestal </w:t>
      </w:r>
      <w:r>
        <w:rPr>
          <w:sz w:val="24"/>
          <w:szCs w:val="24"/>
        </w:rPr>
        <w:t>estudada</w:t>
      </w:r>
      <w:r w:rsidRPr="0079139B">
        <w:rPr>
          <w:sz w:val="24"/>
          <w:szCs w:val="24"/>
        </w:rPr>
        <w:t xml:space="preserve">. </w:t>
      </w:r>
      <w:r w:rsidR="009A12FF">
        <w:rPr>
          <w:bCs/>
          <w:sz w:val="24"/>
          <w:szCs w:val="24"/>
        </w:rPr>
        <w:t>C</w:t>
      </w:r>
      <w:r w:rsidRPr="00B821EA">
        <w:rPr>
          <w:bCs/>
          <w:sz w:val="24"/>
          <w:szCs w:val="24"/>
        </w:rPr>
        <w:t xml:space="preserve">oncluiu-se que a </w:t>
      </w:r>
      <w:proofErr w:type="spellStart"/>
      <w:r w:rsidRPr="00B821EA">
        <w:rPr>
          <w:bCs/>
          <w:sz w:val="24"/>
          <w:szCs w:val="24"/>
        </w:rPr>
        <w:t>antropização</w:t>
      </w:r>
      <w:proofErr w:type="spellEnd"/>
      <w:r w:rsidRPr="00B821EA">
        <w:rPr>
          <w:bCs/>
          <w:sz w:val="24"/>
          <w:szCs w:val="24"/>
        </w:rPr>
        <w:t xml:space="preserve"> ocorrida na área de estudo não alterou a estrutura </w:t>
      </w:r>
      <w:proofErr w:type="spellStart"/>
      <w:r w:rsidRPr="00B821EA">
        <w:rPr>
          <w:bCs/>
          <w:sz w:val="24"/>
          <w:szCs w:val="24"/>
        </w:rPr>
        <w:t>diamétrica</w:t>
      </w:r>
      <w:proofErr w:type="spellEnd"/>
      <w:r w:rsidRPr="00B821EA">
        <w:rPr>
          <w:bCs/>
          <w:sz w:val="24"/>
          <w:szCs w:val="24"/>
        </w:rPr>
        <w:t xml:space="preserve"> da floresta de uma distribuição em forma de “J” reverso, característico das florestas amazônicas, o que indica um número decrescente de árvores à medida </w:t>
      </w:r>
      <w:r w:rsidR="007C1B34" w:rsidRPr="00B821EA">
        <w:rPr>
          <w:bCs/>
          <w:sz w:val="24"/>
          <w:szCs w:val="24"/>
        </w:rPr>
        <w:t>que aumenta</w:t>
      </w:r>
      <w:r w:rsidRPr="00B821EA">
        <w:rPr>
          <w:bCs/>
          <w:sz w:val="24"/>
          <w:szCs w:val="24"/>
        </w:rPr>
        <w:t xml:space="preserve"> o diâmetro. </w:t>
      </w:r>
    </w:p>
    <w:p w14:paraId="7997CB84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4F6780DC" w14:textId="38CC58FD"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137AFA">
        <w:rPr>
          <w:bCs/>
          <w:sz w:val="24"/>
          <w:szCs w:val="24"/>
        </w:rPr>
        <w:t xml:space="preserve">Inventário florestal. </w:t>
      </w:r>
      <w:r w:rsidR="004008E9">
        <w:rPr>
          <w:bCs/>
          <w:sz w:val="24"/>
          <w:szCs w:val="24"/>
        </w:rPr>
        <w:t>Modelos probabilísticos</w:t>
      </w:r>
      <w:r w:rsidR="00137AFA">
        <w:rPr>
          <w:bCs/>
          <w:sz w:val="24"/>
          <w:szCs w:val="24"/>
        </w:rPr>
        <w:t>. M</w:t>
      </w:r>
      <w:r w:rsidR="00137AFA" w:rsidRPr="00137AFA">
        <w:rPr>
          <w:bCs/>
          <w:sz w:val="24"/>
          <w:szCs w:val="24"/>
        </w:rPr>
        <w:t>ensuração florestal.</w:t>
      </w:r>
    </w:p>
    <w:p w14:paraId="50C76624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52274A34" w14:textId="466467A9" w:rsidR="00D0394C" w:rsidRDefault="0012462E" w:rsidP="00F2494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4008E9">
        <w:rPr>
          <w:sz w:val="24"/>
          <w:szCs w:val="24"/>
        </w:rPr>
        <w:t>Recursos Florestais e Engenharia Florestal.</w:t>
      </w:r>
    </w:p>
    <w:p w14:paraId="393F53D5" w14:textId="6CD59B04" w:rsidR="00D829A4" w:rsidRPr="00D829A4" w:rsidRDefault="0012462E" w:rsidP="00F94903">
      <w:pPr>
        <w:tabs>
          <w:tab w:val="left" w:pos="1290"/>
        </w:tabs>
        <w:spacing w:after="360"/>
        <w:jc w:val="both"/>
        <w:rPr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>INTRODUÇÃO</w:t>
      </w:r>
    </w:p>
    <w:p w14:paraId="3E767EF3" w14:textId="6C721E72" w:rsidR="00D829A4" w:rsidRDefault="00D829A4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D829A4">
        <w:rPr>
          <w:sz w:val="24"/>
          <w:szCs w:val="28"/>
        </w:rPr>
        <w:t xml:space="preserve">A estrutura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de uma floresta, sob o ponto de vista da produção, permite caracterizar e indicar o estoque de madeira disponível anteriormente a uma exploração, e fornecer informações que auxiliem na tomada de decisões sobre a necessidade de reposição florestal (SCOLFORO et al., 1998).</w:t>
      </w:r>
      <w:r w:rsidR="00AC1CF5">
        <w:rPr>
          <w:sz w:val="24"/>
          <w:szCs w:val="28"/>
        </w:rPr>
        <w:t xml:space="preserve"> </w:t>
      </w:r>
      <w:r w:rsidRPr="00D829A4">
        <w:rPr>
          <w:sz w:val="24"/>
          <w:szCs w:val="28"/>
        </w:rPr>
        <w:t xml:space="preserve">De acordo com </w:t>
      </w:r>
      <w:proofErr w:type="spellStart"/>
      <w:r w:rsidRPr="00D829A4">
        <w:rPr>
          <w:sz w:val="24"/>
          <w:szCs w:val="28"/>
        </w:rPr>
        <w:t>Sanquetta</w:t>
      </w:r>
      <w:proofErr w:type="spellEnd"/>
      <w:r w:rsidRPr="00D829A4">
        <w:rPr>
          <w:sz w:val="24"/>
          <w:szCs w:val="28"/>
        </w:rPr>
        <w:t xml:space="preserve"> et al. (1996), é de extrema relevância a observação precisa do crescimento florestal para o manejador</w:t>
      </w:r>
      <w:r w:rsidR="00B15AE1">
        <w:rPr>
          <w:sz w:val="24"/>
          <w:szCs w:val="28"/>
        </w:rPr>
        <w:t xml:space="preserve">, pois com o entendimento </w:t>
      </w:r>
      <w:r w:rsidR="00B15AE1" w:rsidRPr="00D829A4">
        <w:rPr>
          <w:sz w:val="24"/>
          <w:szCs w:val="28"/>
        </w:rPr>
        <w:t xml:space="preserve">da estrutura </w:t>
      </w:r>
      <w:proofErr w:type="spellStart"/>
      <w:r w:rsidR="00B15AE1" w:rsidRPr="00D829A4">
        <w:rPr>
          <w:sz w:val="24"/>
          <w:szCs w:val="28"/>
        </w:rPr>
        <w:t>diamétrica</w:t>
      </w:r>
      <w:proofErr w:type="spellEnd"/>
      <w:r w:rsidR="00B15AE1">
        <w:rPr>
          <w:sz w:val="24"/>
          <w:szCs w:val="28"/>
        </w:rPr>
        <w:t xml:space="preserve">, pode-se avaliar o </w:t>
      </w:r>
      <w:r w:rsidR="00B15AE1" w:rsidRPr="00D829A4">
        <w:rPr>
          <w:sz w:val="24"/>
          <w:szCs w:val="28"/>
        </w:rPr>
        <w:t>comportamento da espécie</w:t>
      </w:r>
      <w:r w:rsidR="00B15AE1">
        <w:rPr>
          <w:sz w:val="24"/>
          <w:szCs w:val="28"/>
        </w:rPr>
        <w:t xml:space="preserve"> e obter o </w:t>
      </w:r>
      <w:r w:rsidR="00A74AF2" w:rsidRPr="00D829A4">
        <w:rPr>
          <w:sz w:val="24"/>
          <w:szCs w:val="28"/>
        </w:rPr>
        <w:t>volume e área basal</w:t>
      </w:r>
      <w:r w:rsidR="00A74AF2">
        <w:rPr>
          <w:sz w:val="24"/>
          <w:szCs w:val="28"/>
        </w:rPr>
        <w:t>, a partir do</w:t>
      </w:r>
      <w:r w:rsidR="00A74AF2" w:rsidRPr="00D829A4">
        <w:rPr>
          <w:sz w:val="24"/>
          <w:szCs w:val="28"/>
        </w:rPr>
        <w:t xml:space="preserve"> número de árvores em cada classe </w:t>
      </w:r>
      <w:proofErr w:type="spellStart"/>
      <w:r w:rsidR="00A74AF2" w:rsidRPr="00D829A4">
        <w:rPr>
          <w:sz w:val="24"/>
          <w:szCs w:val="28"/>
        </w:rPr>
        <w:t>diamétrica</w:t>
      </w:r>
      <w:proofErr w:type="spellEnd"/>
      <w:r w:rsidR="002446C8">
        <w:rPr>
          <w:sz w:val="24"/>
          <w:szCs w:val="28"/>
        </w:rPr>
        <w:t>.</w:t>
      </w:r>
      <w:r w:rsidR="00B15AE1">
        <w:rPr>
          <w:sz w:val="24"/>
          <w:szCs w:val="28"/>
        </w:rPr>
        <w:t xml:space="preserve"> </w:t>
      </w:r>
    </w:p>
    <w:p w14:paraId="14FFFA82" w14:textId="1F84887B" w:rsidR="005245CB" w:rsidRDefault="002446C8" w:rsidP="002446C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5245CB">
        <w:rPr>
          <w:sz w:val="24"/>
          <w:szCs w:val="28"/>
        </w:rPr>
        <w:t xml:space="preserve">Para </w:t>
      </w:r>
      <w:proofErr w:type="spellStart"/>
      <w:r w:rsidR="005245CB" w:rsidRPr="00D829A4">
        <w:rPr>
          <w:sz w:val="24"/>
          <w:szCs w:val="28"/>
        </w:rPr>
        <w:t>Bartosz</w:t>
      </w:r>
      <w:r w:rsidR="005245CB">
        <w:rPr>
          <w:sz w:val="24"/>
          <w:szCs w:val="28"/>
        </w:rPr>
        <w:t>eck</w:t>
      </w:r>
      <w:proofErr w:type="spellEnd"/>
      <w:r w:rsidR="005245CB">
        <w:rPr>
          <w:sz w:val="24"/>
          <w:szCs w:val="28"/>
        </w:rPr>
        <w:t xml:space="preserve"> et al. (2004), a </w:t>
      </w:r>
      <w:r w:rsidR="005245CB" w:rsidRPr="00D829A4">
        <w:rPr>
          <w:sz w:val="24"/>
          <w:szCs w:val="28"/>
        </w:rPr>
        <w:t xml:space="preserve">estrutura </w:t>
      </w:r>
      <w:proofErr w:type="spellStart"/>
      <w:r w:rsidR="005245CB" w:rsidRPr="00D829A4">
        <w:rPr>
          <w:sz w:val="24"/>
          <w:szCs w:val="28"/>
        </w:rPr>
        <w:t>diamétrica</w:t>
      </w:r>
      <w:proofErr w:type="spellEnd"/>
      <w:r w:rsidR="005245CB">
        <w:rPr>
          <w:sz w:val="24"/>
          <w:szCs w:val="28"/>
        </w:rPr>
        <w:t xml:space="preserve"> possibilita</w:t>
      </w:r>
      <w:r w:rsidR="005245CB" w:rsidRPr="00D829A4">
        <w:rPr>
          <w:sz w:val="24"/>
          <w:szCs w:val="28"/>
        </w:rPr>
        <w:t xml:space="preserve"> avalia</w:t>
      </w:r>
      <w:r w:rsidR="005245CB">
        <w:rPr>
          <w:sz w:val="24"/>
          <w:szCs w:val="28"/>
        </w:rPr>
        <w:t>r</w:t>
      </w:r>
      <w:r w:rsidR="005245CB" w:rsidRPr="00D829A4">
        <w:rPr>
          <w:sz w:val="24"/>
          <w:szCs w:val="28"/>
        </w:rPr>
        <w:t xml:space="preserve"> o comportamento da espécie, em virtude dos vários fatores capazes de interferir no crescimento, no qual destaca-se o manejo e as atividades de exploração comercial.</w:t>
      </w:r>
      <w:r w:rsidR="005245CB">
        <w:rPr>
          <w:sz w:val="24"/>
          <w:szCs w:val="28"/>
        </w:rPr>
        <w:t xml:space="preserve"> </w:t>
      </w:r>
      <w:r w:rsidRPr="00D829A4">
        <w:rPr>
          <w:sz w:val="24"/>
          <w:szCs w:val="28"/>
        </w:rPr>
        <w:t xml:space="preserve">O manejo das florestas brasileiras é restringido pela escassez de informações, especialmente acerca do crescimento </w:t>
      </w:r>
      <w:proofErr w:type="spellStart"/>
      <w:r w:rsidRPr="00D829A4">
        <w:rPr>
          <w:sz w:val="24"/>
          <w:szCs w:val="28"/>
        </w:rPr>
        <w:t>ﬂorestal</w:t>
      </w:r>
      <w:proofErr w:type="spellEnd"/>
      <w:r w:rsidRPr="00D829A4">
        <w:rPr>
          <w:sz w:val="24"/>
          <w:szCs w:val="28"/>
        </w:rPr>
        <w:t xml:space="preserve"> e do comportamento da estrutura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no tempo. De acordo com Pires-</w:t>
      </w:r>
      <w:proofErr w:type="spellStart"/>
      <w:r w:rsidRPr="00D829A4">
        <w:rPr>
          <w:sz w:val="24"/>
          <w:szCs w:val="28"/>
        </w:rPr>
        <w:t>O’brien</w:t>
      </w:r>
      <w:proofErr w:type="spellEnd"/>
      <w:r w:rsidRPr="00D829A4">
        <w:rPr>
          <w:sz w:val="24"/>
          <w:szCs w:val="28"/>
        </w:rPr>
        <w:t xml:space="preserve"> &amp; </w:t>
      </w:r>
      <w:proofErr w:type="spellStart"/>
      <w:r w:rsidRPr="00D829A4">
        <w:rPr>
          <w:sz w:val="24"/>
          <w:szCs w:val="28"/>
        </w:rPr>
        <w:t>O’brien</w:t>
      </w:r>
      <w:proofErr w:type="spellEnd"/>
      <w:r w:rsidRPr="00D829A4">
        <w:rPr>
          <w:sz w:val="24"/>
          <w:szCs w:val="28"/>
        </w:rPr>
        <w:t xml:space="preserve"> (1995), a estrutura de uma floresta pode ser explicada pela distribuição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>, que é definida pela caracterização do número de árvores por unidade de área e por intervalo de classe de diâmetro.</w:t>
      </w:r>
    </w:p>
    <w:p w14:paraId="182FBBDE" w14:textId="037960D5" w:rsidR="00B15AE1" w:rsidRDefault="005245CB" w:rsidP="002446C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proofErr w:type="spellStart"/>
      <w:r w:rsidR="002446C8" w:rsidRPr="00D829A4">
        <w:rPr>
          <w:sz w:val="24"/>
          <w:szCs w:val="28"/>
        </w:rPr>
        <w:t>Loetsch</w:t>
      </w:r>
      <w:proofErr w:type="spellEnd"/>
      <w:r w:rsidR="002446C8" w:rsidRPr="00D829A4">
        <w:rPr>
          <w:sz w:val="24"/>
          <w:szCs w:val="28"/>
        </w:rPr>
        <w:t xml:space="preserve"> et al. (1973) afirmam que as distribuições </w:t>
      </w:r>
      <w:proofErr w:type="spellStart"/>
      <w:r w:rsidR="002446C8" w:rsidRPr="00D829A4">
        <w:rPr>
          <w:sz w:val="24"/>
          <w:szCs w:val="28"/>
        </w:rPr>
        <w:t>diamétricas</w:t>
      </w:r>
      <w:proofErr w:type="spellEnd"/>
      <w:r w:rsidR="002446C8" w:rsidRPr="00D829A4">
        <w:rPr>
          <w:sz w:val="24"/>
          <w:szCs w:val="28"/>
        </w:rPr>
        <w:t xml:space="preserve"> se classificam em três tipos principais: a) a </w:t>
      </w:r>
      <w:proofErr w:type="spellStart"/>
      <w:r w:rsidR="002446C8" w:rsidRPr="00D829A4">
        <w:rPr>
          <w:sz w:val="24"/>
          <w:szCs w:val="28"/>
        </w:rPr>
        <w:t>unimodal</w:t>
      </w:r>
      <w:proofErr w:type="spellEnd"/>
      <w:r w:rsidR="002446C8" w:rsidRPr="00D829A4">
        <w:rPr>
          <w:sz w:val="24"/>
          <w:szCs w:val="28"/>
        </w:rPr>
        <w:t xml:space="preserve">, característica de plantios jovens e </w:t>
      </w:r>
      <w:proofErr w:type="spellStart"/>
      <w:r w:rsidR="002446C8" w:rsidRPr="00D829A4">
        <w:rPr>
          <w:sz w:val="24"/>
          <w:szCs w:val="28"/>
        </w:rPr>
        <w:t>eqüiâneos</w:t>
      </w:r>
      <w:proofErr w:type="spellEnd"/>
      <w:r w:rsidR="002446C8" w:rsidRPr="00D829A4">
        <w:rPr>
          <w:sz w:val="24"/>
          <w:szCs w:val="28"/>
        </w:rPr>
        <w:t>; b) a decrescente, que é característica de florestas, plantios bem manejados ou considerados em conjunto (um estado ou um país); e c) a multimodal, com pouca importância nos estudos florestais, sendo raramente encontrada em florestas.</w:t>
      </w:r>
    </w:p>
    <w:p w14:paraId="43C8D0E5" w14:textId="7A46FAE7" w:rsidR="00AC1CF5" w:rsidRPr="00D829A4" w:rsidRDefault="00AC1CF5" w:rsidP="00B15AE1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D829A4">
        <w:rPr>
          <w:sz w:val="24"/>
          <w:szCs w:val="28"/>
        </w:rPr>
        <w:t xml:space="preserve">As </w:t>
      </w:r>
      <w:proofErr w:type="spellStart"/>
      <w:r w:rsidRPr="00D829A4">
        <w:rPr>
          <w:sz w:val="24"/>
          <w:szCs w:val="28"/>
        </w:rPr>
        <w:t>ﬂorestas</w:t>
      </w:r>
      <w:proofErr w:type="spellEnd"/>
      <w:r w:rsidRPr="00D829A4">
        <w:rPr>
          <w:sz w:val="24"/>
          <w:szCs w:val="28"/>
        </w:rPr>
        <w:t xml:space="preserve"> nativas, em geral, e as </w:t>
      </w:r>
      <w:proofErr w:type="spellStart"/>
      <w:r w:rsidRPr="00D829A4">
        <w:rPr>
          <w:sz w:val="24"/>
          <w:szCs w:val="28"/>
        </w:rPr>
        <w:t>ﬂorestas</w:t>
      </w:r>
      <w:proofErr w:type="spellEnd"/>
      <w:r w:rsidRPr="00D829A4">
        <w:rPr>
          <w:sz w:val="24"/>
          <w:szCs w:val="28"/>
        </w:rPr>
        <w:t xml:space="preserve"> tropicais, em particular, são geralmente designadas como tendo uma distribuição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na forma de ‘J-invertido’, o que indica um número decrescente de árvores à medida que se aumenta o diâmetro. Essa designação, no entanto, é extremamente simplista e praticamente qualquer </w:t>
      </w:r>
      <w:proofErr w:type="spellStart"/>
      <w:r w:rsidRPr="00D829A4">
        <w:rPr>
          <w:sz w:val="24"/>
          <w:szCs w:val="28"/>
        </w:rPr>
        <w:t>ﬂoresta</w:t>
      </w:r>
      <w:proofErr w:type="spellEnd"/>
      <w:r w:rsidRPr="00D829A4">
        <w:rPr>
          <w:sz w:val="24"/>
          <w:szCs w:val="28"/>
        </w:rPr>
        <w:t xml:space="preserve"> nativa se enquadra nela (LIMA &amp; LEÃO, 2013). Já para Meyer et al. (1961), em formações florestais a distribuição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pode ser muitas vezes errática ou descontínua, não seguindo realmente uma forma “J” invertido e muito menos sendo balanceada.</w:t>
      </w:r>
    </w:p>
    <w:p w14:paraId="2CA7FE05" w14:textId="0A02BB2F" w:rsidR="00AC1CF5" w:rsidRPr="00D829A4" w:rsidRDefault="00AC1CF5" w:rsidP="00AC1CF5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D829A4">
        <w:rPr>
          <w:sz w:val="24"/>
          <w:szCs w:val="28"/>
        </w:rPr>
        <w:t xml:space="preserve">De qualquer forma, o conhecimento da estrutura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de formações florestais </w:t>
      </w:r>
      <w:proofErr w:type="spellStart"/>
      <w:r w:rsidRPr="00D829A4">
        <w:rPr>
          <w:sz w:val="24"/>
          <w:szCs w:val="28"/>
        </w:rPr>
        <w:t>mutiâneas</w:t>
      </w:r>
      <w:proofErr w:type="spellEnd"/>
      <w:r w:rsidRPr="00D829A4">
        <w:rPr>
          <w:sz w:val="24"/>
          <w:szCs w:val="28"/>
        </w:rPr>
        <w:t xml:space="preserve"> ou </w:t>
      </w:r>
      <w:proofErr w:type="spellStart"/>
      <w:r w:rsidRPr="00D829A4">
        <w:rPr>
          <w:sz w:val="24"/>
          <w:szCs w:val="28"/>
        </w:rPr>
        <w:t>inequiâneas</w:t>
      </w:r>
      <w:proofErr w:type="spellEnd"/>
      <w:r w:rsidRPr="00D829A4">
        <w:rPr>
          <w:sz w:val="24"/>
          <w:szCs w:val="28"/>
        </w:rPr>
        <w:t xml:space="preserve"> é importante, uma vez que a variável idade é de difícil obtenção e mostra </w:t>
      </w:r>
      <w:r w:rsidRPr="00D829A4">
        <w:rPr>
          <w:sz w:val="24"/>
          <w:szCs w:val="28"/>
        </w:rPr>
        <w:lastRenderedPageBreak/>
        <w:t xml:space="preserve">um valor relativo (CABALERO &amp; MALLEUX ORJEDA, 1976) em virtude da elevada biodiversidade das formações florestais neotropicais, da variação nas classes de diâmetro e das condições </w:t>
      </w:r>
      <w:proofErr w:type="spellStart"/>
      <w:r w:rsidRPr="00D829A4">
        <w:rPr>
          <w:sz w:val="24"/>
          <w:szCs w:val="28"/>
        </w:rPr>
        <w:t>ecofisiológicas</w:t>
      </w:r>
      <w:proofErr w:type="spellEnd"/>
      <w:r w:rsidRPr="00D829A4">
        <w:rPr>
          <w:sz w:val="24"/>
          <w:szCs w:val="28"/>
        </w:rPr>
        <w:t xml:space="preserve"> diversas das espécies (SOUZA &amp; JESUS, 1994).  </w:t>
      </w:r>
    </w:p>
    <w:p w14:paraId="5291446B" w14:textId="6D6155BB" w:rsidR="00D829A4" w:rsidRPr="00D829A4" w:rsidRDefault="00D829A4" w:rsidP="00D829A4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D829A4">
        <w:rPr>
          <w:sz w:val="24"/>
          <w:szCs w:val="28"/>
        </w:rPr>
        <w:t xml:space="preserve">Diante do exposto, </w:t>
      </w:r>
      <w:r w:rsidR="002446C8">
        <w:rPr>
          <w:sz w:val="24"/>
          <w:szCs w:val="28"/>
        </w:rPr>
        <w:t>o</w:t>
      </w:r>
      <w:r w:rsidRPr="00D829A4">
        <w:rPr>
          <w:sz w:val="24"/>
          <w:szCs w:val="28"/>
        </w:rPr>
        <w:t xml:space="preserve"> trabalho </w:t>
      </w:r>
      <w:r w:rsidR="00234866">
        <w:rPr>
          <w:sz w:val="24"/>
          <w:szCs w:val="28"/>
        </w:rPr>
        <w:t>levantou o</w:t>
      </w:r>
      <w:r w:rsidR="002446C8">
        <w:rPr>
          <w:sz w:val="24"/>
          <w:szCs w:val="28"/>
        </w:rPr>
        <w:t xml:space="preserve"> seguinte</w:t>
      </w:r>
      <w:r w:rsidR="002446C8" w:rsidRPr="00D829A4">
        <w:rPr>
          <w:sz w:val="24"/>
          <w:szCs w:val="28"/>
        </w:rPr>
        <w:t xml:space="preserve"> </w:t>
      </w:r>
      <w:r w:rsidRPr="00D829A4">
        <w:rPr>
          <w:sz w:val="24"/>
          <w:szCs w:val="28"/>
        </w:rPr>
        <w:t>questionamento</w:t>
      </w:r>
      <w:r w:rsidR="006213AB">
        <w:rPr>
          <w:sz w:val="24"/>
          <w:szCs w:val="28"/>
        </w:rPr>
        <w:t>:</w:t>
      </w:r>
      <w:r w:rsidRPr="00D829A4">
        <w:rPr>
          <w:sz w:val="24"/>
          <w:szCs w:val="28"/>
        </w:rPr>
        <w:t xml:space="preserve"> </w:t>
      </w:r>
      <w:r w:rsidR="005245CB">
        <w:rPr>
          <w:sz w:val="24"/>
          <w:szCs w:val="28"/>
        </w:rPr>
        <w:t>A distribuição</w:t>
      </w:r>
      <w:r w:rsidRPr="00D829A4">
        <w:rPr>
          <w:sz w:val="24"/>
          <w:szCs w:val="28"/>
        </w:rPr>
        <w:t xml:space="preserve">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da floresta </w:t>
      </w:r>
      <w:r w:rsidR="005245CB">
        <w:rPr>
          <w:sz w:val="24"/>
          <w:szCs w:val="28"/>
        </w:rPr>
        <w:t>no município de B</w:t>
      </w:r>
      <w:r w:rsidR="005245CB" w:rsidRPr="005245CB">
        <w:rPr>
          <w:sz w:val="24"/>
          <w:szCs w:val="28"/>
        </w:rPr>
        <w:t>arcarena</w:t>
      </w:r>
      <w:r w:rsidR="005245CB">
        <w:rPr>
          <w:sz w:val="24"/>
          <w:szCs w:val="28"/>
        </w:rPr>
        <w:t xml:space="preserve">, PA, possui comportamento característico de florestas </w:t>
      </w:r>
      <w:proofErr w:type="spellStart"/>
      <w:r w:rsidR="005245CB">
        <w:rPr>
          <w:sz w:val="24"/>
          <w:szCs w:val="28"/>
        </w:rPr>
        <w:t>inequiâneas</w:t>
      </w:r>
      <w:proofErr w:type="spellEnd"/>
      <w:r w:rsidRPr="00D829A4">
        <w:rPr>
          <w:sz w:val="24"/>
          <w:szCs w:val="28"/>
        </w:rPr>
        <w:t xml:space="preserve">?  </w:t>
      </w:r>
      <w:r w:rsidR="002532F6">
        <w:rPr>
          <w:sz w:val="24"/>
          <w:szCs w:val="28"/>
        </w:rPr>
        <w:t>A</w:t>
      </w:r>
      <w:r w:rsidRPr="00D829A4">
        <w:rPr>
          <w:sz w:val="24"/>
          <w:szCs w:val="28"/>
        </w:rPr>
        <w:t xml:space="preserve"> hipótese é que </w:t>
      </w:r>
      <w:r w:rsidR="002532F6">
        <w:rPr>
          <w:sz w:val="24"/>
          <w:szCs w:val="28"/>
        </w:rPr>
        <w:t>se</w:t>
      </w:r>
      <w:r w:rsidR="00445215">
        <w:rPr>
          <w:sz w:val="24"/>
          <w:szCs w:val="28"/>
        </w:rPr>
        <w:t xml:space="preserve"> a floresta possui distribuição de </w:t>
      </w:r>
      <w:r w:rsidRPr="00D829A4">
        <w:rPr>
          <w:sz w:val="24"/>
          <w:szCs w:val="28"/>
        </w:rPr>
        <w:t xml:space="preserve">forma de “J” reverso, </w:t>
      </w:r>
      <w:r w:rsidR="00F001D3">
        <w:rPr>
          <w:sz w:val="24"/>
          <w:szCs w:val="28"/>
        </w:rPr>
        <w:t>logo mantem</w:t>
      </w:r>
      <w:r w:rsidR="00445215">
        <w:rPr>
          <w:sz w:val="24"/>
          <w:szCs w:val="28"/>
        </w:rPr>
        <w:t xml:space="preserve"> </w:t>
      </w:r>
      <w:r w:rsidR="00F001D3">
        <w:rPr>
          <w:sz w:val="24"/>
          <w:szCs w:val="28"/>
        </w:rPr>
        <w:t>a sua</w:t>
      </w:r>
      <w:r w:rsidR="00445215">
        <w:rPr>
          <w:sz w:val="24"/>
          <w:szCs w:val="28"/>
        </w:rPr>
        <w:t xml:space="preserve"> estrutura</w:t>
      </w:r>
      <w:r w:rsidR="0030128A">
        <w:rPr>
          <w:sz w:val="24"/>
          <w:szCs w:val="28"/>
        </w:rPr>
        <w:t xml:space="preserve"> </w:t>
      </w:r>
      <w:proofErr w:type="spellStart"/>
      <w:r w:rsidR="0030128A">
        <w:rPr>
          <w:sz w:val="24"/>
          <w:szCs w:val="28"/>
        </w:rPr>
        <w:t>diamétrica</w:t>
      </w:r>
      <w:proofErr w:type="spellEnd"/>
      <w:r w:rsidR="0030128A">
        <w:rPr>
          <w:sz w:val="24"/>
          <w:szCs w:val="28"/>
        </w:rPr>
        <w:t>, caracterizada</w:t>
      </w:r>
      <w:r w:rsidR="00F001D3">
        <w:rPr>
          <w:sz w:val="24"/>
          <w:szCs w:val="28"/>
        </w:rPr>
        <w:t xml:space="preserve"> pelo decréscimo do número de indivíduos com o aumento das classes de diâmetro. </w:t>
      </w:r>
    </w:p>
    <w:p w14:paraId="29FA8F85" w14:textId="35C875A5" w:rsidR="0012462E" w:rsidRDefault="00D829A4" w:rsidP="00D829A4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D829A4">
        <w:rPr>
          <w:sz w:val="24"/>
          <w:szCs w:val="28"/>
        </w:rPr>
        <w:t xml:space="preserve">O objetivo foi avaliar </w:t>
      </w:r>
      <w:r w:rsidR="005245CB">
        <w:rPr>
          <w:sz w:val="24"/>
          <w:szCs w:val="28"/>
        </w:rPr>
        <w:t>e modelar a distribuição</w:t>
      </w:r>
      <w:r w:rsidR="005245CB" w:rsidRPr="00D829A4">
        <w:rPr>
          <w:sz w:val="24"/>
          <w:szCs w:val="28"/>
        </w:rPr>
        <w:t xml:space="preserve"> </w:t>
      </w:r>
      <w:proofErr w:type="spellStart"/>
      <w:r w:rsidRPr="00D829A4">
        <w:rPr>
          <w:sz w:val="24"/>
          <w:szCs w:val="28"/>
        </w:rPr>
        <w:t>diamétrica</w:t>
      </w:r>
      <w:proofErr w:type="spellEnd"/>
      <w:r w:rsidRPr="00D829A4">
        <w:rPr>
          <w:sz w:val="24"/>
          <w:szCs w:val="28"/>
        </w:rPr>
        <w:t xml:space="preserve"> </w:t>
      </w:r>
      <w:r w:rsidR="005245CB">
        <w:rPr>
          <w:sz w:val="24"/>
          <w:szCs w:val="28"/>
        </w:rPr>
        <w:t>em uma área com</w:t>
      </w:r>
      <w:r w:rsidRPr="00D829A4">
        <w:rPr>
          <w:sz w:val="24"/>
          <w:szCs w:val="28"/>
        </w:rPr>
        <w:t xml:space="preserve"> diferentes tipologias florestais no município de Barcarena no estado do Pará.</w:t>
      </w:r>
    </w:p>
    <w:p w14:paraId="3F675943" w14:textId="6D38EC1B" w:rsidR="0012462E" w:rsidRPr="00857B31" w:rsidRDefault="00D829A4" w:rsidP="002E72C4">
      <w:pPr>
        <w:tabs>
          <w:tab w:val="left" w:pos="709"/>
        </w:tabs>
        <w:spacing w:line="360" w:lineRule="auto"/>
        <w:ind w:firstLine="709"/>
        <w:jc w:val="both"/>
      </w:pPr>
      <w:r w:rsidRPr="00D829A4">
        <w:rPr>
          <w:sz w:val="24"/>
          <w:szCs w:val="28"/>
        </w:rPr>
        <w:t xml:space="preserve"> </w:t>
      </w:r>
    </w:p>
    <w:p w14:paraId="554054AF" w14:textId="77777777" w:rsidR="007472DE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MATERIAL E MÉTODOS</w:t>
      </w:r>
    </w:p>
    <w:p w14:paraId="7AD836DA" w14:textId="66560BB6" w:rsidR="0012462E" w:rsidRDefault="007472D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.1 </w:t>
      </w:r>
      <w:r>
        <w:rPr>
          <w:sz w:val="24"/>
          <w:szCs w:val="28"/>
        </w:rPr>
        <w:t xml:space="preserve">LOCALIZAÇÃO </w:t>
      </w:r>
      <w:r w:rsidR="008F7747">
        <w:rPr>
          <w:sz w:val="24"/>
          <w:szCs w:val="28"/>
        </w:rPr>
        <w:t xml:space="preserve">E CARACTERIZAÇÃO DA </w:t>
      </w:r>
      <w:r>
        <w:rPr>
          <w:sz w:val="24"/>
          <w:szCs w:val="28"/>
        </w:rPr>
        <w:t>ÁREA DE ESTUDO</w:t>
      </w:r>
    </w:p>
    <w:p w14:paraId="75A871FC" w14:textId="69D7417F" w:rsidR="007472DE" w:rsidRPr="001718F2" w:rsidRDefault="007472DE" w:rsidP="006249AB">
      <w:pPr>
        <w:spacing w:line="360" w:lineRule="auto"/>
        <w:ind w:firstLine="709"/>
        <w:jc w:val="both"/>
        <w:rPr>
          <w:sz w:val="22"/>
          <w:szCs w:val="22"/>
        </w:rPr>
      </w:pPr>
      <w:r w:rsidRPr="009E51AE">
        <w:rPr>
          <w:sz w:val="24"/>
          <w:szCs w:val="24"/>
        </w:rPr>
        <w:t xml:space="preserve">A área de estudo localiza-se </w:t>
      </w:r>
      <w:r>
        <w:rPr>
          <w:sz w:val="24"/>
          <w:szCs w:val="24"/>
        </w:rPr>
        <w:t>em uma</w:t>
      </w:r>
      <w:r w:rsidRPr="009E51AE">
        <w:rPr>
          <w:sz w:val="24"/>
          <w:szCs w:val="24"/>
        </w:rPr>
        <w:t xml:space="preserve"> ilha no Município de Barcarena, c</w:t>
      </w:r>
      <w:r>
        <w:rPr>
          <w:sz w:val="24"/>
          <w:szCs w:val="24"/>
        </w:rPr>
        <w:t>om extensão aproximada de 280 ha</w:t>
      </w:r>
      <w:r w:rsidRPr="009E51AE">
        <w:rPr>
          <w:sz w:val="24"/>
          <w:szCs w:val="24"/>
        </w:rPr>
        <w:t>, s</w:t>
      </w:r>
      <w:r>
        <w:rPr>
          <w:sz w:val="24"/>
          <w:szCs w:val="24"/>
        </w:rPr>
        <w:t>endo esta</w:t>
      </w:r>
      <w:r w:rsidRPr="009E51AE">
        <w:rPr>
          <w:sz w:val="24"/>
          <w:szCs w:val="24"/>
        </w:rPr>
        <w:t xml:space="preserve"> pertencente </w:t>
      </w:r>
      <w:r>
        <w:rPr>
          <w:sz w:val="24"/>
          <w:szCs w:val="24"/>
        </w:rPr>
        <w:t xml:space="preserve">à </w:t>
      </w:r>
      <w:r w:rsidRPr="009E51AE">
        <w:rPr>
          <w:sz w:val="24"/>
          <w:szCs w:val="24"/>
        </w:rPr>
        <w:t>microrregião metropolitana de Belém, Estado do Pará, entre as coordenadas geográficas de 1</w:t>
      </w:r>
      <w:r w:rsidR="00F63F07"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11</w:t>
      </w:r>
      <w:r w:rsidR="00F63F07">
        <w:rPr>
          <w:sz w:val="24"/>
          <w:szCs w:val="24"/>
        </w:rPr>
        <w:t xml:space="preserve">’ </w:t>
      </w:r>
      <w:r w:rsidRPr="009E51AE">
        <w:rPr>
          <w:sz w:val="24"/>
          <w:szCs w:val="24"/>
        </w:rPr>
        <w:t>30" e 1</w:t>
      </w:r>
      <w:r w:rsidR="00F63F07"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42' 00" de latitude sul e </w:t>
      </w:r>
      <w:r w:rsidR="00F63F07" w:rsidRPr="009E51AE">
        <w:rPr>
          <w:sz w:val="24"/>
          <w:szCs w:val="24"/>
        </w:rPr>
        <w:t>48</w:t>
      </w:r>
      <w:proofErr w:type="gramStart"/>
      <w:r w:rsidR="00F63F07">
        <w:rPr>
          <w:sz w:val="24"/>
          <w:szCs w:val="24"/>
        </w:rPr>
        <w:t xml:space="preserve">° </w:t>
      </w:r>
      <w:r w:rsidRPr="009E51AE">
        <w:rPr>
          <w:sz w:val="24"/>
          <w:szCs w:val="24"/>
        </w:rPr>
        <w:t xml:space="preserve"> 25</w:t>
      </w:r>
      <w:proofErr w:type="gramEnd"/>
      <w:r w:rsidRPr="009E51AE">
        <w:rPr>
          <w:sz w:val="24"/>
          <w:szCs w:val="24"/>
        </w:rPr>
        <w:t>' 15" e 48</w:t>
      </w:r>
      <w:r w:rsidR="00F63F07">
        <w:rPr>
          <w:sz w:val="24"/>
          <w:szCs w:val="24"/>
        </w:rPr>
        <w:t>°</w:t>
      </w:r>
      <w:r w:rsidRPr="009E51AE">
        <w:rPr>
          <w:sz w:val="24"/>
          <w:szCs w:val="24"/>
        </w:rPr>
        <w:t xml:space="preserve"> 50' 10" de longitude oeste. </w:t>
      </w:r>
    </w:p>
    <w:p w14:paraId="0165BC9C" w14:textId="54E419A7" w:rsidR="001718F2" w:rsidRDefault="001718F2" w:rsidP="003674C5">
      <w:pPr>
        <w:spacing w:line="360" w:lineRule="auto"/>
        <w:ind w:firstLine="708"/>
        <w:jc w:val="both"/>
        <w:rPr>
          <w:sz w:val="24"/>
          <w:szCs w:val="24"/>
        </w:rPr>
      </w:pPr>
      <w:r w:rsidRPr="007472DE">
        <w:rPr>
          <w:sz w:val="24"/>
          <w:szCs w:val="24"/>
        </w:rPr>
        <w:t xml:space="preserve">De acordo com a classificação de </w:t>
      </w:r>
      <w:proofErr w:type="spellStart"/>
      <w:r w:rsidRPr="007472DE">
        <w:rPr>
          <w:sz w:val="24"/>
          <w:szCs w:val="24"/>
        </w:rPr>
        <w:t>Köppen</w:t>
      </w:r>
      <w:proofErr w:type="spellEnd"/>
      <w:r w:rsidRPr="007472DE">
        <w:rPr>
          <w:sz w:val="24"/>
          <w:szCs w:val="24"/>
        </w:rPr>
        <w:t xml:space="preserve">, o clima da região é do tipo </w:t>
      </w:r>
      <w:proofErr w:type="spellStart"/>
      <w:r w:rsidRPr="007472DE">
        <w:rPr>
          <w:sz w:val="24"/>
          <w:szCs w:val="24"/>
        </w:rPr>
        <w:t>Am</w:t>
      </w:r>
      <w:proofErr w:type="spellEnd"/>
      <w:r w:rsidRPr="007472DE">
        <w:rPr>
          <w:sz w:val="24"/>
          <w:szCs w:val="24"/>
        </w:rPr>
        <w:t xml:space="preserve">, </w:t>
      </w:r>
      <w:r>
        <w:rPr>
          <w:sz w:val="24"/>
          <w:szCs w:val="24"/>
        </w:rPr>
        <w:t>caracterizado por</w:t>
      </w:r>
      <w:r w:rsidRPr="007472DE">
        <w:rPr>
          <w:sz w:val="24"/>
          <w:szCs w:val="24"/>
        </w:rPr>
        <w:t xml:space="preserve"> um clima </w:t>
      </w:r>
      <w:r>
        <w:rPr>
          <w:sz w:val="24"/>
          <w:szCs w:val="24"/>
        </w:rPr>
        <w:t xml:space="preserve">tropical </w:t>
      </w:r>
      <w:r w:rsidRPr="007472DE">
        <w:rPr>
          <w:sz w:val="24"/>
          <w:szCs w:val="24"/>
        </w:rPr>
        <w:t>quente e úmido</w:t>
      </w:r>
      <w:r>
        <w:rPr>
          <w:sz w:val="24"/>
          <w:szCs w:val="24"/>
        </w:rPr>
        <w:t>,</w:t>
      </w:r>
      <w:r w:rsidRPr="007472DE">
        <w:rPr>
          <w:sz w:val="24"/>
          <w:szCs w:val="24"/>
        </w:rPr>
        <w:t xml:space="preserve"> chuvoso com curta estação seca</w:t>
      </w:r>
      <w:r w:rsidR="00FB56EB">
        <w:rPr>
          <w:sz w:val="24"/>
          <w:szCs w:val="24"/>
        </w:rPr>
        <w:t xml:space="preserve">, </w:t>
      </w:r>
      <w:r w:rsidRPr="007472DE">
        <w:rPr>
          <w:sz w:val="24"/>
          <w:szCs w:val="24"/>
        </w:rPr>
        <w:t>com temperatura média anual de 2</w:t>
      </w:r>
      <w:r w:rsidR="00503D45">
        <w:rPr>
          <w:sz w:val="24"/>
          <w:szCs w:val="24"/>
        </w:rPr>
        <w:t>6</w:t>
      </w:r>
      <w:r w:rsidRPr="007472DE">
        <w:rPr>
          <w:sz w:val="24"/>
          <w:szCs w:val="24"/>
        </w:rPr>
        <w:t>ºC e com baixa amplitude térmica</w:t>
      </w:r>
      <w:r w:rsidR="00503D45">
        <w:rPr>
          <w:sz w:val="24"/>
          <w:szCs w:val="24"/>
        </w:rPr>
        <w:t>. A</w:t>
      </w:r>
      <w:r w:rsidR="00503D45" w:rsidRPr="007472DE">
        <w:rPr>
          <w:sz w:val="24"/>
          <w:szCs w:val="24"/>
        </w:rPr>
        <w:t xml:space="preserve"> temperatura do ar média de todos os meses </w:t>
      </w:r>
      <w:r w:rsidR="00503D45">
        <w:rPr>
          <w:sz w:val="24"/>
          <w:szCs w:val="24"/>
        </w:rPr>
        <w:t>sempre maior que 18° C (megatérmico).</w:t>
      </w:r>
      <w:r w:rsidR="00503D45" w:rsidRPr="007472DE">
        <w:rPr>
          <w:sz w:val="24"/>
          <w:szCs w:val="24"/>
        </w:rPr>
        <w:t xml:space="preserve"> As temperaturas médias das máximas e das mínimas anuais variam em torno de 31,5°C e 22,5°C, respectivamente. </w:t>
      </w:r>
      <w:r w:rsidRPr="007472DE">
        <w:rPr>
          <w:sz w:val="24"/>
          <w:szCs w:val="24"/>
        </w:rPr>
        <w:t xml:space="preserve"> A precipitação</w:t>
      </w:r>
      <w:r w:rsidR="00503D45">
        <w:rPr>
          <w:sz w:val="24"/>
          <w:szCs w:val="24"/>
        </w:rPr>
        <w:t xml:space="preserve"> pluviométrica </w:t>
      </w:r>
      <w:r w:rsidR="00E97DB7">
        <w:rPr>
          <w:sz w:val="24"/>
          <w:szCs w:val="24"/>
        </w:rPr>
        <w:t>com total anual de 2.587,7</w:t>
      </w:r>
      <w:r w:rsidRPr="007472DE">
        <w:rPr>
          <w:sz w:val="24"/>
          <w:szCs w:val="24"/>
        </w:rPr>
        <w:t xml:space="preserve"> mm, com estação chuvosa entre janeiro a junho,</w:t>
      </w:r>
      <w:r w:rsidR="009315D0">
        <w:rPr>
          <w:sz w:val="24"/>
          <w:szCs w:val="24"/>
        </w:rPr>
        <w:t xml:space="preserve"> e menos chuvosa de julho a dezembro</w:t>
      </w:r>
      <w:r w:rsidR="00503D45">
        <w:rPr>
          <w:sz w:val="24"/>
          <w:szCs w:val="24"/>
        </w:rPr>
        <w:t xml:space="preserve"> </w:t>
      </w:r>
      <w:r w:rsidR="00C77708">
        <w:rPr>
          <w:sz w:val="24"/>
          <w:szCs w:val="24"/>
        </w:rPr>
        <w:t>(SANTOS</w:t>
      </w:r>
      <w:r w:rsidR="009315D0">
        <w:rPr>
          <w:sz w:val="24"/>
          <w:szCs w:val="24"/>
        </w:rPr>
        <w:t xml:space="preserve"> </w:t>
      </w:r>
      <w:r w:rsidR="009315D0" w:rsidRPr="00E91D33">
        <w:rPr>
          <w:sz w:val="24"/>
          <w:szCs w:val="24"/>
        </w:rPr>
        <w:t>et al</w:t>
      </w:r>
      <w:r w:rsidR="00C77708">
        <w:rPr>
          <w:sz w:val="24"/>
          <w:szCs w:val="24"/>
        </w:rPr>
        <w:t xml:space="preserve">., </w:t>
      </w:r>
      <w:r w:rsidR="009315D0">
        <w:rPr>
          <w:sz w:val="24"/>
          <w:szCs w:val="24"/>
        </w:rPr>
        <w:t>2003)</w:t>
      </w:r>
      <w:r w:rsidR="009315D0" w:rsidRPr="007472DE">
        <w:rPr>
          <w:sz w:val="24"/>
          <w:szCs w:val="24"/>
        </w:rPr>
        <w:t xml:space="preserve">. </w:t>
      </w:r>
      <w:r w:rsidR="009315D0">
        <w:rPr>
          <w:sz w:val="24"/>
          <w:szCs w:val="24"/>
        </w:rPr>
        <w:t xml:space="preserve"> </w:t>
      </w:r>
    </w:p>
    <w:p w14:paraId="19CF69C1" w14:textId="45F92E5A" w:rsidR="003674C5" w:rsidRPr="009E51AE" w:rsidRDefault="003674C5" w:rsidP="003674C5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E51AE">
        <w:rPr>
          <w:sz w:val="24"/>
          <w:szCs w:val="24"/>
        </w:rPr>
        <w:t xml:space="preserve">A vegetação é constituída essencialmente pela floresta equatorial </w:t>
      </w:r>
      <w:proofErr w:type="spellStart"/>
      <w:r w:rsidRPr="009E51AE">
        <w:rPr>
          <w:sz w:val="24"/>
          <w:szCs w:val="24"/>
        </w:rPr>
        <w:t>subperenifólia</w:t>
      </w:r>
      <w:proofErr w:type="spellEnd"/>
      <w:r w:rsidRPr="009E51AE">
        <w:rPr>
          <w:sz w:val="24"/>
          <w:szCs w:val="24"/>
        </w:rPr>
        <w:t xml:space="preserve"> (Embra</w:t>
      </w:r>
      <w:r w:rsidR="004F4106">
        <w:rPr>
          <w:sz w:val="24"/>
          <w:szCs w:val="24"/>
        </w:rPr>
        <w:t>pa, 1988). Se</w:t>
      </w:r>
      <w:r w:rsidRPr="009E51AE">
        <w:rPr>
          <w:sz w:val="24"/>
          <w:szCs w:val="24"/>
          <w:shd w:val="clear" w:color="auto" w:fill="FFFFFF"/>
        </w:rPr>
        <w:t>gundo Amaral</w:t>
      </w:r>
      <w:r w:rsidRPr="009E51AE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B5373C">
        <w:rPr>
          <w:iCs/>
          <w:sz w:val="24"/>
          <w:szCs w:val="24"/>
          <w:shd w:val="clear" w:color="auto" w:fill="FFFFFF"/>
        </w:rPr>
        <w:t>&amp; Neto</w:t>
      </w:r>
      <w:r w:rsidRPr="009E51AE">
        <w:rPr>
          <w:rStyle w:val="apple-converted-space"/>
          <w:sz w:val="24"/>
          <w:szCs w:val="24"/>
          <w:shd w:val="clear" w:color="auto" w:fill="FFFFFF"/>
        </w:rPr>
        <w:t xml:space="preserve"> (</w:t>
      </w:r>
      <w:r w:rsidRPr="009E51AE">
        <w:rPr>
          <w:sz w:val="24"/>
          <w:szCs w:val="24"/>
          <w:shd w:val="clear" w:color="auto" w:fill="FFFFFF"/>
        </w:rPr>
        <w:t xml:space="preserve">2002), a vegetação representada na ilha é composta por: a) florestas secundárias de terra firme (capoeira), b) mata primária de terra firme; c) mata de várzea primária, d) Igapó e </w:t>
      </w:r>
      <w:proofErr w:type="spellStart"/>
      <w:r w:rsidRPr="009E51AE">
        <w:rPr>
          <w:sz w:val="24"/>
          <w:szCs w:val="24"/>
          <w:shd w:val="clear" w:color="auto" w:fill="FFFFFF"/>
        </w:rPr>
        <w:t>e</w:t>
      </w:r>
      <w:proofErr w:type="spellEnd"/>
      <w:r w:rsidRPr="009E51AE">
        <w:rPr>
          <w:sz w:val="24"/>
          <w:szCs w:val="24"/>
          <w:shd w:val="clear" w:color="auto" w:fill="FFFFFF"/>
        </w:rPr>
        <w:t xml:space="preserve">) campinas arenosas. </w:t>
      </w:r>
    </w:p>
    <w:p w14:paraId="4518BF0B" w14:textId="70A11E29" w:rsidR="003674C5" w:rsidRDefault="003674C5" w:rsidP="003674C5">
      <w:pPr>
        <w:spacing w:line="360" w:lineRule="auto"/>
        <w:ind w:firstLine="708"/>
        <w:jc w:val="both"/>
        <w:rPr>
          <w:sz w:val="24"/>
          <w:szCs w:val="24"/>
        </w:rPr>
      </w:pPr>
      <w:r w:rsidRPr="009E51AE">
        <w:rPr>
          <w:sz w:val="24"/>
          <w:szCs w:val="24"/>
        </w:rPr>
        <w:lastRenderedPageBreak/>
        <w:t xml:space="preserve">Na caracterização e classificação taxonômica do </w:t>
      </w:r>
      <w:r w:rsidR="009A09A7" w:rsidRPr="009E51AE">
        <w:rPr>
          <w:sz w:val="24"/>
          <w:szCs w:val="24"/>
        </w:rPr>
        <w:t>solo</w:t>
      </w:r>
      <w:r w:rsidR="009A09A7">
        <w:rPr>
          <w:sz w:val="24"/>
          <w:szCs w:val="24"/>
        </w:rPr>
        <w:t xml:space="preserve">, </w:t>
      </w:r>
      <w:r w:rsidR="009A09A7" w:rsidRPr="009E51AE">
        <w:rPr>
          <w:sz w:val="24"/>
          <w:szCs w:val="24"/>
        </w:rPr>
        <w:t>foram</w:t>
      </w:r>
      <w:r w:rsidRPr="009E51AE">
        <w:rPr>
          <w:sz w:val="24"/>
          <w:szCs w:val="24"/>
        </w:rPr>
        <w:t xml:space="preserve"> empregadas características diferenciais para distinção de classes de solos e de unidades de mapeamento, segundo os critérios adotados pelo Sistema Brasileiro de Classificação de Solos (</w:t>
      </w:r>
      <w:r w:rsidR="00B821EA" w:rsidRPr="009E51AE">
        <w:rPr>
          <w:sz w:val="24"/>
          <w:szCs w:val="24"/>
        </w:rPr>
        <w:t>EMBRAPA</w:t>
      </w:r>
      <w:r w:rsidRPr="009E51AE">
        <w:rPr>
          <w:sz w:val="24"/>
          <w:szCs w:val="24"/>
        </w:rPr>
        <w:t>, 1988</w:t>
      </w:r>
      <w:r w:rsidR="007141D2">
        <w:rPr>
          <w:sz w:val="24"/>
          <w:szCs w:val="24"/>
        </w:rPr>
        <w:t>a</w:t>
      </w:r>
      <w:r w:rsidRPr="009E51AE">
        <w:rPr>
          <w:sz w:val="24"/>
          <w:szCs w:val="24"/>
        </w:rPr>
        <w:t xml:space="preserve"> e 1988b; E</w:t>
      </w:r>
      <w:r w:rsidR="00B821EA" w:rsidRPr="009E51AE">
        <w:rPr>
          <w:sz w:val="24"/>
          <w:szCs w:val="24"/>
        </w:rPr>
        <w:t>MBRAPA</w:t>
      </w:r>
      <w:r w:rsidRPr="009E51AE">
        <w:rPr>
          <w:sz w:val="24"/>
          <w:szCs w:val="24"/>
        </w:rPr>
        <w:t xml:space="preserve">, 1999; </w:t>
      </w:r>
      <w:r w:rsidR="00B821EA" w:rsidRPr="009E51AE">
        <w:rPr>
          <w:sz w:val="24"/>
          <w:szCs w:val="24"/>
        </w:rPr>
        <w:t>ESTADOS UNIDOS</w:t>
      </w:r>
      <w:r w:rsidRPr="009E51AE">
        <w:rPr>
          <w:sz w:val="24"/>
          <w:szCs w:val="24"/>
        </w:rPr>
        <w:t>, 1994). O relevo é plano a suave ondulado, sendo que poucas áreas podem ser classificadas como de relevo ondulado, na qual as declividades são identificadas como suave, e suave ondulado chegando a próximo de 5% (</w:t>
      </w:r>
      <w:r w:rsidR="00B821EA" w:rsidRPr="009E51AE">
        <w:rPr>
          <w:sz w:val="24"/>
          <w:szCs w:val="24"/>
        </w:rPr>
        <w:t>EMBRAPA</w:t>
      </w:r>
      <w:r w:rsidRPr="009E51AE">
        <w:rPr>
          <w:sz w:val="24"/>
          <w:szCs w:val="24"/>
        </w:rPr>
        <w:t>, 1988</w:t>
      </w:r>
      <w:r w:rsidR="007141D2">
        <w:rPr>
          <w:sz w:val="24"/>
          <w:szCs w:val="24"/>
        </w:rPr>
        <w:t xml:space="preserve">a </w:t>
      </w:r>
      <w:r w:rsidRPr="009E51AE">
        <w:rPr>
          <w:sz w:val="24"/>
          <w:szCs w:val="24"/>
        </w:rPr>
        <w:t xml:space="preserve">e 1988b; </w:t>
      </w:r>
      <w:r w:rsidR="00B821EA" w:rsidRPr="009E51AE">
        <w:rPr>
          <w:sz w:val="24"/>
          <w:szCs w:val="24"/>
        </w:rPr>
        <w:t>EMBRAPA,</w:t>
      </w:r>
      <w:r w:rsidRPr="009E51AE">
        <w:rPr>
          <w:sz w:val="24"/>
          <w:szCs w:val="24"/>
        </w:rPr>
        <w:t xml:space="preserve"> 1999).</w:t>
      </w:r>
    </w:p>
    <w:p w14:paraId="2C28FB40" w14:textId="77777777" w:rsidR="003674C5" w:rsidRPr="009E51AE" w:rsidRDefault="003674C5" w:rsidP="003674C5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6F3DAD29" w14:textId="5B14285D" w:rsidR="003674C5" w:rsidRDefault="003674C5" w:rsidP="003674C5">
      <w:pPr>
        <w:tabs>
          <w:tab w:val="left" w:pos="1290"/>
        </w:tabs>
        <w:spacing w:after="360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>
        <w:rPr>
          <w:sz w:val="24"/>
          <w:szCs w:val="28"/>
        </w:rPr>
        <w:t>COLETA DE DADOS</w:t>
      </w:r>
    </w:p>
    <w:p w14:paraId="2A488AE9" w14:textId="5EA97EE0" w:rsidR="00B70965" w:rsidRPr="00D83F87" w:rsidRDefault="00A95B67" w:rsidP="00A95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E51AE">
        <w:rPr>
          <w:sz w:val="24"/>
          <w:szCs w:val="24"/>
        </w:rPr>
        <w:t xml:space="preserve"> sistema de amostragem</w:t>
      </w:r>
      <w:r>
        <w:rPr>
          <w:sz w:val="24"/>
          <w:szCs w:val="24"/>
        </w:rPr>
        <w:t xml:space="preserve"> utilizado baseou-se no</w:t>
      </w:r>
      <w:r w:rsidRPr="009E51AE">
        <w:rPr>
          <w:sz w:val="24"/>
          <w:szCs w:val="24"/>
        </w:rPr>
        <w:t xml:space="preserve"> método de área fixa e o processo de amostragem acidental estratificado</w:t>
      </w:r>
      <w:r>
        <w:rPr>
          <w:sz w:val="24"/>
          <w:szCs w:val="24"/>
        </w:rPr>
        <w:t>,</w:t>
      </w:r>
      <w:r w:rsidRPr="009E51AE">
        <w:rPr>
          <w:sz w:val="24"/>
          <w:szCs w:val="24"/>
        </w:rPr>
        <w:t xml:space="preserve"> </w:t>
      </w:r>
      <w:r>
        <w:rPr>
          <w:sz w:val="24"/>
          <w:szCs w:val="24"/>
        </w:rPr>
        <w:t>sendo</w:t>
      </w:r>
      <w:r w:rsidRPr="009E51AE">
        <w:rPr>
          <w:sz w:val="24"/>
          <w:szCs w:val="24"/>
        </w:rPr>
        <w:t xml:space="preserve"> instaladas 30 unidades de amostra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UAs</w:t>
      </w:r>
      <w:proofErr w:type="spellEnd"/>
      <w:r>
        <w:rPr>
          <w:sz w:val="24"/>
          <w:szCs w:val="24"/>
        </w:rPr>
        <w:t>)</w:t>
      </w:r>
      <w:r w:rsidRPr="009E51AE">
        <w:rPr>
          <w:sz w:val="24"/>
          <w:szCs w:val="24"/>
        </w:rPr>
        <w:t xml:space="preserve">, </w:t>
      </w:r>
      <w:r w:rsidR="003161CF">
        <w:rPr>
          <w:sz w:val="24"/>
          <w:szCs w:val="24"/>
        </w:rPr>
        <w:t>distribuídas</w:t>
      </w:r>
      <w:r w:rsidRPr="009E51AE">
        <w:rPr>
          <w:sz w:val="24"/>
          <w:szCs w:val="24"/>
        </w:rPr>
        <w:t xml:space="preserve"> em </w:t>
      </w:r>
      <w:r w:rsidR="00B70965">
        <w:rPr>
          <w:sz w:val="24"/>
          <w:szCs w:val="24"/>
        </w:rPr>
        <w:t>quatro</w:t>
      </w:r>
      <w:r w:rsidRPr="009E51AE">
        <w:rPr>
          <w:sz w:val="24"/>
          <w:szCs w:val="24"/>
        </w:rPr>
        <w:t xml:space="preserve"> estratos</w:t>
      </w:r>
      <w:r w:rsidR="003161CF">
        <w:rPr>
          <w:sz w:val="24"/>
          <w:szCs w:val="24"/>
        </w:rPr>
        <w:t xml:space="preserve">: </w:t>
      </w:r>
      <w:r w:rsidR="00B70965" w:rsidRPr="00F3606C">
        <w:rPr>
          <w:sz w:val="24"/>
          <w:szCs w:val="24"/>
          <w:lang w:bidi="he-IL"/>
        </w:rPr>
        <w:t>Floresta Ombrófila Densa Aluvial</w:t>
      </w:r>
      <w:r w:rsidR="00B70965">
        <w:rPr>
          <w:sz w:val="24"/>
          <w:szCs w:val="24"/>
          <w:lang w:bidi="he-IL"/>
        </w:rPr>
        <w:t xml:space="preserve">, </w:t>
      </w:r>
      <w:r w:rsidR="00B70965" w:rsidRPr="00F3606C">
        <w:rPr>
          <w:sz w:val="24"/>
          <w:szCs w:val="24"/>
          <w:lang w:bidi="he-IL"/>
        </w:rPr>
        <w:t>Floresta Ombrófila Densa de Terra Firme Explorada</w:t>
      </w:r>
      <w:r w:rsidR="00B70965">
        <w:rPr>
          <w:sz w:val="24"/>
          <w:szCs w:val="24"/>
          <w:lang w:bidi="he-IL"/>
        </w:rPr>
        <w:t xml:space="preserve">, </w:t>
      </w:r>
      <w:r w:rsidR="00B70965" w:rsidRPr="00F3606C">
        <w:rPr>
          <w:sz w:val="24"/>
          <w:szCs w:val="24"/>
          <w:lang w:bidi="he-IL"/>
        </w:rPr>
        <w:t>Floresta Ombrófila Densa de Terra Firme Não Explorada</w:t>
      </w:r>
      <w:r w:rsidR="00E974EA">
        <w:rPr>
          <w:sz w:val="24"/>
          <w:szCs w:val="24"/>
          <w:lang w:bidi="he-IL"/>
        </w:rPr>
        <w:t xml:space="preserve"> </w:t>
      </w:r>
      <w:r w:rsidR="00B70965">
        <w:rPr>
          <w:sz w:val="24"/>
          <w:szCs w:val="24"/>
        </w:rPr>
        <w:t xml:space="preserve">e </w:t>
      </w:r>
      <w:r w:rsidR="00B70965" w:rsidRPr="00F3606C">
        <w:rPr>
          <w:sz w:val="24"/>
          <w:szCs w:val="24"/>
          <w:lang w:bidi="he-IL"/>
        </w:rPr>
        <w:t>Floresta Sec</w:t>
      </w:r>
      <w:r w:rsidR="00B70965">
        <w:rPr>
          <w:sz w:val="24"/>
          <w:szCs w:val="24"/>
          <w:lang w:bidi="he-IL"/>
        </w:rPr>
        <w:t>u</w:t>
      </w:r>
      <w:r w:rsidR="00B70965" w:rsidRPr="00F3606C">
        <w:rPr>
          <w:sz w:val="24"/>
          <w:szCs w:val="24"/>
          <w:lang w:bidi="he-IL"/>
        </w:rPr>
        <w:t>nd</w:t>
      </w:r>
      <w:r w:rsidR="00B70965">
        <w:rPr>
          <w:sz w:val="24"/>
          <w:szCs w:val="24"/>
          <w:lang w:bidi="he-IL"/>
        </w:rPr>
        <w:t>á</w:t>
      </w:r>
      <w:r w:rsidR="00B70965" w:rsidRPr="00F3606C">
        <w:rPr>
          <w:sz w:val="24"/>
          <w:szCs w:val="24"/>
          <w:lang w:bidi="he-IL"/>
        </w:rPr>
        <w:t>ria</w:t>
      </w:r>
      <w:r w:rsidR="00B70965">
        <w:rPr>
          <w:sz w:val="24"/>
          <w:szCs w:val="24"/>
          <w:lang w:bidi="he-IL"/>
        </w:rPr>
        <w:t xml:space="preserve"> (</w:t>
      </w:r>
      <w:r w:rsidR="00B70965" w:rsidRPr="00D83F87">
        <w:rPr>
          <w:sz w:val="24"/>
          <w:szCs w:val="24"/>
          <w:lang w:bidi="he-IL"/>
        </w:rPr>
        <w:t xml:space="preserve">Figura </w:t>
      </w:r>
      <w:r w:rsidR="00E974EA" w:rsidRPr="00D83F87">
        <w:rPr>
          <w:sz w:val="24"/>
          <w:szCs w:val="24"/>
          <w:lang w:bidi="he-IL"/>
        </w:rPr>
        <w:t>1</w:t>
      </w:r>
      <w:r w:rsidR="00B70965" w:rsidRPr="00D83F87">
        <w:rPr>
          <w:sz w:val="24"/>
          <w:szCs w:val="24"/>
          <w:lang w:bidi="he-IL"/>
        </w:rPr>
        <w:t>)</w:t>
      </w:r>
      <w:r w:rsidRPr="00D83F87">
        <w:rPr>
          <w:sz w:val="24"/>
          <w:szCs w:val="24"/>
        </w:rPr>
        <w:t xml:space="preserve">. </w:t>
      </w:r>
    </w:p>
    <w:p w14:paraId="0ABA5FAA" w14:textId="56CBA810" w:rsidR="00B70965" w:rsidRPr="006249AB" w:rsidRDefault="00B70965" w:rsidP="00D83F87">
      <w:pPr>
        <w:pStyle w:val="Legenda"/>
        <w:keepNext/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6249AB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732762AC" wp14:editId="581CAACA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4248785" cy="3967480"/>
            <wp:effectExtent l="0" t="0" r="0" b="0"/>
            <wp:wrapTopAndBottom/>
            <wp:docPr id="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jeto_Laris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9AB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="00E974EA">
        <w:rPr>
          <w:rFonts w:ascii="Times New Roman" w:hAnsi="Times New Roman"/>
          <w:i w:val="0"/>
          <w:color w:val="auto"/>
          <w:sz w:val="22"/>
          <w:szCs w:val="22"/>
        </w:rPr>
        <w:t>1</w:t>
      </w:r>
      <w:r w:rsidRPr="006249AB">
        <w:rPr>
          <w:rFonts w:ascii="Times New Roman" w:hAnsi="Times New Roman"/>
          <w:i w:val="0"/>
          <w:color w:val="auto"/>
          <w:sz w:val="22"/>
          <w:szCs w:val="22"/>
        </w:rPr>
        <w:t xml:space="preserve">. </w:t>
      </w:r>
      <w:r>
        <w:rPr>
          <w:rFonts w:ascii="Times New Roman" w:hAnsi="Times New Roman"/>
          <w:i w:val="0"/>
          <w:color w:val="auto"/>
          <w:sz w:val="22"/>
          <w:szCs w:val="22"/>
        </w:rPr>
        <w:t xml:space="preserve">Estratificação da </w:t>
      </w:r>
      <w:r w:rsidRPr="006249AB">
        <w:rPr>
          <w:rFonts w:ascii="Times New Roman" w:hAnsi="Times New Roman"/>
          <w:i w:val="0"/>
          <w:color w:val="auto"/>
          <w:sz w:val="22"/>
          <w:szCs w:val="22"/>
        </w:rPr>
        <w:t xml:space="preserve">vegetação </w:t>
      </w:r>
      <w:r>
        <w:rPr>
          <w:rFonts w:ascii="Times New Roman" w:hAnsi="Times New Roman"/>
          <w:i w:val="0"/>
          <w:color w:val="auto"/>
          <w:sz w:val="22"/>
          <w:szCs w:val="22"/>
        </w:rPr>
        <w:t xml:space="preserve">por tipologia florestal, </w:t>
      </w:r>
      <w:r w:rsidRPr="006249AB">
        <w:rPr>
          <w:rFonts w:ascii="Times New Roman" w:hAnsi="Times New Roman"/>
          <w:i w:val="0"/>
          <w:color w:val="auto"/>
          <w:sz w:val="22"/>
          <w:szCs w:val="22"/>
        </w:rPr>
        <w:t>localizada no município de Barcarena, Pará.</w:t>
      </w:r>
    </w:p>
    <w:p w14:paraId="1B8AE9D8" w14:textId="77777777" w:rsidR="00E974EA" w:rsidRDefault="00E974EA" w:rsidP="00E974EA">
      <w:pPr>
        <w:spacing w:line="360" w:lineRule="auto"/>
        <w:jc w:val="center"/>
        <w:rPr>
          <w:sz w:val="22"/>
          <w:szCs w:val="22"/>
        </w:rPr>
      </w:pPr>
      <w:r w:rsidRPr="00005F09">
        <w:rPr>
          <w:sz w:val="22"/>
          <w:szCs w:val="22"/>
        </w:rPr>
        <w:t>Fonte: Autores, 2018.</w:t>
      </w:r>
    </w:p>
    <w:p w14:paraId="0D13696B" w14:textId="7C257052" w:rsidR="00A95B67" w:rsidRDefault="00B70965" w:rsidP="006249AB">
      <w:pPr>
        <w:spacing w:line="360" w:lineRule="auto"/>
        <w:ind w:firstLine="709"/>
        <w:jc w:val="both"/>
        <w:rPr>
          <w:sz w:val="24"/>
          <w:szCs w:val="24"/>
        </w:rPr>
      </w:pPr>
      <w:r w:rsidRPr="009E51AE">
        <w:rPr>
          <w:sz w:val="24"/>
          <w:szCs w:val="24"/>
        </w:rPr>
        <w:t xml:space="preserve">As variáveis </w:t>
      </w:r>
      <w:r>
        <w:rPr>
          <w:sz w:val="24"/>
          <w:szCs w:val="24"/>
        </w:rPr>
        <w:t>mensuradas em campo, foram:</w:t>
      </w:r>
      <w:r w:rsidRPr="009E51AE">
        <w:rPr>
          <w:sz w:val="24"/>
          <w:szCs w:val="24"/>
        </w:rPr>
        <w:t xml:space="preserve"> número das árvores</w:t>
      </w:r>
      <w:r w:rsidR="002373DF">
        <w:rPr>
          <w:sz w:val="24"/>
          <w:szCs w:val="24"/>
        </w:rPr>
        <w:t xml:space="preserve"> por hectare (N)</w:t>
      </w:r>
      <w:r w:rsidRPr="009E51AE">
        <w:rPr>
          <w:sz w:val="24"/>
          <w:szCs w:val="24"/>
        </w:rPr>
        <w:t xml:space="preserve">; circunferência à </w:t>
      </w:r>
      <w:r>
        <w:rPr>
          <w:sz w:val="24"/>
          <w:szCs w:val="24"/>
        </w:rPr>
        <w:t>1,3 m do solo</w:t>
      </w:r>
      <w:r w:rsidRPr="009E51AE">
        <w:rPr>
          <w:sz w:val="24"/>
          <w:szCs w:val="24"/>
        </w:rPr>
        <w:t xml:space="preserve"> (CAP) em c</w:t>
      </w:r>
      <w:r>
        <w:rPr>
          <w:sz w:val="24"/>
          <w:szCs w:val="24"/>
        </w:rPr>
        <w:t>entí</w:t>
      </w:r>
      <w:r w:rsidRPr="009E51AE">
        <w:rPr>
          <w:sz w:val="24"/>
          <w:szCs w:val="24"/>
        </w:rPr>
        <w:t>m</w:t>
      </w:r>
      <w:r>
        <w:rPr>
          <w:sz w:val="24"/>
          <w:szCs w:val="24"/>
        </w:rPr>
        <w:t>etros que posteriormente foram transformadas para diâmetro a 1,3 m do solo (DAP)</w:t>
      </w:r>
      <w:r w:rsidRPr="009E51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amostragem deu-se em </w:t>
      </w:r>
      <w:r w:rsidR="00A95B67">
        <w:rPr>
          <w:sz w:val="24"/>
          <w:szCs w:val="24"/>
        </w:rPr>
        <w:t xml:space="preserve">dois níveis de amostragem, sendo o primeiro nível com parcela de </w:t>
      </w:r>
      <w:r w:rsidR="00A95B67" w:rsidRPr="009E51AE">
        <w:rPr>
          <w:sz w:val="24"/>
          <w:szCs w:val="24"/>
        </w:rPr>
        <w:t>10</w:t>
      </w:r>
      <w:r w:rsidR="00A95B67">
        <w:rPr>
          <w:sz w:val="24"/>
          <w:szCs w:val="24"/>
        </w:rPr>
        <w:t xml:space="preserve"> </w:t>
      </w:r>
      <w:proofErr w:type="gramStart"/>
      <w:r w:rsidR="00A95B67" w:rsidRPr="009E51AE">
        <w:rPr>
          <w:sz w:val="24"/>
          <w:szCs w:val="24"/>
        </w:rPr>
        <w:t>x</w:t>
      </w:r>
      <w:proofErr w:type="gramEnd"/>
      <w:r w:rsidR="00A95B67">
        <w:rPr>
          <w:sz w:val="24"/>
          <w:szCs w:val="24"/>
        </w:rPr>
        <w:t xml:space="preserve"> </w:t>
      </w:r>
      <w:r w:rsidR="00A95B67" w:rsidRPr="009E51AE">
        <w:rPr>
          <w:sz w:val="24"/>
          <w:szCs w:val="24"/>
        </w:rPr>
        <w:t>250 m</w:t>
      </w:r>
      <w:r w:rsidR="003161CF">
        <w:rPr>
          <w:sz w:val="24"/>
          <w:szCs w:val="24"/>
        </w:rPr>
        <w:t xml:space="preserve">, </w:t>
      </w:r>
      <w:r w:rsidR="00A95B67" w:rsidRPr="009E51AE">
        <w:rPr>
          <w:sz w:val="24"/>
          <w:szCs w:val="24"/>
        </w:rPr>
        <w:t xml:space="preserve">amostradas árvores com DAP ≥ 30 cm e, </w:t>
      </w:r>
      <w:r w:rsidR="003161CF">
        <w:rPr>
          <w:sz w:val="24"/>
          <w:szCs w:val="24"/>
        </w:rPr>
        <w:t>segundo nível amostral</w:t>
      </w:r>
      <w:r w:rsidR="00A95B67" w:rsidRPr="009E51AE">
        <w:rPr>
          <w:sz w:val="24"/>
          <w:szCs w:val="24"/>
        </w:rPr>
        <w:t xml:space="preserve"> de 10 x 100 m</w:t>
      </w:r>
      <w:r w:rsidR="003161CF">
        <w:rPr>
          <w:sz w:val="24"/>
          <w:szCs w:val="24"/>
        </w:rPr>
        <w:t>, medindo-se árvores entre</w:t>
      </w:r>
      <w:r w:rsidR="00A95B67" w:rsidRPr="009E51AE">
        <w:rPr>
          <w:sz w:val="24"/>
          <w:szCs w:val="24"/>
        </w:rPr>
        <w:t xml:space="preserve"> 10 cm ≤ DAP &lt; 30 cm</w:t>
      </w:r>
      <w:r w:rsidR="00E974EA">
        <w:rPr>
          <w:sz w:val="24"/>
          <w:szCs w:val="24"/>
        </w:rPr>
        <w:t xml:space="preserve"> (</w:t>
      </w:r>
      <w:r w:rsidR="00E974EA" w:rsidRPr="00D83F87">
        <w:rPr>
          <w:sz w:val="24"/>
          <w:szCs w:val="24"/>
        </w:rPr>
        <w:t>Figura 2</w:t>
      </w:r>
      <w:r w:rsidR="00E974EA">
        <w:rPr>
          <w:sz w:val="24"/>
          <w:szCs w:val="24"/>
        </w:rPr>
        <w:t>)</w:t>
      </w:r>
      <w:r w:rsidR="00A95B67" w:rsidRPr="009E51AE">
        <w:rPr>
          <w:sz w:val="24"/>
          <w:szCs w:val="24"/>
        </w:rPr>
        <w:t>.</w:t>
      </w:r>
    </w:p>
    <w:p w14:paraId="128AEA97" w14:textId="77777777" w:rsidR="00FB56EB" w:rsidRPr="009E51AE" w:rsidRDefault="00FB56EB" w:rsidP="006249AB">
      <w:pPr>
        <w:spacing w:line="360" w:lineRule="auto"/>
        <w:ind w:firstLine="709"/>
        <w:jc w:val="both"/>
        <w:rPr>
          <w:sz w:val="24"/>
          <w:szCs w:val="24"/>
        </w:rPr>
      </w:pPr>
    </w:p>
    <w:p w14:paraId="7E21C035" w14:textId="78A0EB01" w:rsidR="00E974EA" w:rsidRPr="00005F09" w:rsidRDefault="00D83F87" w:rsidP="00D83F87">
      <w:pPr>
        <w:spacing w:line="360" w:lineRule="auto"/>
        <w:jc w:val="center"/>
        <w:rPr>
          <w:sz w:val="22"/>
          <w:szCs w:val="22"/>
        </w:rPr>
      </w:pPr>
      <w:r w:rsidRPr="00AF73A2">
        <w:rPr>
          <w:noProof/>
        </w:rPr>
        <w:drawing>
          <wp:anchor distT="0" distB="0" distL="114300" distR="114300" simplePos="0" relativeHeight="251664384" behindDoc="1" locked="0" layoutInCell="1" allowOverlap="1" wp14:anchorId="0391633E" wp14:editId="59F0CAE9">
            <wp:simplePos x="0" y="0"/>
            <wp:positionH relativeFrom="margin">
              <wp:align>center</wp:align>
            </wp:positionH>
            <wp:positionV relativeFrom="paragraph">
              <wp:posOffset>459105</wp:posOffset>
            </wp:positionV>
            <wp:extent cx="2447925" cy="733425"/>
            <wp:effectExtent l="0" t="0" r="9525" b="0"/>
            <wp:wrapTight wrapText="bothSides">
              <wp:wrapPolygon edited="0">
                <wp:start x="11430" y="0"/>
                <wp:lineTo x="3362" y="3366"/>
                <wp:lineTo x="336" y="5610"/>
                <wp:lineTo x="336" y="11221"/>
                <wp:lineTo x="5715" y="20197"/>
                <wp:lineTo x="9077" y="20197"/>
                <wp:lineTo x="9077" y="19075"/>
                <wp:lineTo x="21516" y="15709"/>
                <wp:lineTo x="21516" y="3366"/>
                <wp:lineTo x="13447" y="0"/>
                <wp:lineTo x="1143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47">
        <w:rPr>
          <w:sz w:val="22"/>
          <w:szCs w:val="22"/>
        </w:rPr>
        <w:t xml:space="preserve">Figura 2. </w:t>
      </w:r>
      <w:r w:rsidR="00E974EA">
        <w:rPr>
          <w:sz w:val="22"/>
          <w:szCs w:val="22"/>
        </w:rPr>
        <w:t>Esquematização dos níveis de amostragem das parcelas</w:t>
      </w:r>
      <w:r w:rsidR="00E974EA" w:rsidRPr="003674C5">
        <w:rPr>
          <w:sz w:val="22"/>
          <w:szCs w:val="22"/>
        </w:rPr>
        <w:t xml:space="preserve"> instaladas </w:t>
      </w:r>
      <w:r w:rsidR="00E974EA">
        <w:rPr>
          <w:sz w:val="22"/>
          <w:szCs w:val="22"/>
        </w:rPr>
        <w:t xml:space="preserve">na área </w:t>
      </w:r>
      <w:r w:rsidR="00E974EA" w:rsidRPr="00E974EA">
        <w:rPr>
          <w:sz w:val="22"/>
          <w:szCs w:val="22"/>
        </w:rPr>
        <w:t>florestal, localizada no município de Barcarena, Pará.</w:t>
      </w:r>
    </w:p>
    <w:p w14:paraId="2CE12629" w14:textId="6C364278" w:rsidR="00D83F87" w:rsidRDefault="00E974EA" w:rsidP="00E974EA">
      <w:pPr>
        <w:spacing w:line="360" w:lineRule="auto"/>
        <w:jc w:val="center"/>
        <w:rPr>
          <w:sz w:val="22"/>
          <w:szCs w:val="22"/>
        </w:rPr>
      </w:pPr>
      <w:r w:rsidRPr="00E974EA">
        <w:rPr>
          <w:sz w:val="22"/>
          <w:szCs w:val="22"/>
        </w:rPr>
        <w:t xml:space="preserve"> </w:t>
      </w:r>
    </w:p>
    <w:p w14:paraId="0DB2D25C" w14:textId="77777777" w:rsidR="00D83F87" w:rsidRDefault="00D83F87" w:rsidP="00E974EA">
      <w:pPr>
        <w:spacing w:line="360" w:lineRule="auto"/>
        <w:jc w:val="center"/>
        <w:rPr>
          <w:sz w:val="22"/>
          <w:szCs w:val="22"/>
        </w:rPr>
      </w:pPr>
    </w:p>
    <w:p w14:paraId="203CC028" w14:textId="77777777" w:rsidR="00D83F87" w:rsidRDefault="00D83F87" w:rsidP="00E974EA">
      <w:pPr>
        <w:spacing w:line="360" w:lineRule="auto"/>
        <w:jc w:val="center"/>
        <w:rPr>
          <w:sz w:val="22"/>
          <w:szCs w:val="22"/>
        </w:rPr>
      </w:pPr>
    </w:p>
    <w:p w14:paraId="191ACA0C" w14:textId="5481AC10" w:rsidR="00E974EA" w:rsidRDefault="00E974EA" w:rsidP="00E974EA">
      <w:pPr>
        <w:spacing w:line="360" w:lineRule="auto"/>
        <w:jc w:val="center"/>
        <w:rPr>
          <w:sz w:val="22"/>
          <w:szCs w:val="22"/>
        </w:rPr>
      </w:pPr>
      <w:r w:rsidRPr="00005F09">
        <w:rPr>
          <w:sz w:val="22"/>
          <w:szCs w:val="22"/>
        </w:rPr>
        <w:t>Fonte: Autores, 2018.</w:t>
      </w:r>
    </w:p>
    <w:p w14:paraId="725BA3D2" w14:textId="77777777" w:rsidR="006755A9" w:rsidRDefault="006755A9" w:rsidP="00E974EA">
      <w:pPr>
        <w:spacing w:line="360" w:lineRule="auto"/>
        <w:jc w:val="center"/>
        <w:rPr>
          <w:sz w:val="22"/>
          <w:szCs w:val="22"/>
        </w:rPr>
      </w:pPr>
    </w:p>
    <w:p w14:paraId="40A8A9CC" w14:textId="77777777" w:rsidR="006755A9" w:rsidRDefault="006755A9" w:rsidP="00E974EA">
      <w:pPr>
        <w:spacing w:line="360" w:lineRule="auto"/>
        <w:jc w:val="center"/>
        <w:rPr>
          <w:sz w:val="22"/>
          <w:szCs w:val="22"/>
        </w:rPr>
      </w:pPr>
    </w:p>
    <w:p w14:paraId="4B75D737" w14:textId="2E4212D3" w:rsidR="003674C5" w:rsidRDefault="003674C5" w:rsidP="003674C5">
      <w:pPr>
        <w:tabs>
          <w:tab w:val="left" w:pos="1290"/>
        </w:tabs>
        <w:spacing w:after="36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5 ANÁLISE DOS DADOS</w:t>
      </w:r>
    </w:p>
    <w:p w14:paraId="73EE37A1" w14:textId="003FBB5C" w:rsidR="00834A9F" w:rsidRDefault="009D760D" w:rsidP="00834A9F">
      <w:pPr>
        <w:spacing w:line="360" w:lineRule="auto"/>
        <w:ind w:firstLine="708"/>
        <w:contextualSpacing/>
        <w:jc w:val="both"/>
        <w:rPr>
          <w:b/>
          <w:sz w:val="24"/>
          <w:szCs w:val="24"/>
          <w:lang w:bidi="he-IL"/>
        </w:rPr>
      </w:pPr>
      <w:r>
        <w:rPr>
          <w:sz w:val="24"/>
          <w:szCs w:val="24"/>
        </w:rPr>
        <w:t xml:space="preserve">Para a análise dos dados foi </w:t>
      </w:r>
      <w:r w:rsidR="006A3CB6">
        <w:rPr>
          <w:sz w:val="24"/>
          <w:szCs w:val="24"/>
        </w:rPr>
        <w:t xml:space="preserve">elaborada </w:t>
      </w:r>
      <w:r w:rsidR="00D12BA4">
        <w:rPr>
          <w:sz w:val="24"/>
          <w:szCs w:val="24"/>
        </w:rPr>
        <w:t>a relação do</w:t>
      </w:r>
      <w:r w:rsidR="006A3CB6">
        <w:rPr>
          <w:sz w:val="24"/>
          <w:szCs w:val="24"/>
        </w:rPr>
        <w:t xml:space="preserve"> comportamento da distribuição </w:t>
      </w:r>
      <w:proofErr w:type="spellStart"/>
      <w:r w:rsidR="006A3CB6">
        <w:rPr>
          <w:sz w:val="24"/>
          <w:szCs w:val="24"/>
        </w:rPr>
        <w:t>diamétrica</w:t>
      </w:r>
      <w:proofErr w:type="spellEnd"/>
      <w:r w:rsidR="006A3CB6">
        <w:rPr>
          <w:sz w:val="24"/>
          <w:szCs w:val="24"/>
        </w:rPr>
        <w:t xml:space="preserve">, </w:t>
      </w:r>
      <w:r w:rsidR="00D12BA4">
        <w:rPr>
          <w:sz w:val="24"/>
          <w:szCs w:val="24"/>
        </w:rPr>
        <w:t xml:space="preserve">em que se estabeleceu, </w:t>
      </w:r>
      <w:r w:rsidR="006A3CB6">
        <w:rPr>
          <w:sz w:val="24"/>
          <w:szCs w:val="24"/>
        </w:rPr>
        <w:t>amplitude de 10 cm</w:t>
      </w:r>
      <w:r w:rsidR="00301550">
        <w:rPr>
          <w:sz w:val="24"/>
          <w:szCs w:val="24"/>
        </w:rPr>
        <w:t xml:space="preserve"> </w:t>
      </w:r>
      <w:r w:rsidR="0030128A">
        <w:rPr>
          <w:sz w:val="24"/>
          <w:szCs w:val="24"/>
        </w:rPr>
        <w:t>por classe</w:t>
      </w:r>
      <w:r w:rsidR="006A3CB6">
        <w:rPr>
          <w:sz w:val="24"/>
          <w:szCs w:val="24"/>
        </w:rPr>
        <w:t xml:space="preserve">. </w:t>
      </w:r>
      <w:r w:rsidR="00D12BA4">
        <w:rPr>
          <w:sz w:val="24"/>
          <w:szCs w:val="24"/>
        </w:rPr>
        <w:t>De forma a testa a hipótese utilizou-se a</w:t>
      </w:r>
      <w:r w:rsidR="006A3CB6">
        <w:rPr>
          <w:sz w:val="24"/>
          <w:szCs w:val="24"/>
        </w:rPr>
        <w:t xml:space="preserve"> modelagem </w:t>
      </w:r>
      <w:proofErr w:type="spellStart"/>
      <w:r w:rsidR="006A3CB6">
        <w:rPr>
          <w:sz w:val="24"/>
          <w:szCs w:val="24"/>
        </w:rPr>
        <w:t>diamétrica</w:t>
      </w:r>
      <w:proofErr w:type="spellEnd"/>
      <w:r w:rsidR="006A3CB6">
        <w:rPr>
          <w:sz w:val="24"/>
          <w:szCs w:val="24"/>
        </w:rPr>
        <w:t>,</w:t>
      </w:r>
      <w:r w:rsidR="00D12BA4">
        <w:rPr>
          <w:sz w:val="24"/>
          <w:szCs w:val="24"/>
        </w:rPr>
        <w:t xml:space="preserve"> onde foram</w:t>
      </w:r>
      <w:r w:rsidR="006A3CB6">
        <w:rPr>
          <w:sz w:val="24"/>
          <w:szCs w:val="24"/>
        </w:rPr>
        <w:t xml:space="preserve"> selecionados para</w:t>
      </w:r>
      <w:r w:rsidR="00834A9F" w:rsidRPr="009E51AE">
        <w:rPr>
          <w:sz w:val="24"/>
          <w:szCs w:val="24"/>
        </w:rPr>
        <w:t xml:space="preserve"> ajuste </w:t>
      </w:r>
      <w:r w:rsidR="00677DBC">
        <w:rPr>
          <w:sz w:val="24"/>
          <w:szCs w:val="24"/>
        </w:rPr>
        <w:t>modelos matemátic</w:t>
      </w:r>
      <w:r w:rsidR="00D12BA4">
        <w:rPr>
          <w:sz w:val="24"/>
          <w:szCs w:val="24"/>
        </w:rPr>
        <w:t>o</w:t>
      </w:r>
      <w:r w:rsidR="00677DBC">
        <w:rPr>
          <w:sz w:val="24"/>
          <w:szCs w:val="24"/>
        </w:rPr>
        <w:t>s probabilístic</w:t>
      </w:r>
      <w:r w:rsidR="00D12BA4">
        <w:rPr>
          <w:sz w:val="24"/>
          <w:szCs w:val="24"/>
        </w:rPr>
        <w:t>o</w:t>
      </w:r>
      <w:r w:rsidR="00677DBC">
        <w:rPr>
          <w:sz w:val="24"/>
          <w:szCs w:val="24"/>
        </w:rPr>
        <w:t>s</w:t>
      </w:r>
      <w:r w:rsidR="00834A9F" w:rsidRPr="009E51AE">
        <w:rPr>
          <w:sz w:val="24"/>
          <w:szCs w:val="24"/>
        </w:rPr>
        <w:t>: Modelo Exponencial negativa de Meyer</w:t>
      </w:r>
      <w:r w:rsidR="00836BD3">
        <w:rPr>
          <w:sz w:val="24"/>
          <w:szCs w:val="24"/>
        </w:rPr>
        <w:t xml:space="preserve"> (MEYER, 1952)</w:t>
      </w:r>
      <w:r w:rsidR="00834A9F" w:rsidRPr="009E51AE">
        <w:rPr>
          <w:sz w:val="24"/>
          <w:szCs w:val="24"/>
        </w:rPr>
        <w:t xml:space="preserve">, </w:t>
      </w:r>
      <w:r w:rsidR="00834A9F" w:rsidRPr="009E51AE">
        <w:rPr>
          <w:sz w:val="24"/>
          <w:szCs w:val="24"/>
          <w:lang w:bidi="he-IL"/>
        </w:rPr>
        <w:t xml:space="preserve">Modelo Polinomial de </w:t>
      </w:r>
      <w:proofErr w:type="spellStart"/>
      <w:r w:rsidR="00834A9F" w:rsidRPr="009E51AE">
        <w:rPr>
          <w:sz w:val="24"/>
          <w:szCs w:val="24"/>
          <w:lang w:bidi="he-IL"/>
        </w:rPr>
        <w:t>Goff</w:t>
      </w:r>
      <w:proofErr w:type="spellEnd"/>
      <w:r w:rsidR="00834A9F" w:rsidRPr="009E51AE">
        <w:rPr>
          <w:sz w:val="24"/>
          <w:szCs w:val="24"/>
          <w:lang w:bidi="he-IL"/>
        </w:rPr>
        <w:t xml:space="preserve"> &amp; West</w:t>
      </w:r>
      <w:r w:rsidR="00836BD3">
        <w:rPr>
          <w:sz w:val="24"/>
          <w:szCs w:val="24"/>
          <w:lang w:bidi="he-IL"/>
        </w:rPr>
        <w:t xml:space="preserve"> (GOFF &amp; WEST, 1975)</w:t>
      </w:r>
      <w:r w:rsidR="00834A9F" w:rsidRPr="009E51AE">
        <w:rPr>
          <w:sz w:val="24"/>
          <w:szCs w:val="24"/>
          <w:lang w:bidi="he-IL"/>
        </w:rPr>
        <w:t xml:space="preserve"> e Função Beta</w:t>
      </w:r>
      <w:r w:rsidR="00203051">
        <w:rPr>
          <w:sz w:val="24"/>
          <w:szCs w:val="24"/>
          <w:lang w:bidi="he-IL"/>
        </w:rPr>
        <w:t xml:space="preserve"> (</w:t>
      </w:r>
      <w:r w:rsidR="00203051" w:rsidRPr="00203051">
        <w:rPr>
          <w:sz w:val="24"/>
          <w:szCs w:val="24"/>
          <w:lang w:bidi="he-IL"/>
        </w:rPr>
        <w:t>SCHNEIDER</w:t>
      </w:r>
      <w:r w:rsidR="00203051">
        <w:rPr>
          <w:sz w:val="24"/>
          <w:szCs w:val="24"/>
          <w:lang w:bidi="he-IL"/>
        </w:rPr>
        <w:t xml:space="preserve"> et al., 1998)</w:t>
      </w:r>
      <w:r w:rsidR="00834A9F" w:rsidRPr="009E51AE">
        <w:rPr>
          <w:sz w:val="24"/>
          <w:szCs w:val="24"/>
          <w:lang w:bidi="he-IL"/>
        </w:rPr>
        <w:t>.</w:t>
      </w:r>
      <w:r w:rsidR="00834A9F" w:rsidRPr="009E51AE">
        <w:rPr>
          <w:b/>
          <w:sz w:val="24"/>
          <w:szCs w:val="24"/>
          <w:lang w:bidi="he-IL"/>
        </w:rPr>
        <w:t xml:space="preserve"> </w:t>
      </w:r>
    </w:p>
    <w:p w14:paraId="4DD26278" w14:textId="2E4110C3" w:rsidR="0012462E" w:rsidRDefault="003674C5" w:rsidP="001718F2">
      <w:pPr>
        <w:tabs>
          <w:tab w:val="left" w:pos="1290"/>
        </w:tabs>
        <w:spacing w:after="360" w:line="360" w:lineRule="auto"/>
        <w:ind w:firstLine="709"/>
        <w:jc w:val="both"/>
        <w:rPr>
          <w:b/>
          <w:sz w:val="24"/>
          <w:szCs w:val="24"/>
        </w:rPr>
      </w:pPr>
      <w:r w:rsidRPr="003674C5">
        <w:rPr>
          <w:sz w:val="24"/>
          <w:szCs w:val="28"/>
        </w:rPr>
        <w:t xml:space="preserve">Após os ajustes dos modelos de regressão na forma linear pelo método dos mínimos quadrados ordinários, foi aplicada a análise de variância (ANOVA), com o intuito de verificar a existência de regressão entre a variável resposta e o modelo, por meio da análise de significância do teste F, a uma probabilidade de 95%. A seleção do melhor modelo foi feita considerando os seguintes critérios estatísticos: o maior coeficiente de determinação ajustado (R² </w:t>
      </w:r>
      <w:proofErr w:type="gramStart"/>
      <w:r w:rsidRPr="00B821EA">
        <w:rPr>
          <w:sz w:val="24"/>
          <w:szCs w:val="28"/>
          <w:vertAlign w:val="subscript"/>
        </w:rPr>
        <w:t>aj</w:t>
      </w:r>
      <w:r w:rsidRPr="003674C5">
        <w:rPr>
          <w:sz w:val="24"/>
          <w:szCs w:val="28"/>
        </w:rPr>
        <w:t>.%)</w:t>
      </w:r>
      <w:proofErr w:type="gramEnd"/>
      <w:r w:rsidRPr="003674C5">
        <w:rPr>
          <w:sz w:val="24"/>
          <w:szCs w:val="28"/>
        </w:rPr>
        <w:t>; o menor erro padrão residual da estimativa em percentagem (</w:t>
      </w:r>
      <w:proofErr w:type="spellStart"/>
      <w:r w:rsidRPr="003674C5">
        <w:rPr>
          <w:sz w:val="24"/>
          <w:szCs w:val="28"/>
        </w:rPr>
        <w:t>S</w:t>
      </w:r>
      <w:r w:rsidRPr="00B821EA">
        <w:rPr>
          <w:sz w:val="24"/>
          <w:szCs w:val="28"/>
          <w:vertAlign w:val="subscript"/>
        </w:rPr>
        <w:t>yx</w:t>
      </w:r>
      <w:proofErr w:type="spellEnd"/>
      <w:r w:rsidRPr="003674C5">
        <w:rPr>
          <w:sz w:val="24"/>
          <w:szCs w:val="28"/>
        </w:rPr>
        <w:t>%) e erro padrão residual recalculado (</w:t>
      </w:r>
      <w:proofErr w:type="spellStart"/>
      <w:r w:rsidRPr="003674C5">
        <w:rPr>
          <w:sz w:val="24"/>
          <w:szCs w:val="28"/>
        </w:rPr>
        <w:t>S</w:t>
      </w:r>
      <w:r w:rsidRPr="00B821EA">
        <w:rPr>
          <w:sz w:val="24"/>
          <w:szCs w:val="28"/>
          <w:vertAlign w:val="subscript"/>
        </w:rPr>
        <w:t>yxr</w:t>
      </w:r>
      <w:proofErr w:type="spellEnd"/>
      <w:r w:rsidRPr="003674C5">
        <w:rPr>
          <w:sz w:val="24"/>
          <w:szCs w:val="28"/>
        </w:rPr>
        <w:t>%) no caso dos modelos linearizados; e Desvio Médio Percentual (DMP%) mais próximo de zero. Estas medidas foram calculadas por meio das fórmulas dispostas em Schneider et al. (2009).</w:t>
      </w:r>
    </w:p>
    <w:p w14:paraId="1B1876C7" w14:textId="1C90F44A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14917A53" w14:textId="77777777" w:rsidR="0012462E" w:rsidRDefault="0012462E" w:rsidP="0012462E">
      <w:pPr>
        <w:ind w:firstLine="708"/>
        <w:rPr>
          <w:sz w:val="24"/>
          <w:szCs w:val="24"/>
        </w:rPr>
      </w:pPr>
    </w:p>
    <w:p w14:paraId="07DD9575" w14:textId="2510D763" w:rsidR="0012462E" w:rsidRPr="00D13969" w:rsidRDefault="003674C5" w:rsidP="001718F2">
      <w:pPr>
        <w:spacing w:line="360" w:lineRule="auto"/>
        <w:ind w:firstLine="708"/>
        <w:jc w:val="both"/>
        <w:rPr>
          <w:sz w:val="22"/>
          <w:szCs w:val="22"/>
        </w:rPr>
      </w:pPr>
      <w:r w:rsidRPr="009E51AE">
        <w:rPr>
          <w:sz w:val="24"/>
          <w:szCs w:val="24"/>
        </w:rPr>
        <w:t>Os valores das estatísticas d</w:t>
      </w:r>
      <w:r w:rsidR="002373DF">
        <w:rPr>
          <w:sz w:val="24"/>
          <w:szCs w:val="24"/>
        </w:rPr>
        <w:t>a</w:t>
      </w:r>
      <w:r w:rsidRPr="009E51AE">
        <w:rPr>
          <w:sz w:val="24"/>
          <w:szCs w:val="24"/>
        </w:rPr>
        <w:t xml:space="preserve">s três </w:t>
      </w:r>
      <w:r w:rsidR="002373DF">
        <w:rPr>
          <w:sz w:val="24"/>
          <w:szCs w:val="24"/>
        </w:rPr>
        <w:t>equações</w:t>
      </w:r>
      <w:r w:rsidR="002373DF" w:rsidRPr="009E51AE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 xml:space="preserve">de distribuição </w:t>
      </w:r>
      <w:proofErr w:type="spellStart"/>
      <w:r w:rsidRPr="009E51AE">
        <w:rPr>
          <w:sz w:val="24"/>
          <w:szCs w:val="24"/>
        </w:rPr>
        <w:t>diamétrica</w:t>
      </w:r>
      <w:proofErr w:type="spellEnd"/>
      <w:r w:rsidRPr="009E51AE">
        <w:rPr>
          <w:sz w:val="24"/>
          <w:szCs w:val="24"/>
        </w:rPr>
        <w:t xml:space="preserve"> ajustados para floresta em estudo (</w:t>
      </w:r>
      <w:r w:rsidRPr="00D83F87">
        <w:rPr>
          <w:sz w:val="24"/>
          <w:szCs w:val="24"/>
        </w:rPr>
        <w:t xml:space="preserve">Tabela </w:t>
      </w:r>
      <w:r w:rsidR="008F7747" w:rsidRPr="00D83F87">
        <w:rPr>
          <w:sz w:val="24"/>
          <w:szCs w:val="24"/>
        </w:rPr>
        <w:t>1</w:t>
      </w:r>
      <w:r w:rsidRPr="009E51AE">
        <w:rPr>
          <w:sz w:val="24"/>
          <w:szCs w:val="24"/>
        </w:rPr>
        <w:t>), apresentaram F altamente significativo (</w:t>
      </w:r>
      <w:r w:rsidRPr="00834A9F">
        <w:rPr>
          <w:i/>
          <w:sz w:val="24"/>
          <w:szCs w:val="24"/>
        </w:rPr>
        <w:t>p</w:t>
      </w:r>
      <w:r w:rsidR="001A6FC5" w:rsidRPr="006249AB">
        <w:rPr>
          <w:i/>
          <w:sz w:val="24"/>
          <w:szCs w:val="24"/>
        </w:rPr>
        <w:t xml:space="preserve"> </w:t>
      </w:r>
      <w:r w:rsidRPr="006249AB">
        <w:rPr>
          <w:i/>
          <w:sz w:val="24"/>
          <w:szCs w:val="24"/>
        </w:rPr>
        <w:t>valor</w:t>
      </w:r>
      <w:r w:rsidR="001A6FC5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>&lt;</w:t>
      </w:r>
      <w:r w:rsidR="001A6FC5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>0,01), evidenciando a existência de regressão, ou seja, existe pelo menos uma variável independente n</w:t>
      </w:r>
      <w:r w:rsidR="002373DF">
        <w:rPr>
          <w:sz w:val="24"/>
          <w:szCs w:val="24"/>
        </w:rPr>
        <w:t>a</w:t>
      </w:r>
      <w:r w:rsidRPr="009E51AE">
        <w:rPr>
          <w:sz w:val="24"/>
          <w:szCs w:val="24"/>
        </w:rPr>
        <w:t xml:space="preserve"> </w:t>
      </w:r>
      <w:r w:rsidR="002373DF">
        <w:rPr>
          <w:sz w:val="24"/>
          <w:szCs w:val="24"/>
        </w:rPr>
        <w:t>equação</w:t>
      </w:r>
      <w:r w:rsidR="002373DF" w:rsidRPr="009E51AE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>que está relacionada com a variável dependente, apresentando também, coeficiente de determinação ajustado (R²</w:t>
      </w:r>
      <w:r w:rsidRPr="00D83F87">
        <w:rPr>
          <w:sz w:val="24"/>
          <w:szCs w:val="24"/>
          <w:vertAlign w:val="subscript"/>
        </w:rPr>
        <w:t>aj.</w:t>
      </w:r>
      <w:r w:rsidRPr="009E51AE">
        <w:rPr>
          <w:sz w:val="24"/>
          <w:szCs w:val="24"/>
        </w:rPr>
        <w:t xml:space="preserve">) </w:t>
      </w:r>
      <w:proofErr w:type="gramStart"/>
      <w:r w:rsidR="001A6FC5">
        <w:rPr>
          <w:sz w:val="24"/>
          <w:szCs w:val="24"/>
        </w:rPr>
        <w:t>variando</w:t>
      </w:r>
      <w:proofErr w:type="gramEnd"/>
      <w:r w:rsidR="001A6FC5">
        <w:rPr>
          <w:sz w:val="24"/>
          <w:szCs w:val="24"/>
        </w:rPr>
        <w:t xml:space="preserve"> de 91,64 a</w:t>
      </w:r>
      <w:r w:rsidRPr="009E51AE">
        <w:rPr>
          <w:sz w:val="24"/>
          <w:szCs w:val="24"/>
        </w:rPr>
        <w:t xml:space="preserve"> 94,46%, erro padrão da estimativa em percentagem recalculado (</w:t>
      </w:r>
      <w:proofErr w:type="spellStart"/>
      <w:r w:rsidRPr="009E51AE">
        <w:rPr>
          <w:sz w:val="24"/>
          <w:szCs w:val="24"/>
        </w:rPr>
        <w:t>S</w:t>
      </w:r>
      <w:r w:rsidRPr="00D83F87">
        <w:rPr>
          <w:sz w:val="24"/>
          <w:szCs w:val="24"/>
          <w:vertAlign w:val="subscript"/>
        </w:rPr>
        <w:t>yxr</w:t>
      </w:r>
      <w:proofErr w:type="spellEnd"/>
      <w:r w:rsidRPr="009E51AE">
        <w:rPr>
          <w:sz w:val="24"/>
          <w:szCs w:val="24"/>
        </w:rPr>
        <w:t xml:space="preserve">) </w:t>
      </w:r>
      <w:r w:rsidR="001A6FC5">
        <w:rPr>
          <w:sz w:val="24"/>
          <w:szCs w:val="24"/>
        </w:rPr>
        <w:t>de</w:t>
      </w:r>
      <w:r w:rsidR="001A6FC5" w:rsidRPr="009E51AE">
        <w:rPr>
          <w:sz w:val="24"/>
          <w:szCs w:val="24"/>
        </w:rPr>
        <w:t xml:space="preserve"> </w:t>
      </w:r>
      <w:r w:rsidR="007B20EA">
        <w:rPr>
          <w:sz w:val="24"/>
          <w:szCs w:val="24"/>
        </w:rPr>
        <w:t>22,75</w:t>
      </w:r>
      <w:r w:rsidRPr="009E51AE">
        <w:rPr>
          <w:sz w:val="24"/>
          <w:szCs w:val="24"/>
        </w:rPr>
        <w:t xml:space="preserve"> </w:t>
      </w:r>
      <w:r w:rsidR="001A6FC5">
        <w:rPr>
          <w:sz w:val="24"/>
          <w:szCs w:val="24"/>
        </w:rPr>
        <w:t>a</w:t>
      </w:r>
      <w:r w:rsidR="001A6FC5" w:rsidRPr="009E51AE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>110,32% e desvio médi</w:t>
      </w:r>
      <w:r w:rsidR="007B20EA">
        <w:rPr>
          <w:sz w:val="24"/>
          <w:szCs w:val="24"/>
        </w:rPr>
        <w:t xml:space="preserve">o percentual (DMP) de - 385,55 </w:t>
      </w:r>
      <w:r w:rsidRPr="009E51AE">
        <w:rPr>
          <w:sz w:val="24"/>
          <w:szCs w:val="24"/>
        </w:rPr>
        <w:t xml:space="preserve">a - 19,35%. </w:t>
      </w:r>
    </w:p>
    <w:p w14:paraId="6902643A" w14:textId="77777777" w:rsidR="008F7747" w:rsidRDefault="008F7747" w:rsidP="00D83F87">
      <w:pPr>
        <w:rPr>
          <w:b/>
        </w:rPr>
      </w:pPr>
    </w:p>
    <w:p w14:paraId="3F9CDF51" w14:textId="77777777" w:rsidR="008F7747" w:rsidRPr="00D83F87" w:rsidRDefault="008F7747" w:rsidP="0012462E">
      <w:pPr>
        <w:jc w:val="center"/>
        <w:rPr>
          <w:b/>
          <w:sz w:val="22"/>
          <w:szCs w:val="22"/>
        </w:rPr>
      </w:pPr>
    </w:p>
    <w:p w14:paraId="72689557" w14:textId="267C4AAA" w:rsidR="00A22AF6" w:rsidRPr="00D83F87" w:rsidRDefault="0012462E" w:rsidP="001718F2">
      <w:pPr>
        <w:spacing w:line="360" w:lineRule="auto"/>
        <w:jc w:val="both"/>
        <w:rPr>
          <w:color w:val="FF0000"/>
          <w:sz w:val="22"/>
          <w:szCs w:val="22"/>
        </w:rPr>
      </w:pPr>
      <w:r w:rsidRPr="00D83F87">
        <w:rPr>
          <w:sz w:val="22"/>
          <w:szCs w:val="22"/>
        </w:rPr>
        <w:t xml:space="preserve">Tabela </w:t>
      </w:r>
      <w:r w:rsidR="008F7747" w:rsidRPr="00D83F87">
        <w:rPr>
          <w:sz w:val="22"/>
          <w:szCs w:val="22"/>
        </w:rPr>
        <w:t>1.</w:t>
      </w:r>
      <w:r w:rsidR="008F7747" w:rsidRPr="00D83F87">
        <w:rPr>
          <w:b/>
          <w:sz w:val="22"/>
          <w:szCs w:val="22"/>
        </w:rPr>
        <w:t xml:space="preserve"> </w:t>
      </w:r>
      <w:r w:rsidR="001009D9" w:rsidRPr="00D83F87">
        <w:rPr>
          <w:sz w:val="22"/>
          <w:szCs w:val="22"/>
        </w:rPr>
        <w:t>Valores das medidas de precisão d</w:t>
      </w:r>
      <w:r w:rsidR="002373DF" w:rsidRPr="00D83F87">
        <w:rPr>
          <w:sz w:val="22"/>
          <w:szCs w:val="22"/>
        </w:rPr>
        <w:t>a</w:t>
      </w:r>
      <w:r w:rsidR="001009D9" w:rsidRPr="00D83F87">
        <w:rPr>
          <w:sz w:val="22"/>
          <w:szCs w:val="22"/>
        </w:rPr>
        <w:t xml:space="preserve">s </w:t>
      </w:r>
      <w:r w:rsidR="002373DF" w:rsidRPr="00D83F87">
        <w:rPr>
          <w:sz w:val="22"/>
          <w:szCs w:val="22"/>
        </w:rPr>
        <w:t xml:space="preserve">equações </w:t>
      </w:r>
      <w:r w:rsidR="001009D9" w:rsidRPr="00D83F87">
        <w:rPr>
          <w:sz w:val="22"/>
          <w:szCs w:val="22"/>
        </w:rPr>
        <w:t>ajustad</w:t>
      </w:r>
      <w:r w:rsidR="002373DF" w:rsidRPr="00D83F87">
        <w:rPr>
          <w:sz w:val="22"/>
          <w:szCs w:val="22"/>
        </w:rPr>
        <w:t>a</w:t>
      </w:r>
      <w:r w:rsidR="001009D9" w:rsidRPr="00D83F87">
        <w:rPr>
          <w:sz w:val="22"/>
          <w:szCs w:val="22"/>
        </w:rPr>
        <w:t>s de densidade e probabilidade em uma área florest</w:t>
      </w:r>
      <w:r w:rsidR="0019343D">
        <w:rPr>
          <w:sz w:val="22"/>
          <w:szCs w:val="22"/>
        </w:rPr>
        <w:t>al no município de Barcarena-PA</w:t>
      </w:r>
      <w:r w:rsidR="005F303E">
        <w:rPr>
          <w:sz w:val="22"/>
          <w:szCs w:val="22"/>
        </w:rPr>
        <w:t>.</w:t>
      </w:r>
      <w:r w:rsidR="0019343D">
        <w:rPr>
          <w:sz w:val="22"/>
          <w:szCs w:val="22"/>
        </w:rPr>
        <w:t xml:space="preserve"> </w:t>
      </w:r>
    </w:p>
    <w:tbl>
      <w:tblPr>
        <w:tblpPr w:leftFromText="141" w:rightFromText="141" w:vertAnchor="text" w:tblpXSpec="center" w:tblpY="1"/>
        <w:tblW w:w="9285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286"/>
        <w:gridCol w:w="1429"/>
        <w:gridCol w:w="797"/>
        <w:gridCol w:w="851"/>
        <w:gridCol w:w="921"/>
      </w:tblGrid>
      <w:tr w:rsidR="001A6FC5" w:rsidRPr="00724382" w14:paraId="60DAFC39" w14:textId="137BBB78" w:rsidTr="006249AB">
        <w:trPr>
          <w:trHeight w:val="376"/>
        </w:trPr>
        <w:tc>
          <w:tcPr>
            <w:tcW w:w="5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88ED67" w14:textId="35DF3E5E" w:rsidR="001A6FC5" w:rsidRPr="00724382" w:rsidRDefault="001A6FC5" w:rsidP="00834A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24382">
              <w:rPr>
                <w:b/>
                <w:bCs/>
                <w:sz w:val="22"/>
                <w:szCs w:val="22"/>
              </w:rPr>
              <w:t>Equações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08366C" w14:textId="5068705E" w:rsidR="001A6FC5" w:rsidRPr="00724382" w:rsidRDefault="001A6FC5" w:rsidP="00834A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24382">
              <w:rPr>
                <w:b/>
                <w:bCs/>
                <w:sz w:val="22"/>
                <w:szCs w:val="22"/>
              </w:rPr>
              <w:t>Coeficientes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1CBB4E" w14:textId="51ABA648" w:rsidR="001A6FC5" w:rsidRPr="00724382" w:rsidRDefault="001A6FC5" w:rsidP="00834A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24382">
              <w:rPr>
                <w:b/>
                <w:bCs/>
                <w:sz w:val="22"/>
                <w:szCs w:val="22"/>
              </w:rPr>
              <w:t>R²</w:t>
            </w:r>
            <w:proofErr w:type="gramStart"/>
            <w:r w:rsidRPr="006249AB">
              <w:rPr>
                <w:b/>
                <w:bCs/>
                <w:sz w:val="22"/>
                <w:szCs w:val="22"/>
                <w:vertAlign w:val="subscript"/>
              </w:rPr>
              <w:t>aj.</w:t>
            </w:r>
            <w:r w:rsidRPr="00724382">
              <w:rPr>
                <w:b/>
                <w:bCs/>
                <w:sz w:val="22"/>
                <w:szCs w:val="22"/>
              </w:rPr>
              <w:t>%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4A7E45" w14:textId="4116F3B8" w:rsidR="001A6FC5" w:rsidRPr="00724382" w:rsidRDefault="001A6FC5" w:rsidP="00834A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4382">
              <w:rPr>
                <w:b/>
                <w:bCs/>
                <w:sz w:val="22"/>
                <w:szCs w:val="22"/>
              </w:rPr>
              <w:t>S</w:t>
            </w:r>
            <w:r w:rsidRPr="006249AB">
              <w:rPr>
                <w:b/>
                <w:bCs/>
                <w:sz w:val="22"/>
                <w:szCs w:val="22"/>
                <w:vertAlign w:val="subscript"/>
              </w:rPr>
              <w:t>yxr</w:t>
            </w:r>
            <w:proofErr w:type="spellEnd"/>
            <w:r w:rsidRPr="0072438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A586A6" w14:textId="2224D32D" w:rsidR="001A6FC5" w:rsidRPr="00724382" w:rsidRDefault="001A6FC5" w:rsidP="00834A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24382">
              <w:rPr>
                <w:b/>
                <w:bCs/>
                <w:sz w:val="22"/>
                <w:szCs w:val="22"/>
              </w:rPr>
              <w:t>DMP%</w:t>
            </w:r>
          </w:p>
        </w:tc>
      </w:tr>
      <w:tr w:rsidR="002373DF" w:rsidRPr="00724382" w14:paraId="531AEFDE" w14:textId="2FED8CFC" w:rsidTr="006249AB">
        <w:trPr>
          <w:trHeight w:val="376"/>
        </w:trPr>
        <w:tc>
          <w:tcPr>
            <w:tcW w:w="1001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C0B0AC5" w14:textId="2890B256" w:rsidR="002373DF" w:rsidRPr="00724382" w:rsidRDefault="002373DF" w:rsidP="006249A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24382">
              <w:rPr>
                <w:bCs/>
                <w:sz w:val="22"/>
                <w:szCs w:val="22"/>
              </w:rPr>
              <w:t>Meyer</w:t>
            </w:r>
          </w:p>
        </w:tc>
        <w:tc>
          <w:tcPr>
            <w:tcW w:w="4286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A90F44" w14:textId="70F2A76C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log</w:t>
            </w:r>
            <w:proofErr w:type="gramEnd"/>
            <w:r w:rsidRPr="00724382">
              <w:rPr>
                <w:sz w:val="22"/>
                <w:szCs w:val="22"/>
              </w:rPr>
              <w:t xml:space="preserve"> (N) =  b</w:t>
            </w:r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 xml:space="preserve"> + b</w:t>
            </w:r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 xml:space="preserve"> x</w:t>
            </w:r>
          </w:p>
        </w:tc>
        <w:tc>
          <w:tcPr>
            <w:tcW w:w="1429" w:type="dxa"/>
            <w:tcBorders>
              <w:left w:val="nil"/>
              <w:right w:val="nil"/>
            </w:tcBorders>
            <w:shd w:val="clear" w:color="auto" w:fill="FFFFFF"/>
          </w:tcPr>
          <w:p w14:paraId="16BB8C88" w14:textId="3DB7623F" w:rsidR="002373DF" w:rsidRPr="00724382" w:rsidRDefault="002373DF" w:rsidP="006249A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>=2,45014</w:t>
            </w:r>
          </w:p>
        </w:tc>
        <w:tc>
          <w:tcPr>
            <w:tcW w:w="797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0AF54E" w14:textId="3F40D25E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92,83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3717825" w14:textId="602AEC09" w:rsidR="002373DF" w:rsidRPr="00724382" w:rsidRDefault="002373DF" w:rsidP="006249AB">
            <w:pPr>
              <w:tabs>
                <w:tab w:val="center" w:pos="6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120,27</w:t>
            </w:r>
          </w:p>
        </w:tc>
        <w:tc>
          <w:tcPr>
            <w:tcW w:w="921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286016" w14:textId="42B29E7C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-385,55</w:t>
            </w:r>
          </w:p>
        </w:tc>
      </w:tr>
      <w:tr w:rsidR="002373DF" w:rsidRPr="00724382" w14:paraId="5FB21561" w14:textId="74022FC6" w:rsidTr="006249AB">
        <w:trPr>
          <w:trHeight w:val="376"/>
        </w:trPr>
        <w:tc>
          <w:tcPr>
            <w:tcW w:w="100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266683C6" w14:textId="77777777" w:rsidR="002373DF" w:rsidRPr="00724382" w:rsidRDefault="002373DF" w:rsidP="006249A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6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45DA0624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</w:tcPr>
          <w:p w14:paraId="582A6A4B" w14:textId="6209007A" w:rsidR="002373DF" w:rsidRPr="00724382" w:rsidDel="001009D9" w:rsidRDefault="002373DF" w:rsidP="006249A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>=-0,02352</w:t>
            </w:r>
          </w:p>
        </w:tc>
        <w:tc>
          <w:tcPr>
            <w:tcW w:w="79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6E3CA991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28421637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0A5AFD3F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373DF" w:rsidRPr="00724382" w14:paraId="1E25E8A2" w14:textId="11DD949A" w:rsidTr="006249AB">
        <w:trPr>
          <w:trHeight w:val="390"/>
        </w:trPr>
        <w:tc>
          <w:tcPr>
            <w:tcW w:w="1001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  <w:vAlign w:val="center"/>
          </w:tcPr>
          <w:p w14:paraId="4B70FBFA" w14:textId="28081DB4" w:rsidR="002373DF" w:rsidRPr="00724382" w:rsidRDefault="002373DF" w:rsidP="006249A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4382">
              <w:rPr>
                <w:bCs/>
                <w:sz w:val="22"/>
                <w:szCs w:val="22"/>
              </w:rPr>
              <w:t>Goff</w:t>
            </w:r>
            <w:proofErr w:type="spellEnd"/>
            <w:r w:rsidRPr="00724382">
              <w:rPr>
                <w:bCs/>
                <w:sz w:val="22"/>
                <w:szCs w:val="22"/>
              </w:rPr>
              <w:t xml:space="preserve"> &amp; West</w:t>
            </w:r>
          </w:p>
        </w:tc>
        <w:tc>
          <w:tcPr>
            <w:tcW w:w="4286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  <w:vAlign w:val="center"/>
          </w:tcPr>
          <w:p w14:paraId="487F87FA" w14:textId="280DC36F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log</w:t>
            </w:r>
            <w:proofErr w:type="gramEnd"/>
            <w:r w:rsidRPr="00724382">
              <w:rPr>
                <w:sz w:val="22"/>
                <w:szCs w:val="22"/>
              </w:rPr>
              <w:t xml:space="preserve"> (N) =  b</w:t>
            </w:r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 xml:space="preserve"> + b</w:t>
            </w:r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 xml:space="preserve"> x + b</w:t>
            </w:r>
            <w:r w:rsidRPr="006249AB">
              <w:rPr>
                <w:sz w:val="22"/>
                <w:szCs w:val="22"/>
                <w:vertAlign w:val="subscript"/>
              </w:rPr>
              <w:t>2</w:t>
            </w:r>
            <w:r w:rsidRPr="00724382">
              <w:rPr>
                <w:sz w:val="22"/>
                <w:szCs w:val="22"/>
              </w:rPr>
              <w:t xml:space="preserve"> x²</w:t>
            </w:r>
          </w:p>
        </w:tc>
        <w:tc>
          <w:tcPr>
            <w:tcW w:w="1429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5F9059B6" w14:textId="6CA7C325" w:rsidR="002373DF" w:rsidRPr="00724382" w:rsidRDefault="002373DF" w:rsidP="006249A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>=2,91878</w:t>
            </w:r>
          </w:p>
        </w:tc>
        <w:tc>
          <w:tcPr>
            <w:tcW w:w="797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  <w:vAlign w:val="center"/>
          </w:tcPr>
          <w:p w14:paraId="3FCE776E" w14:textId="7AF6451E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94,46</w:t>
            </w:r>
          </w:p>
        </w:tc>
        <w:tc>
          <w:tcPr>
            <w:tcW w:w="851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  <w:vAlign w:val="center"/>
          </w:tcPr>
          <w:p w14:paraId="6EC88868" w14:textId="54C698A4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22,75</w:t>
            </w:r>
          </w:p>
        </w:tc>
        <w:tc>
          <w:tcPr>
            <w:tcW w:w="921" w:type="dxa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FFFFF"/>
            <w:vAlign w:val="center"/>
          </w:tcPr>
          <w:p w14:paraId="36F90F9B" w14:textId="55DB9074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-19,35</w:t>
            </w:r>
          </w:p>
        </w:tc>
      </w:tr>
      <w:tr w:rsidR="002373DF" w:rsidRPr="00724382" w14:paraId="4BB19FC5" w14:textId="5230C565" w:rsidTr="006249AB">
        <w:trPr>
          <w:trHeight w:val="390"/>
        </w:trPr>
        <w:tc>
          <w:tcPr>
            <w:tcW w:w="100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ECAE87" w14:textId="77777777" w:rsidR="002373DF" w:rsidRPr="00724382" w:rsidRDefault="002373DF" w:rsidP="006249A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6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F05C31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shd w:val="clear" w:color="auto" w:fill="FFFFFF"/>
          </w:tcPr>
          <w:p w14:paraId="0D0D93E7" w14:textId="5829EE7C" w:rsidR="002373DF" w:rsidRPr="00724382" w:rsidDel="001009D9" w:rsidRDefault="002373DF" w:rsidP="006249A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>=-0,03839</w:t>
            </w:r>
          </w:p>
        </w:tc>
        <w:tc>
          <w:tcPr>
            <w:tcW w:w="79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EFBF10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81A0DA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04B572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373DF" w:rsidRPr="00724382" w14:paraId="64F31107" w14:textId="20416E26" w:rsidTr="006249AB">
        <w:trPr>
          <w:trHeight w:val="390"/>
        </w:trPr>
        <w:tc>
          <w:tcPr>
            <w:tcW w:w="100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0FD5E27B" w14:textId="77777777" w:rsidR="002373DF" w:rsidRPr="00724382" w:rsidRDefault="002373DF" w:rsidP="006249A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6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1B5E49B9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</w:tcPr>
          <w:p w14:paraId="0B3F0B29" w14:textId="7602FD66" w:rsidR="002373DF" w:rsidRPr="00724382" w:rsidRDefault="002373DF" w:rsidP="006249A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2</w:t>
            </w:r>
            <w:r w:rsidRPr="00724382">
              <w:rPr>
                <w:sz w:val="22"/>
                <w:szCs w:val="22"/>
              </w:rPr>
              <w:t>=0,00009</w:t>
            </w:r>
          </w:p>
        </w:tc>
        <w:tc>
          <w:tcPr>
            <w:tcW w:w="79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0C9BEC47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54C4251A" w14:textId="77777777" w:rsidR="002373DF" w:rsidRPr="00724382" w:rsidDel="001009D9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03D030F6" w14:textId="77777777" w:rsidR="002373DF" w:rsidRPr="00724382" w:rsidRDefault="002373DF" w:rsidP="006249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373DF" w:rsidRPr="00724382" w14:paraId="4A842FA6" w14:textId="636A3C03" w:rsidTr="006249AB">
        <w:trPr>
          <w:trHeight w:val="291"/>
        </w:trPr>
        <w:tc>
          <w:tcPr>
            <w:tcW w:w="1001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F5A433A" w14:textId="61DAB872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24382">
              <w:rPr>
                <w:bCs/>
                <w:sz w:val="22"/>
                <w:szCs w:val="22"/>
              </w:rPr>
              <w:t>Função Beta</w:t>
            </w:r>
          </w:p>
        </w:tc>
        <w:tc>
          <w:tcPr>
            <w:tcW w:w="4286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34D1E0A3" w14:textId="330F5410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vertAlign w:val="subscript"/>
              </w:rPr>
            </w:pPr>
            <w:r w:rsidRPr="00724382">
              <w:rPr>
                <w:sz w:val="22"/>
                <w:szCs w:val="22"/>
              </w:rPr>
              <w:t xml:space="preserve"> </w:t>
            </w:r>
            <w:proofErr w:type="gramStart"/>
            <w:r w:rsidRPr="00724382">
              <w:rPr>
                <w:sz w:val="22"/>
                <w:szCs w:val="22"/>
              </w:rPr>
              <w:t>log</w:t>
            </w:r>
            <w:proofErr w:type="gramEnd"/>
            <w:r w:rsidRPr="00724382">
              <w:rPr>
                <w:sz w:val="22"/>
                <w:szCs w:val="22"/>
              </w:rPr>
              <w:t xml:space="preserve"> (N) =  b</w:t>
            </w:r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 xml:space="preserve"> + b</w:t>
            </w:r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 xml:space="preserve"> log(x -a) + b</w:t>
            </w:r>
            <w:r w:rsidRPr="006249AB">
              <w:rPr>
                <w:sz w:val="22"/>
                <w:szCs w:val="22"/>
                <w:vertAlign w:val="subscript"/>
              </w:rPr>
              <w:t>2</w:t>
            </w:r>
            <w:r w:rsidRPr="00724382">
              <w:rPr>
                <w:sz w:val="22"/>
                <w:szCs w:val="22"/>
              </w:rPr>
              <w:t xml:space="preserve"> log(</w:t>
            </w:r>
            <w:proofErr w:type="spellStart"/>
            <w:r w:rsidRPr="00724382">
              <w:rPr>
                <w:sz w:val="22"/>
                <w:szCs w:val="22"/>
              </w:rPr>
              <w:t>b+x</w:t>
            </w:r>
            <w:proofErr w:type="spellEnd"/>
            <w:r w:rsidRPr="00724382">
              <w:rPr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single" w:sz="4" w:space="0" w:color="A6A6A6" w:themeColor="background1" w:themeShade="A6"/>
            </w:tcBorders>
          </w:tcPr>
          <w:p w14:paraId="72A39B83" w14:textId="7A4B8D60" w:rsidR="002373DF" w:rsidRPr="00724382" w:rsidRDefault="002373DF" w:rsidP="006249A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0</w:t>
            </w:r>
            <w:r w:rsidRPr="00724382">
              <w:rPr>
                <w:sz w:val="22"/>
                <w:szCs w:val="22"/>
              </w:rPr>
              <w:t>=4,79912</w:t>
            </w:r>
          </w:p>
        </w:tc>
        <w:tc>
          <w:tcPr>
            <w:tcW w:w="797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0991E9AD" w14:textId="5AB8AE28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91,64</w:t>
            </w:r>
          </w:p>
        </w:tc>
        <w:tc>
          <w:tcPr>
            <w:tcW w:w="851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3DBE59B4" w14:textId="6E18C260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110,32</w:t>
            </w:r>
          </w:p>
        </w:tc>
        <w:tc>
          <w:tcPr>
            <w:tcW w:w="921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089DFE55" w14:textId="476D4239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724382">
              <w:rPr>
                <w:sz w:val="22"/>
                <w:szCs w:val="22"/>
              </w:rPr>
              <w:t>-30,15</w:t>
            </w:r>
          </w:p>
        </w:tc>
      </w:tr>
      <w:tr w:rsidR="002373DF" w:rsidRPr="00724382" w14:paraId="5B84D14F" w14:textId="2997AD69" w:rsidTr="006249AB">
        <w:trPr>
          <w:trHeight w:val="291"/>
        </w:trPr>
        <w:tc>
          <w:tcPr>
            <w:tcW w:w="1001" w:type="dxa"/>
            <w:vMerge/>
            <w:shd w:val="clear" w:color="auto" w:fill="FFFFFF"/>
            <w:vAlign w:val="center"/>
          </w:tcPr>
          <w:p w14:paraId="16750E03" w14:textId="77777777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6" w:type="dxa"/>
            <w:vMerge/>
            <w:shd w:val="clear" w:color="auto" w:fill="FFFFFF"/>
            <w:vAlign w:val="center"/>
          </w:tcPr>
          <w:p w14:paraId="23A74A21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63D3A0F0" w14:textId="43CB1F44" w:rsidR="002373DF" w:rsidRPr="00724382" w:rsidDel="001009D9" w:rsidRDefault="002373DF" w:rsidP="006249A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1</w:t>
            </w:r>
            <w:r w:rsidRPr="00724382">
              <w:rPr>
                <w:sz w:val="22"/>
                <w:szCs w:val="22"/>
              </w:rPr>
              <w:t>=-2,80225</w:t>
            </w:r>
          </w:p>
        </w:tc>
        <w:tc>
          <w:tcPr>
            <w:tcW w:w="797" w:type="dxa"/>
            <w:vMerge/>
            <w:vAlign w:val="center"/>
          </w:tcPr>
          <w:p w14:paraId="48D205EE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C3A6722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vAlign w:val="center"/>
          </w:tcPr>
          <w:p w14:paraId="27935DDE" w14:textId="77777777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373DF" w:rsidRPr="00724382" w14:paraId="4B822493" w14:textId="6518B288" w:rsidTr="006249AB">
        <w:trPr>
          <w:trHeight w:val="80"/>
        </w:trPr>
        <w:tc>
          <w:tcPr>
            <w:tcW w:w="1001" w:type="dxa"/>
            <w:vMerge/>
            <w:shd w:val="clear" w:color="auto" w:fill="FFFFFF"/>
            <w:vAlign w:val="center"/>
          </w:tcPr>
          <w:p w14:paraId="58A6CC6C" w14:textId="77777777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6" w:type="dxa"/>
            <w:vMerge/>
            <w:shd w:val="clear" w:color="auto" w:fill="FFFFFF"/>
            <w:vAlign w:val="center"/>
          </w:tcPr>
          <w:p w14:paraId="11FD1DE2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367027FE" w14:textId="41D278CD" w:rsidR="002373DF" w:rsidRPr="00724382" w:rsidDel="001009D9" w:rsidRDefault="002373DF" w:rsidP="006249A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proofErr w:type="gramStart"/>
            <w:r w:rsidRPr="00724382">
              <w:rPr>
                <w:sz w:val="22"/>
                <w:szCs w:val="22"/>
              </w:rPr>
              <w:t>b</w:t>
            </w:r>
            <w:proofErr w:type="gramEnd"/>
            <w:r w:rsidRPr="006249AB">
              <w:rPr>
                <w:sz w:val="22"/>
                <w:szCs w:val="22"/>
                <w:vertAlign w:val="subscript"/>
              </w:rPr>
              <w:t>2</w:t>
            </w:r>
            <w:r w:rsidRPr="00724382">
              <w:rPr>
                <w:sz w:val="22"/>
                <w:szCs w:val="22"/>
              </w:rPr>
              <w:t>=0,37076</w:t>
            </w:r>
          </w:p>
        </w:tc>
        <w:tc>
          <w:tcPr>
            <w:tcW w:w="797" w:type="dxa"/>
            <w:vMerge/>
            <w:vAlign w:val="center"/>
          </w:tcPr>
          <w:p w14:paraId="07BAFA4B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B20B982" w14:textId="77777777" w:rsidR="002373DF" w:rsidRPr="00724382" w:rsidDel="001009D9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vAlign w:val="center"/>
          </w:tcPr>
          <w:p w14:paraId="217974CA" w14:textId="77777777" w:rsidR="002373DF" w:rsidRPr="00724382" w:rsidRDefault="002373DF" w:rsidP="00834A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707EADB" w14:textId="2A6F76FD" w:rsidR="00D83F87" w:rsidRDefault="005F303E" w:rsidP="005F30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que: </w:t>
      </w:r>
      <w:r w:rsidRPr="00D83F87">
        <w:rPr>
          <w:sz w:val="22"/>
          <w:szCs w:val="22"/>
        </w:rPr>
        <w:t>N =frequência de árvores por classe de diâmetro; x=centro de classe de diâmetro; bi = coeficientes de regressão estimados; a= limite inferior da função beta; b= limite superior da função beta; R²</w:t>
      </w:r>
      <w:proofErr w:type="gramStart"/>
      <w:r w:rsidRPr="00D83F87">
        <w:rPr>
          <w:sz w:val="22"/>
          <w:szCs w:val="22"/>
        </w:rPr>
        <w:t>aj.%</w:t>
      </w:r>
      <w:proofErr w:type="gramEnd"/>
      <w:r w:rsidRPr="00D83F87">
        <w:rPr>
          <w:sz w:val="22"/>
          <w:szCs w:val="22"/>
        </w:rPr>
        <w:t xml:space="preserve">= Coeficiente de determinação ajustado em porcentagem; </w:t>
      </w:r>
      <w:proofErr w:type="spellStart"/>
      <w:r w:rsidRPr="00D83F87">
        <w:rPr>
          <w:sz w:val="22"/>
          <w:szCs w:val="22"/>
        </w:rPr>
        <w:t>Syxr</w:t>
      </w:r>
      <w:proofErr w:type="spellEnd"/>
      <w:r w:rsidRPr="00D83F87">
        <w:rPr>
          <w:sz w:val="22"/>
          <w:szCs w:val="22"/>
        </w:rPr>
        <w:t>%= Erro padrão da estimativa em porcentagem recalculado; DMP%= Desvio médio percentual.</w:t>
      </w:r>
    </w:p>
    <w:p w14:paraId="78A886D3" w14:textId="77777777" w:rsidR="005F303E" w:rsidRPr="00D83F87" w:rsidRDefault="005F303E" w:rsidP="00834A9F">
      <w:pPr>
        <w:spacing w:line="360" w:lineRule="auto"/>
        <w:ind w:firstLine="708"/>
        <w:jc w:val="both"/>
        <w:rPr>
          <w:sz w:val="22"/>
          <w:szCs w:val="22"/>
        </w:rPr>
      </w:pPr>
    </w:p>
    <w:p w14:paraId="35C3ACD6" w14:textId="650470CC" w:rsidR="004F4106" w:rsidRPr="00834A9F" w:rsidRDefault="003C6CF9">
      <w:pPr>
        <w:spacing w:line="360" w:lineRule="auto"/>
        <w:ind w:firstLine="708"/>
        <w:jc w:val="both"/>
        <w:rPr>
          <w:sz w:val="24"/>
          <w:szCs w:val="24"/>
        </w:rPr>
      </w:pPr>
      <w:r w:rsidRPr="00834A9F">
        <w:rPr>
          <w:sz w:val="24"/>
          <w:szCs w:val="24"/>
        </w:rPr>
        <w:t>Em relação a R²</w:t>
      </w:r>
      <w:proofErr w:type="gramStart"/>
      <w:r w:rsidRPr="00D83F87">
        <w:rPr>
          <w:sz w:val="24"/>
          <w:szCs w:val="24"/>
          <w:vertAlign w:val="subscript"/>
        </w:rPr>
        <w:t>aj</w:t>
      </w:r>
      <w:r w:rsidRPr="00834A9F">
        <w:rPr>
          <w:sz w:val="24"/>
          <w:szCs w:val="24"/>
        </w:rPr>
        <w:t>.</w:t>
      </w:r>
      <w:r w:rsidR="001A6FC5" w:rsidRPr="00834A9F">
        <w:rPr>
          <w:sz w:val="24"/>
          <w:szCs w:val="24"/>
        </w:rPr>
        <w:t>,</w:t>
      </w:r>
      <w:proofErr w:type="gramEnd"/>
      <w:r w:rsidRPr="00834A9F">
        <w:rPr>
          <w:sz w:val="24"/>
          <w:szCs w:val="24"/>
        </w:rPr>
        <w:t xml:space="preserve"> destacou-se </w:t>
      </w:r>
      <w:r w:rsidR="002373DF" w:rsidRPr="00834A9F">
        <w:rPr>
          <w:sz w:val="24"/>
          <w:szCs w:val="24"/>
        </w:rPr>
        <w:t>as equações</w:t>
      </w:r>
      <w:r w:rsidRPr="00834A9F">
        <w:rPr>
          <w:sz w:val="24"/>
          <w:szCs w:val="24"/>
        </w:rPr>
        <w:t xml:space="preserve">: </w:t>
      </w:r>
      <w:proofErr w:type="spellStart"/>
      <w:r w:rsidRPr="00D83F87">
        <w:rPr>
          <w:bCs/>
          <w:iCs/>
          <w:sz w:val="24"/>
          <w:szCs w:val="24"/>
        </w:rPr>
        <w:t>Goff</w:t>
      </w:r>
      <w:proofErr w:type="spellEnd"/>
      <w:r w:rsidRPr="00D83F87">
        <w:rPr>
          <w:bCs/>
          <w:iCs/>
          <w:sz w:val="24"/>
          <w:szCs w:val="24"/>
        </w:rPr>
        <w:t xml:space="preserve"> &amp; West </w:t>
      </w:r>
      <w:r w:rsidRPr="00834A9F">
        <w:rPr>
          <w:sz w:val="24"/>
          <w:szCs w:val="24"/>
        </w:rPr>
        <w:t>com valores de 94,46%, onde o resultado mostra que 94,46% de todas as variações que ocorrem nas variáveis dependentes são de responsabilidade dest</w:t>
      </w:r>
      <w:r w:rsidR="00834A9F" w:rsidRPr="00834A9F">
        <w:rPr>
          <w:sz w:val="24"/>
          <w:szCs w:val="24"/>
        </w:rPr>
        <w:t>a</w:t>
      </w:r>
      <w:r w:rsidRPr="00834A9F">
        <w:rPr>
          <w:sz w:val="24"/>
          <w:szCs w:val="24"/>
        </w:rPr>
        <w:t xml:space="preserve"> </w:t>
      </w:r>
      <w:r w:rsidR="00834A9F" w:rsidRPr="00834A9F">
        <w:rPr>
          <w:sz w:val="24"/>
          <w:szCs w:val="24"/>
        </w:rPr>
        <w:t>equação</w:t>
      </w:r>
      <w:r w:rsidRPr="00834A9F">
        <w:rPr>
          <w:sz w:val="24"/>
          <w:szCs w:val="24"/>
        </w:rPr>
        <w:t xml:space="preserve">. Quanto ao </w:t>
      </w:r>
      <w:proofErr w:type="spellStart"/>
      <w:r w:rsidRPr="00834A9F">
        <w:rPr>
          <w:sz w:val="24"/>
          <w:szCs w:val="24"/>
        </w:rPr>
        <w:t>S</w:t>
      </w:r>
      <w:r w:rsidRPr="00D83F87">
        <w:rPr>
          <w:sz w:val="24"/>
          <w:szCs w:val="24"/>
          <w:vertAlign w:val="subscript"/>
        </w:rPr>
        <w:t>yxr</w:t>
      </w:r>
      <w:proofErr w:type="spellEnd"/>
      <w:r w:rsidRPr="00834A9F">
        <w:rPr>
          <w:sz w:val="24"/>
          <w:szCs w:val="24"/>
        </w:rPr>
        <w:t xml:space="preserve">, verificou-se que o </w:t>
      </w:r>
      <w:proofErr w:type="spellStart"/>
      <w:r w:rsidRPr="00D83F87">
        <w:rPr>
          <w:bCs/>
          <w:iCs/>
          <w:sz w:val="24"/>
          <w:szCs w:val="24"/>
        </w:rPr>
        <w:t>Goff</w:t>
      </w:r>
      <w:proofErr w:type="spellEnd"/>
      <w:r w:rsidRPr="00D83F87">
        <w:rPr>
          <w:bCs/>
          <w:iCs/>
          <w:sz w:val="24"/>
          <w:szCs w:val="24"/>
        </w:rPr>
        <w:t xml:space="preserve"> &amp; West</w:t>
      </w:r>
      <w:r w:rsidRPr="00834A9F">
        <w:rPr>
          <w:sz w:val="24"/>
          <w:szCs w:val="24"/>
        </w:rPr>
        <w:t xml:space="preserve"> obteve o melhor resultado dentre </w:t>
      </w:r>
      <w:r w:rsidR="00834A9F" w:rsidRPr="00834A9F">
        <w:rPr>
          <w:sz w:val="24"/>
          <w:szCs w:val="24"/>
        </w:rPr>
        <w:t>as equações</w:t>
      </w:r>
      <w:r w:rsidRPr="00834A9F">
        <w:rPr>
          <w:sz w:val="24"/>
          <w:szCs w:val="24"/>
        </w:rPr>
        <w:t xml:space="preserve"> ajustad</w:t>
      </w:r>
      <w:r w:rsidR="00834A9F" w:rsidRPr="00834A9F">
        <w:rPr>
          <w:sz w:val="24"/>
          <w:szCs w:val="24"/>
        </w:rPr>
        <w:t>as</w:t>
      </w:r>
      <w:r w:rsidRPr="00834A9F">
        <w:rPr>
          <w:sz w:val="24"/>
          <w:szCs w:val="24"/>
        </w:rPr>
        <w:t xml:space="preserve">, com erro de -22,75 %, onde os valores de </w:t>
      </w:r>
      <w:r w:rsidR="008F7747">
        <w:rPr>
          <w:sz w:val="24"/>
          <w:szCs w:val="24"/>
        </w:rPr>
        <w:t>N</w:t>
      </w:r>
      <w:r w:rsidRPr="00834A9F">
        <w:rPr>
          <w:sz w:val="24"/>
          <w:szCs w:val="24"/>
        </w:rPr>
        <w:t xml:space="preserve"> estimados através da equação oscilam, em média, na faixa de 22,75% em relação aos valores reais de </w:t>
      </w:r>
      <w:r w:rsidR="008F7747">
        <w:rPr>
          <w:sz w:val="24"/>
          <w:szCs w:val="24"/>
        </w:rPr>
        <w:t>N</w:t>
      </w:r>
      <w:r w:rsidRPr="00834A9F">
        <w:rPr>
          <w:sz w:val="24"/>
          <w:szCs w:val="24"/>
        </w:rPr>
        <w:t xml:space="preserve">, assim como </w:t>
      </w:r>
      <w:r w:rsidR="00834A9F" w:rsidRPr="00834A9F">
        <w:rPr>
          <w:sz w:val="24"/>
          <w:szCs w:val="24"/>
        </w:rPr>
        <w:t>a</w:t>
      </w:r>
      <w:r w:rsidRPr="00834A9F">
        <w:rPr>
          <w:sz w:val="24"/>
          <w:szCs w:val="24"/>
        </w:rPr>
        <w:t xml:space="preserve"> mesm</w:t>
      </w:r>
      <w:r w:rsidR="00834A9F" w:rsidRPr="00834A9F">
        <w:rPr>
          <w:sz w:val="24"/>
          <w:szCs w:val="24"/>
        </w:rPr>
        <w:t>a</w:t>
      </w:r>
      <w:r w:rsidRPr="00834A9F">
        <w:rPr>
          <w:sz w:val="24"/>
          <w:szCs w:val="24"/>
        </w:rPr>
        <w:t xml:space="preserve"> </w:t>
      </w:r>
      <w:r w:rsidR="00834A9F" w:rsidRPr="00834A9F">
        <w:rPr>
          <w:sz w:val="24"/>
          <w:szCs w:val="24"/>
        </w:rPr>
        <w:t>equação</w:t>
      </w:r>
      <w:r w:rsidRPr="00834A9F">
        <w:rPr>
          <w:sz w:val="24"/>
          <w:szCs w:val="24"/>
        </w:rPr>
        <w:t xml:space="preserve"> teve menor DMP, sendo de -19,35%, onde os valores calculados pela equação estão sendo superestimados em 19,35% em relação aos valores reais da variável dependente. Além disto, a equações ajustada de </w:t>
      </w:r>
      <w:proofErr w:type="spellStart"/>
      <w:r w:rsidRPr="00D83F87">
        <w:rPr>
          <w:bCs/>
          <w:iCs/>
          <w:sz w:val="24"/>
          <w:szCs w:val="24"/>
        </w:rPr>
        <w:t>Goff</w:t>
      </w:r>
      <w:proofErr w:type="spellEnd"/>
      <w:r w:rsidRPr="00D83F87">
        <w:rPr>
          <w:bCs/>
          <w:iCs/>
          <w:sz w:val="24"/>
          <w:szCs w:val="24"/>
        </w:rPr>
        <w:t xml:space="preserve"> &amp; West</w:t>
      </w:r>
      <w:r w:rsidRPr="00834A9F">
        <w:rPr>
          <w:sz w:val="24"/>
          <w:szCs w:val="24"/>
        </w:rPr>
        <w:t xml:space="preserve"> gerou menor soma dos quadrados dos desvios. </w:t>
      </w:r>
    </w:p>
    <w:p w14:paraId="2F84954D" w14:textId="6721B714" w:rsidR="003C6CF9" w:rsidRPr="001718F2" w:rsidRDefault="003C6CF9" w:rsidP="001718F2">
      <w:pPr>
        <w:spacing w:line="360" w:lineRule="auto"/>
        <w:ind w:firstLine="708"/>
        <w:jc w:val="both"/>
        <w:rPr>
          <w:sz w:val="24"/>
          <w:szCs w:val="24"/>
        </w:rPr>
      </w:pPr>
      <w:r w:rsidRPr="009E51AE">
        <w:rPr>
          <w:sz w:val="24"/>
          <w:szCs w:val="24"/>
        </w:rPr>
        <w:t xml:space="preserve">De acordo com Barros (1980), em seu estudo, realizados na floresta do Planalto Tapajós, na Amazônia, </w:t>
      </w:r>
      <w:r w:rsidR="008F7747">
        <w:rPr>
          <w:sz w:val="24"/>
          <w:szCs w:val="24"/>
        </w:rPr>
        <w:t>ajustou</w:t>
      </w:r>
      <w:r w:rsidR="008F7747" w:rsidRPr="009E51AE">
        <w:rPr>
          <w:sz w:val="24"/>
          <w:szCs w:val="24"/>
        </w:rPr>
        <w:t xml:space="preserve"> </w:t>
      </w:r>
      <w:r w:rsidRPr="009E51AE">
        <w:rPr>
          <w:sz w:val="24"/>
          <w:szCs w:val="24"/>
        </w:rPr>
        <w:t xml:space="preserve">várias funções densidade de probabilidade, entre elas a Exponencial (Meyer tipo I e II), Polinomial de </w:t>
      </w:r>
      <w:proofErr w:type="spellStart"/>
      <w:r w:rsidRPr="009E51AE">
        <w:rPr>
          <w:sz w:val="24"/>
          <w:szCs w:val="24"/>
        </w:rPr>
        <w:t>Goff</w:t>
      </w:r>
      <w:proofErr w:type="spellEnd"/>
      <w:r w:rsidRPr="009E51AE">
        <w:rPr>
          <w:sz w:val="24"/>
          <w:szCs w:val="24"/>
        </w:rPr>
        <w:t xml:space="preserve"> &amp; West, e Beta, para ajustar a distribuição </w:t>
      </w:r>
      <w:proofErr w:type="spellStart"/>
      <w:r w:rsidRPr="009E51AE">
        <w:rPr>
          <w:sz w:val="24"/>
          <w:szCs w:val="24"/>
        </w:rPr>
        <w:t>diamétrica</w:t>
      </w:r>
      <w:proofErr w:type="spellEnd"/>
      <w:r w:rsidRPr="009E51AE">
        <w:rPr>
          <w:sz w:val="24"/>
          <w:szCs w:val="24"/>
        </w:rPr>
        <w:t xml:space="preserve"> de todas as espécies, algumas de valor comercial e algumas mais frequentes para as amplitudes </w:t>
      </w:r>
      <w:proofErr w:type="spellStart"/>
      <w:r w:rsidRPr="009E51AE">
        <w:rPr>
          <w:sz w:val="24"/>
          <w:szCs w:val="24"/>
        </w:rPr>
        <w:t>diamétricas</w:t>
      </w:r>
      <w:proofErr w:type="spellEnd"/>
      <w:r w:rsidRPr="009E51AE">
        <w:rPr>
          <w:sz w:val="24"/>
          <w:szCs w:val="24"/>
        </w:rPr>
        <w:t xml:space="preserve"> de 10, 7 e 5 cm. O diâmetro mínimo utilizado foi de 15 cm. Concluiu que a Exponencial, a Polinomial de </w:t>
      </w:r>
      <w:proofErr w:type="spellStart"/>
      <w:r w:rsidRPr="009E51AE">
        <w:rPr>
          <w:sz w:val="24"/>
          <w:szCs w:val="24"/>
        </w:rPr>
        <w:t>Goff</w:t>
      </w:r>
      <w:proofErr w:type="spellEnd"/>
      <w:r w:rsidRPr="009E51AE">
        <w:rPr>
          <w:sz w:val="24"/>
          <w:szCs w:val="24"/>
        </w:rPr>
        <w:t xml:space="preserve"> &amp; West e a Beta foram as que melhor se ajustaram, e a de melhor amplitude para os dados foi de 10 cm.</w:t>
      </w:r>
      <w:r w:rsidR="004F4106">
        <w:rPr>
          <w:sz w:val="24"/>
          <w:szCs w:val="24"/>
        </w:rPr>
        <w:t xml:space="preserve"> </w:t>
      </w:r>
    </w:p>
    <w:p w14:paraId="0C6083B1" w14:textId="35D50558" w:rsidR="003C6CF9" w:rsidRDefault="003C6CF9" w:rsidP="003C6CF9">
      <w:pPr>
        <w:spacing w:line="360" w:lineRule="auto"/>
        <w:ind w:firstLine="708"/>
        <w:jc w:val="both"/>
        <w:rPr>
          <w:sz w:val="24"/>
          <w:szCs w:val="24"/>
        </w:rPr>
      </w:pPr>
      <w:r w:rsidRPr="009E51AE">
        <w:rPr>
          <w:sz w:val="24"/>
          <w:szCs w:val="24"/>
        </w:rPr>
        <w:t>O número de árvores por hectare decresce de acordo com aumento das classes de DAP, seguindo a forma de J invertido</w:t>
      </w:r>
      <w:r w:rsidR="00677DBC">
        <w:rPr>
          <w:sz w:val="24"/>
          <w:szCs w:val="24"/>
        </w:rPr>
        <w:t>, sendo aceita a hipótese elaborada</w:t>
      </w:r>
      <w:r w:rsidRPr="009E51AE">
        <w:rPr>
          <w:sz w:val="24"/>
          <w:szCs w:val="24"/>
        </w:rPr>
        <w:t xml:space="preserve">. Cunha et al. (2002), afirma que este comportamento é característico para o conjunto de espécies em floresta nativa, onde os </w:t>
      </w:r>
      <w:r w:rsidRPr="009E51AE">
        <w:rPr>
          <w:sz w:val="24"/>
          <w:szCs w:val="24"/>
        </w:rPr>
        <w:lastRenderedPageBreak/>
        <w:t>indivíduos com menores diâmetros apresentam maiores frequências, uma vez que os mesmos ocupam quase que completamente o sub-bosque. Já as árvores com maiores valores de DAP apresentam menores frequências</w:t>
      </w:r>
      <w:r w:rsidR="008F7747">
        <w:rPr>
          <w:sz w:val="24"/>
          <w:szCs w:val="24"/>
        </w:rPr>
        <w:t xml:space="preserve"> </w:t>
      </w:r>
      <w:r w:rsidR="008F7747" w:rsidRPr="00D83F87">
        <w:rPr>
          <w:sz w:val="24"/>
          <w:szCs w:val="24"/>
        </w:rPr>
        <w:t>(Figura 3</w:t>
      </w:r>
      <w:r w:rsidR="008F7747">
        <w:rPr>
          <w:sz w:val="24"/>
          <w:szCs w:val="24"/>
        </w:rPr>
        <w:t>)</w:t>
      </w:r>
      <w:r w:rsidR="008F7747" w:rsidRPr="00A929F0">
        <w:rPr>
          <w:sz w:val="24"/>
          <w:szCs w:val="24"/>
        </w:rPr>
        <w:t>.</w:t>
      </w:r>
      <w:r w:rsidRPr="008F7747">
        <w:rPr>
          <w:sz w:val="24"/>
          <w:szCs w:val="24"/>
        </w:rPr>
        <w:t xml:space="preserve"> </w:t>
      </w:r>
    </w:p>
    <w:p w14:paraId="11348AAD" w14:textId="77777777" w:rsidR="005F303E" w:rsidRPr="001718F2" w:rsidRDefault="005F303E" w:rsidP="003C6CF9">
      <w:pPr>
        <w:spacing w:line="360" w:lineRule="auto"/>
        <w:ind w:firstLine="708"/>
        <w:jc w:val="both"/>
        <w:rPr>
          <w:sz w:val="22"/>
          <w:szCs w:val="22"/>
        </w:rPr>
      </w:pPr>
    </w:p>
    <w:p w14:paraId="00BA2FD5" w14:textId="1515F328" w:rsidR="003C6CF9" w:rsidRPr="001718F2" w:rsidRDefault="00753D83" w:rsidP="005F303E">
      <w:pPr>
        <w:pStyle w:val="Legenda"/>
        <w:spacing w:line="360" w:lineRule="auto"/>
        <w:jc w:val="both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1718F2">
        <w:rPr>
          <w:rFonts w:ascii="Times New Roman" w:hAnsi="Times New Roman"/>
          <w:i w:val="0"/>
          <w:noProof/>
          <w:color w:val="auto"/>
          <w:sz w:val="22"/>
          <w:szCs w:val="22"/>
          <w:lang w:eastAsia="pt-BR"/>
        </w:rPr>
        <w:drawing>
          <wp:anchor distT="0" distB="0" distL="114300" distR="114300" simplePos="0" relativeHeight="251662336" behindDoc="0" locked="0" layoutInCell="1" allowOverlap="1" wp14:anchorId="60FA245D" wp14:editId="5038EE82">
            <wp:simplePos x="0" y="0"/>
            <wp:positionH relativeFrom="margin">
              <wp:align>center</wp:align>
            </wp:positionH>
            <wp:positionV relativeFrom="paragraph">
              <wp:posOffset>420370</wp:posOffset>
            </wp:positionV>
            <wp:extent cx="5420360" cy="2874645"/>
            <wp:effectExtent l="0" t="0" r="8890" b="1905"/>
            <wp:wrapTopAndBottom/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="00D83F87">
        <w:rPr>
          <w:rFonts w:ascii="Times New Roman" w:hAnsi="Times New Roman"/>
          <w:i w:val="0"/>
          <w:color w:val="auto"/>
          <w:sz w:val="22"/>
          <w:szCs w:val="22"/>
        </w:rPr>
        <w:t>3</w:t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 xml:space="preserve">. Valores de </w:t>
      </w:r>
      <w:r w:rsidR="00E5701F">
        <w:rPr>
          <w:rFonts w:ascii="Times New Roman" w:hAnsi="Times New Roman"/>
          <w:i w:val="0"/>
          <w:color w:val="auto"/>
          <w:sz w:val="22"/>
          <w:szCs w:val="22"/>
        </w:rPr>
        <w:t xml:space="preserve">nº de </w:t>
      </w:r>
      <w:proofErr w:type="spellStart"/>
      <w:r w:rsidR="00E5701F">
        <w:rPr>
          <w:rFonts w:ascii="Times New Roman" w:hAnsi="Times New Roman"/>
          <w:i w:val="0"/>
          <w:color w:val="auto"/>
          <w:sz w:val="22"/>
          <w:szCs w:val="22"/>
        </w:rPr>
        <w:t>árv</w:t>
      </w:r>
      <w:proofErr w:type="spellEnd"/>
      <w:r w:rsidR="00E5701F">
        <w:rPr>
          <w:rFonts w:ascii="Times New Roman" w:hAnsi="Times New Roman"/>
          <w:i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E5701F">
        <w:rPr>
          <w:rFonts w:ascii="Times New Roman" w:hAnsi="Times New Roman"/>
          <w:i w:val="0"/>
          <w:color w:val="auto"/>
          <w:sz w:val="22"/>
          <w:szCs w:val="22"/>
        </w:rPr>
        <w:t>ha</w:t>
      </w:r>
      <w:proofErr w:type="spellEnd"/>
      <w:proofErr w:type="gramEnd"/>
      <w:r w:rsidR="00E5701F" w:rsidRPr="006249AB">
        <w:rPr>
          <w:rFonts w:ascii="Times New Roman" w:hAnsi="Times New Roman"/>
          <w:i w:val="0"/>
          <w:color w:val="auto"/>
          <w:sz w:val="22"/>
          <w:szCs w:val="22"/>
          <w:vertAlign w:val="superscript"/>
        </w:rPr>
        <w:t>-1</w:t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E5701F">
        <w:rPr>
          <w:rFonts w:ascii="Times New Roman" w:hAnsi="Times New Roman"/>
          <w:i w:val="0"/>
          <w:color w:val="auto"/>
          <w:sz w:val="22"/>
          <w:szCs w:val="22"/>
        </w:rPr>
        <w:t xml:space="preserve">(N) </w:t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 xml:space="preserve">observados e estimados </w:t>
      </w:r>
      <w:r w:rsidR="00E5701F">
        <w:rPr>
          <w:rFonts w:ascii="Times New Roman" w:hAnsi="Times New Roman"/>
          <w:i w:val="0"/>
          <w:color w:val="auto"/>
          <w:sz w:val="22"/>
          <w:szCs w:val="22"/>
        </w:rPr>
        <w:t>pelas</w:t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 xml:space="preserve"> funções probabilísticas</w:t>
      </w:r>
      <w:r w:rsidR="00E5701F">
        <w:rPr>
          <w:rFonts w:ascii="Times New Roman" w:hAnsi="Times New Roman"/>
          <w:i w:val="0"/>
          <w:color w:val="auto"/>
          <w:sz w:val="22"/>
          <w:szCs w:val="22"/>
        </w:rPr>
        <w:t xml:space="preserve"> na floresta de no município de Barcarena, </w:t>
      </w:r>
      <w:r w:rsidR="00E5701F" w:rsidRPr="00E5701F">
        <w:rPr>
          <w:rFonts w:ascii="Times New Roman" w:hAnsi="Times New Roman"/>
          <w:i w:val="0"/>
          <w:color w:val="auto"/>
          <w:sz w:val="22"/>
          <w:szCs w:val="22"/>
        </w:rPr>
        <w:t>PA</w:t>
      </w:r>
      <w:r w:rsidR="004F4106" w:rsidRPr="001718F2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3322D961" w14:textId="77777777" w:rsidR="00D83F87" w:rsidRDefault="00D83F87" w:rsidP="00D83F87">
      <w:pPr>
        <w:spacing w:line="360" w:lineRule="auto"/>
        <w:jc w:val="center"/>
        <w:rPr>
          <w:sz w:val="22"/>
          <w:szCs w:val="22"/>
        </w:rPr>
      </w:pPr>
    </w:p>
    <w:p w14:paraId="759E6C30" w14:textId="5AFA2425" w:rsidR="00D83F87" w:rsidRPr="00D83F87" w:rsidRDefault="00D83F87" w:rsidP="00D83F87">
      <w:pPr>
        <w:spacing w:line="360" w:lineRule="auto"/>
        <w:jc w:val="center"/>
        <w:rPr>
          <w:sz w:val="22"/>
          <w:szCs w:val="22"/>
        </w:rPr>
      </w:pPr>
      <w:r w:rsidRPr="00005F09">
        <w:rPr>
          <w:sz w:val="22"/>
          <w:szCs w:val="22"/>
        </w:rPr>
        <w:t>Fonte: Autores, 2018.</w:t>
      </w:r>
    </w:p>
    <w:p w14:paraId="59A97309" w14:textId="77777777" w:rsidR="00D83F87" w:rsidRDefault="00D83F87" w:rsidP="003C6CF9">
      <w:pPr>
        <w:spacing w:line="360" w:lineRule="auto"/>
        <w:ind w:firstLine="708"/>
        <w:jc w:val="both"/>
        <w:rPr>
          <w:sz w:val="24"/>
          <w:szCs w:val="24"/>
        </w:rPr>
      </w:pPr>
    </w:p>
    <w:p w14:paraId="682E9D40" w14:textId="280366E1" w:rsidR="003C6CF9" w:rsidRPr="0079139B" w:rsidRDefault="003C6CF9" w:rsidP="003C6CF9">
      <w:pPr>
        <w:spacing w:line="360" w:lineRule="auto"/>
        <w:ind w:firstLine="708"/>
        <w:jc w:val="both"/>
        <w:rPr>
          <w:sz w:val="24"/>
          <w:szCs w:val="24"/>
        </w:rPr>
      </w:pPr>
      <w:r w:rsidRPr="0079139B">
        <w:rPr>
          <w:sz w:val="24"/>
          <w:szCs w:val="24"/>
        </w:rPr>
        <w:t xml:space="preserve">A distribuição de diâmetros observada é muito semelhante à estimada pela equação ajustada de </w:t>
      </w:r>
      <w:proofErr w:type="spellStart"/>
      <w:r w:rsidRPr="00B821EA">
        <w:rPr>
          <w:sz w:val="24"/>
          <w:szCs w:val="24"/>
        </w:rPr>
        <w:t>Goff</w:t>
      </w:r>
      <w:proofErr w:type="spellEnd"/>
      <w:r w:rsidRPr="00B821EA">
        <w:rPr>
          <w:sz w:val="24"/>
          <w:szCs w:val="24"/>
        </w:rPr>
        <w:t xml:space="preserve"> &amp; West,</w:t>
      </w:r>
      <w:r w:rsidRPr="0079139B">
        <w:rPr>
          <w:sz w:val="24"/>
          <w:szCs w:val="24"/>
        </w:rPr>
        <w:t xml:space="preserve"> como na figura acima</w:t>
      </w:r>
      <w:r w:rsidRPr="0079139B">
        <w:rPr>
          <w:b/>
          <w:i/>
          <w:sz w:val="24"/>
          <w:szCs w:val="24"/>
        </w:rPr>
        <w:t xml:space="preserve">, </w:t>
      </w:r>
      <w:r w:rsidRPr="0079139B">
        <w:rPr>
          <w:sz w:val="24"/>
          <w:szCs w:val="24"/>
        </w:rPr>
        <w:t xml:space="preserve">sendo esta mais precisa para estimar o número de árvores por hectare em função do DAP cm em uma área florestal </w:t>
      </w:r>
      <w:r w:rsidR="00E5701F">
        <w:rPr>
          <w:sz w:val="24"/>
          <w:szCs w:val="24"/>
        </w:rPr>
        <w:t>estudada</w:t>
      </w:r>
      <w:r w:rsidRPr="0079139B">
        <w:rPr>
          <w:sz w:val="24"/>
          <w:szCs w:val="24"/>
        </w:rPr>
        <w:t xml:space="preserve">. </w:t>
      </w:r>
      <w:r w:rsidR="00834A9F">
        <w:rPr>
          <w:sz w:val="24"/>
          <w:szCs w:val="24"/>
        </w:rPr>
        <w:t>A</w:t>
      </w:r>
      <w:r w:rsidRPr="0079139B">
        <w:rPr>
          <w:sz w:val="24"/>
          <w:szCs w:val="24"/>
        </w:rPr>
        <w:t xml:space="preserve"> </w:t>
      </w:r>
      <w:r w:rsidR="00834A9F">
        <w:rPr>
          <w:sz w:val="24"/>
          <w:szCs w:val="24"/>
        </w:rPr>
        <w:t>equação</w:t>
      </w:r>
      <w:r w:rsidRPr="0079139B">
        <w:rPr>
          <w:sz w:val="24"/>
          <w:szCs w:val="24"/>
        </w:rPr>
        <w:t xml:space="preserve"> de distribuição </w:t>
      </w:r>
      <w:proofErr w:type="spellStart"/>
      <w:r w:rsidRPr="0079139B">
        <w:rPr>
          <w:sz w:val="24"/>
          <w:szCs w:val="24"/>
        </w:rPr>
        <w:t>diamétrica</w:t>
      </w:r>
      <w:proofErr w:type="spellEnd"/>
      <w:r w:rsidRPr="0079139B">
        <w:rPr>
          <w:sz w:val="24"/>
          <w:szCs w:val="24"/>
        </w:rPr>
        <w:t xml:space="preserve"> J invertido ou exponencial negativa pressupõe que as populações que compõe uma comunidade são estáveis e </w:t>
      </w:r>
      <w:proofErr w:type="spellStart"/>
      <w:r w:rsidRPr="0079139B">
        <w:rPr>
          <w:sz w:val="24"/>
          <w:szCs w:val="24"/>
        </w:rPr>
        <w:t>auto</w:t>
      </w:r>
      <w:r w:rsidR="0030128A">
        <w:rPr>
          <w:sz w:val="24"/>
          <w:szCs w:val="24"/>
        </w:rPr>
        <w:t>-</w:t>
      </w:r>
      <w:r w:rsidRPr="0079139B">
        <w:rPr>
          <w:sz w:val="24"/>
          <w:szCs w:val="24"/>
        </w:rPr>
        <w:t>regenerativas</w:t>
      </w:r>
      <w:proofErr w:type="spellEnd"/>
      <w:r w:rsidRPr="0079139B">
        <w:rPr>
          <w:sz w:val="24"/>
          <w:szCs w:val="24"/>
        </w:rPr>
        <w:t xml:space="preserve"> e que existe um balanço entre mortalidade e o recrutamento dos indivíduos. Esse tipo de </w:t>
      </w:r>
      <w:r w:rsidR="00834A9F">
        <w:rPr>
          <w:sz w:val="24"/>
          <w:szCs w:val="24"/>
        </w:rPr>
        <w:t>equação</w:t>
      </w:r>
      <w:r w:rsidRPr="0079139B">
        <w:rPr>
          <w:sz w:val="24"/>
          <w:szCs w:val="24"/>
        </w:rPr>
        <w:t xml:space="preserve"> seria ideal em situações de exploração de populações arbóreas que tem sua distribuição </w:t>
      </w:r>
      <w:proofErr w:type="spellStart"/>
      <w:r w:rsidRPr="0079139B">
        <w:rPr>
          <w:sz w:val="24"/>
          <w:szCs w:val="24"/>
        </w:rPr>
        <w:t>diamétrica</w:t>
      </w:r>
      <w:proofErr w:type="spellEnd"/>
      <w:r w:rsidRPr="0079139B">
        <w:rPr>
          <w:sz w:val="24"/>
          <w:szCs w:val="24"/>
        </w:rPr>
        <w:t xml:space="preserve"> ajustada de acordo com </w:t>
      </w:r>
      <w:r w:rsidR="00E5701F">
        <w:rPr>
          <w:sz w:val="24"/>
          <w:szCs w:val="24"/>
        </w:rPr>
        <w:t>esta</w:t>
      </w:r>
      <w:r w:rsidR="00E5701F" w:rsidRPr="0079139B">
        <w:rPr>
          <w:sz w:val="24"/>
          <w:szCs w:val="24"/>
        </w:rPr>
        <w:t xml:space="preserve"> </w:t>
      </w:r>
      <w:r w:rsidR="00834A9F">
        <w:rPr>
          <w:sz w:val="24"/>
          <w:szCs w:val="24"/>
        </w:rPr>
        <w:t>equação</w:t>
      </w:r>
      <w:r w:rsidRPr="0079139B">
        <w:rPr>
          <w:sz w:val="24"/>
          <w:szCs w:val="24"/>
        </w:rPr>
        <w:t xml:space="preserve"> (SILVA</w:t>
      </w:r>
      <w:r w:rsidR="00C46B2A">
        <w:rPr>
          <w:sz w:val="24"/>
          <w:szCs w:val="24"/>
        </w:rPr>
        <w:t xml:space="preserve"> et al.</w:t>
      </w:r>
      <w:r w:rsidRPr="0079139B">
        <w:rPr>
          <w:sz w:val="24"/>
          <w:szCs w:val="24"/>
        </w:rPr>
        <w:t>, 200</w:t>
      </w:r>
      <w:r w:rsidR="00C46B2A">
        <w:rPr>
          <w:sz w:val="24"/>
          <w:szCs w:val="24"/>
        </w:rPr>
        <w:t>9</w:t>
      </w:r>
      <w:r w:rsidRPr="0079139B">
        <w:rPr>
          <w:sz w:val="24"/>
          <w:szCs w:val="24"/>
        </w:rPr>
        <w:t xml:space="preserve">). </w:t>
      </w:r>
    </w:p>
    <w:p w14:paraId="2186D05A" w14:textId="77777777" w:rsidR="006755A9" w:rsidRDefault="006755A9" w:rsidP="003C6CF9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4BF3CCFC" w14:textId="77777777" w:rsidR="006755A9" w:rsidRDefault="006755A9" w:rsidP="003C6CF9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2CD86648" w14:textId="14FCD1D0" w:rsidR="0012462E" w:rsidRDefault="0012462E" w:rsidP="003C6424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</w:t>
      </w:r>
      <w:r w:rsidR="003C6CF9">
        <w:rPr>
          <w:b/>
          <w:sz w:val="24"/>
          <w:szCs w:val="24"/>
        </w:rPr>
        <w:t>O</w:t>
      </w:r>
    </w:p>
    <w:p w14:paraId="5822AE4C" w14:textId="77777777" w:rsidR="003C6424" w:rsidRPr="003C6424" w:rsidRDefault="003C6424" w:rsidP="003C6424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351CD71" w14:textId="7FEC0C3D" w:rsidR="00555769" w:rsidRDefault="009A12FF" w:rsidP="006249AB">
      <w:pPr>
        <w:tabs>
          <w:tab w:val="left" w:pos="1290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Diante da</w:t>
      </w:r>
      <w:r w:rsidR="00677DBC">
        <w:rPr>
          <w:sz w:val="24"/>
          <w:szCs w:val="24"/>
        </w:rPr>
        <w:t xml:space="preserve"> estrutura </w:t>
      </w:r>
      <w:proofErr w:type="spellStart"/>
      <w:r w:rsidR="00677DBC">
        <w:rPr>
          <w:sz w:val="24"/>
          <w:szCs w:val="24"/>
        </w:rPr>
        <w:t>diamétrica</w:t>
      </w:r>
      <w:proofErr w:type="spellEnd"/>
      <w:r w:rsidR="00677DBC">
        <w:rPr>
          <w:sz w:val="24"/>
          <w:szCs w:val="24"/>
        </w:rPr>
        <w:t xml:space="preserve"> e </w:t>
      </w:r>
      <w:r>
        <w:rPr>
          <w:sz w:val="24"/>
          <w:szCs w:val="24"/>
        </w:rPr>
        <w:t>d</w:t>
      </w:r>
      <w:r w:rsidR="00677DBC">
        <w:rPr>
          <w:sz w:val="24"/>
          <w:szCs w:val="24"/>
        </w:rPr>
        <w:t xml:space="preserve">a modelagem </w:t>
      </w:r>
      <w:r w:rsidR="003C6CF9">
        <w:rPr>
          <w:sz w:val="24"/>
          <w:szCs w:val="24"/>
        </w:rPr>
        <w:t xml:space="preserve">da distribuição </w:t>
      </w:r>
      <w:proofErr w:type="spellStart"/>
      <w:r w:rsidR="001F0482">
        <w:rPr>
          <w:sz w:val="24"/>
          <w:szCs w:val="24"/>
        </w:rPr>
        <w:t>diamétrica</w:t>
      </w:r>
      <w:proofErr w:type="spellEnd"/>
      <w:r w:rsidR="003C6CF9">
        <w:rPr>
          <w:sz w:val="24"/>
          <w:szCs w:val="24"/>
        </w:rPr>
        <w:t xml:space="preserve"> </w:t>
      </w:r>
      <w:r w:rsidR="00677DBC">
        <w:rPr>
          <w:sz w:val="24"/>
          <w:szCs w:val="24"/>
        </w:rPr>
        <w:t>pela</w:t>
      </w:r>
      <w:r w:rsidR="00834A9F">
        <w:rPr>
          <w:sz w:val="24"/>
          <w:szCs w:val="24"/>
        </w:rPr>
        <w:t xml:space="preserve"> equação</w:t>
      </w:r>
      <w:r w:rsidR="00D83F87">
        <w:rPr>
          <w:sz w:val="24"/>
          <w:szCs w:val="24"/>
        </w:rPr>
        <w:t xml:space="preserve"> da polinomial proposta por </w:t>
      </w:r>
      <w:proofErr w:type="spellStart"/>
      <w:r w:rsidR="003C6CF9">
        <w:rPr>
          <w:sz w:val="24"/>
          <w:szCs w:val="24"/>
        </w:rPr>
        <w:t>Goff</w:t>
      </w:r>
      <w:proofErr w:type="spellEnd"/>
      <w:r w:rsidR="003C6CF9">
        <w:rPr>
          <w:sz w:val="24"/>
          <w:szCs w:val="24"/>
        </w:rPr>
        <w:t xml:space="preserve"> </w:t>
      </w:r>
      <w:r w:rsidR="001F0482">
        <w:rPr>
          <w:sz w:val="24"/>
          <w:szCs w:val="24"/>
        </w:rPr>
        <w:t xml:space="preserve">&amp; </w:t>
      </w:r>
      <w:r w:rsidR="003C6CF9">
        <w:rPr>
          <w:sz w:val="24"/>
          <w:szCs w:val="24"/>
        </w:rPr>
        <w:t>West concluiu-se que a</w:t>
      </w:r>
      <w:r w:rsidR="003C6CF9" w:rsidRPr="009E51AE">
        <w:rPr>
          <w:sz w:val="24"/>
          <w:szCs w:val="24"/>
        </w:rPr>
        <w:t xml:space="preserve"> </w:t>
      </w:r>
      <w:proofErr w:type="spellStart"/>
      <w:r w:rsidR="003C6CF9" w:rsidRPr="009E51AE">
        <w:rPr>
          <w:sz w:val="24"/>
          <w:szCs w:val="24"/>
        </w:rPr>
        <w:t>antropização</w:t>
      </w:r>
      <w:proofErr w:type="spellEnd"/>
      <w:r w:rsidR="003C6CF9" w:rsidRPr="009E51AE">
        <w:rPr>
          <w:sz w:val="24"/>
          <w:szCs w:val="24"/>
        </w:rPr>
        <w:t xml:space="preserve"> ocorrida na área de estudo não alterou a estrutura </w:t>
      </w:r>
      <w:proofErr w:type="spellStart"/>
      <w:r w:rsidR="003C6CF9" w:rsidRPr="009E51AE">
        <w:rPr>
          <w:sz w:val="24"/>
          <w:szCs w:val="24"/>
        </w:rPr>
        <w:t>diamétrica</w:t>
      </w:r>
      <w:proofErr w:type="spellEnd"/>
      <w:r w:rsidR="003C6CF9" w:rsidRPr="009E51AE">
        <w:rPr>
          <w:sz w:val="24"/>
          <w:szCs w:val="24"/>
        </w:rPr>
        <w:t xml:space="preserve"> da floresta de uma distribuição em forma de “J” reverso, característico das florestas amazônicas, o que indica um número decrescente de árvores à medid</w:t>
      </w:r>
      <w:r w:rsidR="007B20EA">
        <w:rPr>
          <w:sz w:val="24"/>
          <w:szCs w:val="24"/>
        </w:rPr>
        <w:t>a que se aumenta o diâmetro.</w:t>
      </w:r>
    </w:p>
    <w:p w14:paraId="74430C8A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B44F595" w14:textId="77777777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2F8E31D1" w14:textId="77777777"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14:paraId="361E308A" w14:textId="77777777" w:rsidR="00836BD3" w:rsidRPr="0020052E" w:rsidRDefault="00836BD3" w:rsidP="003C6CF9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AMARAL, P; NETO, A. M. Manual Florestal Comunitário na Amazônia Brasileira: Situação Atual, Desafios e Perspectivas. Brasília: </w:t>
      </w:r>
      <w:r w:rsidRPr="0020052E">
        <w:rPr>
          <w:b/>
          <w:sz w:val="24"/>
          <w:szCs w:val="24"/>
        </w:rPr>
        <w:t>Instituto Internacional de Educação do Brasil</w:t>
      </w:r>
      <w:r w:rsidRPr="0020052E">
        <w:rPr>
          <w:sz w:val="24"/>
          <w:szCs w:val="24"/>
        </w:rPr>
        <w:t xml:space="preserve"> – IIEB, 2002.</w:t>
      </w:r>
    </w:p>
    <w:p w14:paraId="3F38DC2C" w14:textId="77777777" w:rsidR="00836BD3" w:rsidRPr="0020052E" w:rsidRDefault="00836BD3" w:rsidP="003C6CF9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BARROS, P. L. C. Estudo das distribuições </w:t>
      </w:r>
      <w:proofErr w:type="spellStart"/>
      <w:r w:rsidRPr="0020052E">
        <w:rPr>
          <w:sz w:val="24"/>
          <w:szCs w:val="24"/>
        </w:rPr>
        <w:t>diamétricas</w:t>
      </w:r>
      <w:proofErr w:type="spellEnd"/>
      <w:r w:rsidRPr="0020052E">
        <w:rPr>
          <w:sz w:val="24"/>
          <w:szCs w:val="24"/>
        </w:rPr>
        <w:t xml:space="preserve"> da floresta do Planalto Tapajós – Pará. 123f. </w:t>
      </w:r>
      <w:r w:rsidRPr="0020052E">
        <w:rPr>
          <w:b/>
          <w:sz w:val="24"/>
          <w:szCs w:val="24"/>
        </w:rPr>
        <w:t>Dissertação</w:t>
      </w:r>
      <w:r w:rsidRPr="0020052E">
        <w:rPr>
          <w:sz w:val="24"/>
          <w:szCs w:val="24"/>
        </w:rPr>
        <w:t xml:space="preserve"> (Mestrado em Ciências Florestais) – Universidade Federal do Paraná, Curitiba, 1980.</w:t>
      </w:r>
    </w:p>
    <w:p w14:paraId="03636D1D" w14:textId="77777777" w:rsidR="00836BD3" w:rsidRPr="0020052E" w:rsidRDefault="00836BD3" w:rsidP="003C6CF9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BARTOSZECK, A. C. P. S.; MACHADO, S. A.; FIGUEIREDO FILHO, A.; OLIVEIRA, E.B. A distribuição </w:t>
      </w:r>
      <w:proofErr w:type="spellStart"/>
      <w:r w:rsidRPr="0020052E">
        <w:rPr>
          <w:sz w:val="24"/>
          <w:szCs w:val="24"/>
        </w:rPr>
        <w:t>diamétrica</w:t>
      </w:r>
      <w:proofErr w:type="spellEnd"/>
      <w:r w:rsidRPr="0020052E">
        <w:rPr>
          <w:sz w:val="24"/>
          <w:szCs w:val="24"/>
        </w:rPr>
        <w:t xml:space="preserve"> para </w:t>
      </w:r>
      <w:proofErr w:type="spellStart"/>
      <w:r w:rsidRPr="0020052E">
        <w:rPr>
          <w:sz w:val="24"/>
          <w:szCs w:val="24"/>
        </w:rPr>
        <w:t>bracatingais</w:t>
      </w:r>
      <w:proofErr w:type="spellEnd"/>
      <w:r w:rsidRPr="0020052E">
        <w:rPr>
          <w:sz w:val="24"/>
          <w:szCs w:val="24"/>
        </w:rPr>
        <w:t xml:space="preserve"> em diferentes idades, sítios e densidades da região metropolitana de Curitiba. </w:t>
      </w:r>
      <w:r w:rsidRPr="0020052E">
        <w:rPr>
          <w:b/>
          <w:sz w:val="24"/>
          <w:szCs w:val="24"/>
        </w:rPr>
        <w:t>Floresta</w:t>
      </w:r>
      <w:r w:rsidRPr="0020052E">
        <w:rPr>
          <w:sz w:val="24"/>
          <w:szCs w:val="24"/>
        </w:rPr>
        <w:t>, v. 34, n. 3, p. 305-324, 2004.</w:t>
      </w:r>
    </w:p>
    <w:p w14:paraId="185D9EF2" w14:textId="77777777" w:rsidR="00836BD3" w:rsidRPr="0020052E" w:rsidRDefault="00836BD3" w:rsidP="003C6CF9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CABALERO, J. D. &amp; MALLEUX ORJEDA, J. 1976. </w:t>
      </w:r>
      <w:proofErr w:type="spellStart"/>
      <w:r w:rsidRPr="0020052E">
        <w:rPr>
          <w:sz w:val="24"/>
          <w:szCs w:val="24"/>
        </w:rPr>
        <w:t>Estudio</w:t>
      </w:r>
      <w:proofErr w:type="spellEnd"/>
      <w:r w:rsidRPr="0020052E">
        <w:rPr>
          <w:sz w:val="24"/>
          <w:szCs w:val="24"/>
        </w:rPr>
        <w:t xml:space="preserve"> de una </w:t>
      </w:r>
      <w:proofErr w:type="spellStart"/>
      <w:r w:rsidRPr="0020052E">
        <w:rPr>
          <w:sz w:val="24"/>
          <w:szCs w:val="24"/>
        </w:rPr>
        <w:t>metodología</w:t>
      </w:r>
      <w:proofErr w:type="spellEnd"/>
      <w:r w:rsidRPr="0020052E">
        <w:rPr>
          <w:sz w:val="24"/>
          <w:szCs w:val="24"/>
        </w:rPr>
        <w:t xml:space="preserve"> para </w:t>
      </w:r>
      <w:proofErr w:type="spellStart"/>
      <w:r w:rsidRPr="0020052E">
        <w:rPr>
          <w:sz w:val="24"/>
          <w:szCs w:val="24"/>
        </w:rPr>
        <w:t>la</w:t>
      </w:r>
      <w:proofErr w:type="spellEnd"/>
      <w:r w:rsidRPr="0020052E">
        <w:rPr>
          <w:sz w:val="24"/>
          <w:szCs w:val="24"/>
        </w:rPr>
        <w:t xml:space="preserve"> </w:t>
      </w:r>
      <w:proofErr w:type="spellStart"/>
      <w:r w:rsidRPr="0020052E">
        <w:rPr>
          <w:sz w:val="24"/>
          <w:szCs w:val="24"/>
        </w:rPr>
        <w:t>determinación</w:t>
      </w:r>
      <w:proofErr w:type="spellEnd"/>
      <w:r w:rsidRPr="0020052E">
        <w:rPr>
          <w:sz w:val="24"/>
          <w:szCs w:val="24"/>
        </w:rPr>
        <w:t xml:space="preserve"> de </w:t>
      </w:r>
      <w:proofErr w:type="spellStart"/>
      <w:r w:rsidRPr="0020052E">
        <w:rPr>
          <w:sz w:val="24"/>
          <w:szCs w:val="24"/>
        </w:rPr>
        <w:t>edades</w:t>
      </w:r>
      <w:proofErr w:type="spellEnd"/>
      <w:r w:rsidRPr="0020052E">
        <w:rPr>
          <w:sz w:val="24"/>
          <w:szCs w:val="24"/>
        </w:rPr>
        <w:t xml:space="preserve"> </w:t>
      </w:r>
      <w:proofErr w:type="spellStart"/>
      <w:r w:rsidRPr="0020052E">
        <w:rPr>
          <w:sz w:val="24"/>
          <w:szCs w:val="24"/>
        </w:rPr>
        <w:t>en</w:t>
      </w:r>
      <w:proofErr w:type="spellEnd"/>
      <w:r w:rsidRPr="0020052E">
        <w:rPr>
          <w:sz w:val="24"/>
          <w:szCs w:val="24"/>
        </w:rPr>
        <w:t xml:space="preserve"> bosques </w:t>
      </w:r>
      <w:proofErr w:type="spellStart"/>
      <w:r w:rsidRPr="0020052E">
        <w:rPr>
          <w:sz w:val="24"/>
          <w:szCs w:val="24"/>
        </w:rPr>
        <w:t>naturales</w:t>
      </w:r>
      <w:proofErr w:type="spellEnd"/>
      <w:r w:rsidRPr="0020052E">
        <w:rPr>
          <w:sz w:val="24"/>
          <w:szCs w:val="24"/>
        </w:rPr>
        <w:t xml:space="preserve">. </w:t>
      </w:r>
      <w:r w:rsidRPr="0020052E">
        <w:rPr>
          <w:b/>
          <w:sz w:val="24"/>
          <w:szCs w:val="24"/>
        </w:rPr>
        <w:t xml:space="preserve">Revista Florestal </w:t>
      </w:r>
      <w:proofErr w:type="spellStart"/>
      <w:r w:rsidRPr="0020052E">
        <w:rPr>
          <w:b/>
          <w:sz w:val="24"/>
          <w:szCs w:val="24"/>
        </w:rPr>
        <w:t>del</w:t>
      </w:r>
      <w:proofErr w:type="spellEnd"/>
      <w:r w:rsidRPr="0020052E">
        <w:rPr>
          <w:b/>
          <w:sz w:val="24"/>
          <w:szCs w:val="24"/>
        </w:rPr>
        <w:t xml:space="preserve"> Peru</w:t>
      </w:r>
      <w:r w:rsidRPr="0020052E">
        <w:rPr>
          <w:sz w:val="24"/>
          <w:szCs w:val="24"/>
        </w:rPr>
        <w:t>. 5:33- 40.</w:t>
      </w:r>
    </w:p>
    <w:p w14:paraId="5AA7603C" w14:textId="77777777" w:rsidR="00836BD3" w:rsidRDefault="00836BD3" w:rsidP="003C6CF9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20052E">
        <w:rPr>
          <w:rFonts w:ascii="Times New Roman" w:hAnsi="Times New Roman" w:cs="Times New Roman"/>
          <w:color w:val="auto"/>
        </w:rPr>
        <w:t xml:space="preserve">CUNHA US, MACHADO AS, FIGUEIREDO FILHO </w:t>
      </w:r>
      <w:proofErr w:type="gramStart"/>
      <w:r w:rsidRPr="0020052E">
        <w:rPr>
          <w:rFonts w:ascii="Times New Roman" w:hAnsi="Times New Roman" w:cs="Times New Roman"/>
          <w:color w:val="auto"/>
        </w:rPr>
        <w:t>A, SANQUETTA</w:t>
      </w:r>
      <w:proofErr w:type="gramEnd"/>
      <w:r w:rsidRPr="0020052E">
        <w:rPr>
          <w:rFonts w:ascii="Times New Roman" w:hAnsi="Times New Roman" w:cs="Times New Roman"/>
          <w:color w:val="auto"/>
        </w:rPr>
        <w:t xml:space="preserve"> CR. Predição da estrutura </w:t>
      </w:r>
      <w:proofErr w:type="spellStart"/>
      <w:r w:rsidRPr="0020052E">
        <w:rPr>
          <w:rFonts w:ascii="Times New Roman" w:hAnsi="Times New Roman" w:cs="Times New Roman"/>
          <w:color w:val="auto"/>
        </w:rPr>
        <w:t>diamétrica</w:t>
      </w:r>
      <w:proofErr w:type="spellEnd"/>
      <w:r w:rsidRPr="0020052E">
        <w:rPr>
          <w:rFonts w:ascii="Times New Roman" w:hAnsi="Times New Roman" w:cs="Times New Roman"/>
          <w:color w:val="auto"/>
        </w:rPr>
        <w:t xml:space="preserve"> de espécies comerciais de terra firme da Amazônia por meio de matriz de transição.</w:t>
      </w:r>
      <w:r w:rsidRPr="0020052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Ciência Floresta</w:t>
      </w:r>
      <w:r w:rsidRPr="005D446F">
        <w:rPr>
          <w:rFonts w:ascii="Times New Roman" w:hAnsi="Times New Roman" w:cs="Times New Roman"/>
          <w:iCs/>
          <w:color w:val="auto"/>
        </w:rPr>
        <w:t xml:space="preserve">, v. </w:t>
      </w:r>
      <w:r w:rsidRPr="005D446F">
        <w:rPr>
          <w:rFonts w:ascii="Times New Roman" w:hAnsi="Times New Roman" w:cs="Times New Roman"/>
          <w:color w:val="auto"/>
        </w:rPr>
        <w:t>12, n. 1, 2002.</w:t>
      </w:r>
    </w:p>
    <w:p w14:paraId="493C2BE1" w14:textId="27887292" w:rsidR="007141D2" w:rsidRPr="007141D2" w:rsidRDefault="007141D2" w:rsidP="007141D2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7141D2">
        <w:rPr>
          <w:rFonts w:ascii="Times New Roman" w:hAnsi="Times New Roman" w:cs="Times New Roman"/>
          <w:color w:val="auto"/>
        </w:rPr>
        <w:t>EMBRAPA. Serviço Nacional de Levantamento e Conse</w:t>
      </w:r>
      <w:r>
        <w:rPr>
          <w:rFonts w:ascii="Times New Roman" w:hAnsi="Times New Roman" w:cs="Times New Roman"/>
          <w:color w:val="auto"/>
        </w:rPr>
        <w:t xml:space="preserve">rvação de Solos. </w:t>
      </w:r>
      <w:r w:rsidRPr="00B821EA">
        <w:rPr>
          <w:rFonts w:ascii="Times New Roman" w:hAnsi="Times New Roman" w:cs="Times New Roman"/>
          <w:b/>
          <w:color w:val="auto"/>
        </w:rPr>
        <w:t>Critérios para distinção de classes de solos e de fases de unidades de mapeamento: normas em uso pelo SNLCS.</w:t>
      </w:r>
      <w:r w:rsidRPr="007141D2">
        <w:rPr>
          <w:rFonts w:ascii="Times New Roman" w:hAnsi="Times New Roman" w:cs="Times New Roman"/>
          <w:color w:val="auto"/>
        </w:rPr>
        <w:t xml:space="preserve"> Rio de Janeiro, 1988a. 67 p. (EMBRAPA-SNLCS. Documentos, 11).</w:t>
      </w:r>
    </w:p>
    <w:p w14:paraId="5BFD9DE7" w14:textId="6B973C21" w:rsidR="007141D2" w:rsidRPr="00B821EA" w:rsidRDefault="007141D2" w:rsidP="007141D2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7141D2">
        <w:rPr>
          <w:rFonts w:ascii="Times New Roman" w:hAnsi="Times New Roman" w:cs="Times New Roman"/>
          <w:color w:val="auto"/>
        </w:rPr>
        <w:t>EMBRAPA. Serviço Nacional de Levantamento e Conservaçã</w:t>
      </w:r>
      <w:r>
        <w:rPr>
          <w:rFonts w:ascii="Times New Roman" w:hAnsi="Times New Roman" w:cs="Times New Roman"/>
          <w:color w:val="auto"/>
        </w:rPr>
        <w:t xml:space="preserve">o de Solos. </w:t>
      </w:r>
      <w:r w:rsidRPr="00B821EA">
        <w:rPr>
          <w:rFonts w:ascii="Times New Roman" w:hAnsi="Times New Roman" w:cs="Times New Roman"/>
          <w:b/>
          <w:color w:val="auto"/>
        </w:rPr>
        <w:t>Definição e notação de horizontes e camadas do solo.</w:t>
      </w:r>
      <w:r w:rsidRPr="007141D2">
        <w:rPr>
          <w:rFonts w:ascii="Times New Roman" w:hAnsi="Times New Roman" w:cs="Times New Roman"/>
          <w:color w:val="auto"/>
        </w:rPr>
        <w:t xml:space="preserve"> 2.ed. rev. atua</w:t>
      </w:r>
      <w:r>
        <w:rPr>
          <w:rFonts w:ascii="Times New Roman" w:hAnsi="Times New Roman" w:cs="Times New Roman"/>
          <w:color w:val="auto"/>
        </w:rPr>
        <w:t xml:space="preserve">l. Rio de Janeiro, 1988b. </w:t>
      </w:r>
      <w:r w:rsidRPr="00B821EA">
        <w:rPr>
          <w:rFonts w:ascii="Times New Roman" w:hAnsi="Times New Roman" w:cs="Times New Roman"/>
          <w:color w:val="auto"/>
        </w:rPr>
        <w:t>54 p. (EMBRAPA-SNLCS. Documentos, 3).</w:t>
      </w:r>
    </w:p>
    <w:p w14:paraId="24293AFF" w14:textId="414631BD" w:rsidR="007141D2" w:rsidRPr="00B821EA" w:rsidRDefault="007141D2" w:rsidP="007141D2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B821EA">
        <w:rPr>
          <w:rFonts w:ascii="Times New Roman" w:hAnsi="Times New Roman" w:cs="Times New Roman"/>
          <w:color w:val="auto"/>
        </w:rPr>
        <w:t xml:space="preserve">EMBRAPA. Centro Nacional de Pesquisa de Solos. </w:t>
      </w:r>
      <w:r w:rsidRPr="00B821EA">
        <w:rPr>
          <w:rFonts w:ascii="Times New Roman" w:hAnsi="Times New Roman" w:cs="Times New Roman"/>
          <w:b/>
          <w:color w:val="auto"/>
        </w:rPr>
        <w:t>Sistema brasileiro de classificação de solos</w:t>
      </w:r>
      <w:r w:rsidRPr="00B821EA">
        <w:rPr>
          <w:rFonts w:ascii="Times New Roman" w:hAnsi="Times New Roman" w:cs="Times New Roman"/>
          <w:color w:val="auto"/>
        </w:rPr>
        <w:t>. Brasília, DF: Embrapa Produção da Informação; Rio de Janeiro: Embrapa Solos,</w:t>
      </w:r>
      <w:r>
        <w:rPr>
          <w:rFonts w:ascii="Times New Roman" w:hAnsi="Times New Roman" w:cs="Times New Roman"/>
          <w:color w:val="auto"/>
        </w:rPr>
        <w:t xml:space="preserve"> 1999. 412 p.</w:t>
      </w:r>
    </w:p>
    <w:p w14:paraId="537D193B" w14:textId="747295CF" w:rsidR="007141D2" w:rsidRPr="00B821EA" w:rsidRDefault="007141D2" w:rsidP="007141D2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  <w:lang w:val="en-US"/>
        </w:rPr>
      </w:pPr>
      <w:r w:rsidRPr="007141D2">
        <w:rPr>
          <w:rFonts w:ascii="Times New Roman" w:hAnsi="Times New Roman" w:cs="Times New Roman"/>
          <w:color w:val="auto"/>
          <w:lang w:val="en-US"/>
        </w:rPr>
        <w:t>ESTADOS UNIDOS. Department of Agriculture. Soil Surv</w:t>
      </w:r>
      <w:r>
        <w:rPr>
          <w:rFonts w:ascii="Times New Roman" w:hAnsi="Times New Roman" w:cs="Times New Roman"/>
          <w:color w:val="auto"/>
          <w:lang w:val="en-US"/>
        </w:rPr>
        <w:t xml:space="preserve">ey Division. Soil Conservation </w:t>
      </w:r>
      <w:r w:rsidRPr="007141D2">
        <w:rPr>
          <w:rFonts w:ascii="Times New Roman" w:hAnsi="Times New Roman" w:cs="Times New Roman"/>
          <w:color w:val="auto"/>
          <w:lang w:val="en-US"/>
        </w:rPr>
        <w:t xml:space="preserve">Service. </w:t>
      </w:r>
      <w:r w:rsidRPr="00B821EA">
        <w:rPr>
          <w:rFonts w:ascii="Times New Roman" w:hAnsi="Times New Roman" w:cs="Times New Roman"/>
          <w:b/>
          <w:color w:val="auto"/>
          <w:lang w:val="en-US"/>
        </w:rPr>
        <w:t>Soil Survey Staff. Keys to soil taxonomy</w:t>
      </w:r>
      <w:r w:rsidRPr="007141D2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gramStart"/>
      <w:r w:rsidRPr="007141D2">
        <w:rPr>
          <w:rFonts w:ascii="Times New Roman" w:hAnsi="Times New Roman" w:cs="Times New Roman"/>
          <w:color w:val="auto"/>
          <w:lang w:val="en-US"/>
        </w:rPr>
        <w:t>6.ed</w:t>
      </w:r>
      <w:proofErr w:type="gramEnd"/>
      <w:r w:rsidRPr="007141D2">
        <w:rPr>
          <w:rFonts w:ascii="Times New Roman" w:hAnsi="Times New Roman" w:cs="Times New Roman"/>
          <w:color w:val="auto"/>
          <w:lang w:val="en-US"/>
        </w:rPr>
        <w:t xml:space="preserve">. Washington, D.C., 1994. </w:t>
      </w:r>
      <w:proofErr w:type="gramStart"/>
      <w:r w:rsidRPr="007141D2">
        <w:rPr>
          <w:rFonts w:ascii="Times New Roman" w:hAnsi="Times New Roman" w:cs="Times New Roman"/>
          <w:color w:val="auto"/>
          <w:lang w:val="en-US"/>
        </w:rPr>
        <w:t>306</w:t>
      </w:r>
      <w:proofErr w:type="gramEnd"/>
      <w:r w:rsidRPr="007141D2">
        <w:rPr>
          <w:rFonts w:ascii="Times New Roman" w:hAnsi="Times New Roman" w:cs="Times New Roman"/>
          <w:color w:val="auto"/>
          <w:lang w:val="en-US"/>
        </w:rPr>
        <w:t xml:space="preserve"> p.</w:t>
      </w:r>
    </w:p>
    <w:p w14:paraId="6223D215" w14:textId="77777777" w:rsidR="00836BD3" w:rsidRPr="00B821EA" w:rsidRDefault="00836BD3" w:rsidP="003C6CF9">
      <w:pPr>
        <w:spacing w:before="240" w:after="240"/>
        <w:jc w:val="both"/>
        <w:rPr>
          <w:i/>
          <w:iCs/>
          <w:sz w:val="24"/>
          <w:szCs w:val="24"/>
          <w:lang w:val="en-US"/>
        </w:rPr>
      </w:pPr>
      <w:r w:rsidRPr="00B821EA">
        <w:rPr>
          <w:sz w:val="24"/>
          <w:szCs w:val="24"/>
          <w:lang w:val="en-US"/>
        </w:rPr>
        <w:t xml:space="preserve">FAO: </w:t>
      </w:r>
      <w:r w:rsidRPr="00B821EA">
        <w:rPr>
          <w:b/>
          <w:bCs/>
          <w:sz w:val="24"/>
          <w:szCs w:val="24"/>
          <w:lang w:val="en-US"/>
        </w:rPr>
        <w:t xml:space="preserve">Global Forest Resources </w:t>
      </w:r>
      <w:proofErr w:type="spellStart"/>
      <w:r w:rsidRPr="00B821EA">
        <w:rPr>
          <w:b/>
          <w:bCs/>
          <w:sz w:val="24"/>
          <w:szCs w:val="24"/>
          <w:lang w:val="en-US"/>
        </w:rPr>
        <w:t>Assesment</w:t>
      </w:r>
      <w:proofErr w:type="spellEnd"/>
      <w:r w:rsidRPr="00B821EA">
        <w:rPr>
          <w:sz w:val="24"/>
          <w:szCs w:val="24"/>
          <w:lang w:val="en-US"/>
        </w:rPr>
        <w:t>. 2010. Rome. Italy</w:t>
      </w:r>
      <w:r w:rsidRPr="00B821EA">
        <w:rPr>
          <w:i/>
          <w:iCs/>
          <w:sz w:val="24"/>
          <w:szCs w:val="24"/>
          <w:lang w:val="en-US"/>
        </w:rPr>
        <w:t>.</w:t>
      </w:r>
    </w:p>
    <w:p w14:paraId="0B166B43" w14:textId="2FE5B9CD" w:rsidR="00836BD3" w:rsidRPr="00836BD3" w:rsidRDefault="00836BD3" w:rsidP="003C6CF9">
      <w:pPr>
        <w:spacing w:before="240" w:after="240"/>
        <w:jc w:val="both"/>
        <w:rPr>
          <w:sz w:val="24"/>
          <w:szCs w:val="24"/>
        </w:rPr>
      </w:pPr>
      <w:r w:rsidRPr="00B821EA">
        <w:rPr>
          <w:iCs/>
          <w:sz w:val="24"/>
          <w:szCs w:val="24"/>
          <w:lang w:val="en-US"/>
        </w:rPr>
        <w:lastRenderedPageBreak/>
        <w:t xml:space="preserve">GOFF, F. G.; WEST, D. </w:t>
      </w:r>
      <w:r>
        <w:rPr>
          <w:iCs/>
          <w:sz w:val="24"/>
          <w:szCs w:val="24"/>
          <w:lang w:val="en-US"/>
        </w:rPr>
        <w:t xml:space="preserve">Canopy understory interactions effect on forest </w:t>
      </w:r>
      <w:proofErr w:type="gramStart"/>
      <w:r>
        <w:rPr>
          <w:iCs/>
          <w:sz w:val="24"/>
          <w:szCs w:val="24"/>
          <w:lang w:val="en-US"/>
        </w:rPr>
        <w:t>populations</w:t>
      </w:r>
      <w:proofErr w:type="gramEnd"/>
      <w:r>
        <w:rPr>
          <w:iCs/>
          <w:sz w:val="24"/>
          <w:szCs w:val="24"/>
          <w:lang w:val="en-US"/>
        </w:rPr>
        <w:t xml:space="preserve"> structure. </w:t>
      </w:r>
      <w:r w:rsidRPr="00B821EA">
        <w:rPr>
          <w:b/>
          <w:iCs/>
          <w:sz w:val="24"/>
          <w:szCs w:val="24"/>
        </w:rPr>
        <w:t>Forest Science.</w:t>
      </w:r>
      <w:r w:rsidRPr="00B821EA">
        <w:rPr>
          <w:iCs/>
          <w:sz w:val="24"/>
          <w:szCs w:val="24"/>
        </w:rPr>
        <w:t xml:space="preserve"> V. </w:t>
      </w:r>
      <w:r>
        <w:rPr>
          <w:iCs/>
          <w:sz w:val="24"/>
          <w:szCs w:val="24"/>
        </w:rPr>
        <w:t>21, n. 2, p. 98-108. 1975.</w:t>
      </w:r>
    </w:p>
    <w:p w14:paraId="133F6C3D" w14:textId="77777777" w:rsidR="00836BD3" w:rsidRPr="0020052E" w:rsidRDefault="00836BD3" w:rsidP="0020509D">
      <w:pPr>
        <w:pStyle w:val="Default"/>
        <w:spacing w:before="240" w:after="240"/>
        <w:jc w:val="both"/>
        <w:rPr>
          <w:rFonts w:ascii="Times New Roman" w:hAnsi="Times New Roman" w:cs="Times New Roman"/>
          <w:color w:val="auto"/>
        </w:rPr>
      </w:pPr>
      <w:r w:rsidRPr="0020052E">
        <w:rPr>
          <w:rFonts w:ascii="Times New Roman" w:hAnsi="Times New Roman" w:cs="Times New Roman"/>
          <w:color w:val="auto"/>
        </w:rPr>
        <w:t xml:space="preserve">LIMA, J. P. C.; LEÃO, J. R. A. Dinâmica de Crescimento e Distribuição </w:t>
      </w:r>
      <w:proofErr w:type="spellStart"/>
      <w:r w:rsidRPr="0020052E">
        <w:rPr>
          <w:rFonts w:ascii="Times New Roman" w:hAnsi="Times New Roman" w:cs="Times New Roman"/>
          <w:color w:val="auto"/>
        </w:rPr>
        <w:t>Diamétrica</w:t>
      </w:r>
      <w:proofErr w:type="spellEnd"/>
      <w:r w:rsidRPr="0020052E">
        <w:rPr>
          <w:rFonts w:ascii="Times New Roman" w:hAnsi="Times New Roman" w:cs="Times New Roman"/>
          <w:color w:val="auto"/>
        </w:rPr>
        <w:t xml:space="preserve"> de Fragmentos de Florestas Nativa e Plantada na Amazônia Sul Ocidental. Rio Branco-AC, </w:t>
      </w:r>
      <w:r w:rsidRPr="0020052E">
        <w:rPr>
          <w:rFonts w:ascii="Times New Roman" w:hAnsi="Times New Roman" w:cs="Times New Roman"/>
          <w:b/>
          <w:color w:val="auto"/>
        </w:rPr>
        <w:t>Floram: Floresta e Ambiente</w:t>
      </w:r>
      <w:r w:rsidRPr="0020052E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v. </w:t>
      </w:r>
      <w:r w:rsidRPr="0020052E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>, n. 1, p. 70-79, 2013.</w:t>
      </w:r>
      <w:r w:rsidRPr="0020052E">
        <w:rPr>
          <w:rFonts w:ascii="Times New Roman" w:hAnsi="Times New Roman" w:cs="Times New Roman"/>
          <w:color w:val="auto"/>
        </w:rPr>
        <w:t xml:space="preserve"> </w:t>
      </w:r>
    </w:p>
    <w:p w14:paraId="03281643" w14:textId="25714D3E" w:rsidR="00836BD3" w:rsidRDefault="001F0482" w:rsidP="0020509D">
      <w:pPr>
        <w:pStyle w:val="Default"/>
        <w:spacing w:before="240" w:after="240"/>
        <w:jc w:val="both"/>
        <w:rPr>
          <w:rStyle w:val="fontstyle01"/>
          <w:sz w:val="24"/>
          <w:szCs w:val="24"/>
          <w:lang w:val="en-US"/>
        </w:rPr>
      </w:pPr>
      <w:r>
        <w:rPr>
          <w:rStyle w:val="fontstyle01"/>
          <w:sz w:val="24"/>
          <w:szCs w:val="24"/>
          <w:lang w:val="en-US"/>
        </w:rPr>
        <w:t>LOETSCH, F.; ZOHRER, F.; HALLER, K</w:t>
      </w:r>
      <w:r w:rsidR="00836BD3" w:rsidRPr="00B821EA">
        <w:rPr>
          <w:rStyle w:val="fontstyle01"/>
          <w:sz w:val="24"/>
          <w:szCs w:val="24"/>
          <w:lang w:val="en-US"/>
        </w:rPr>
        <w:t xml:space="preserve">. </w:t>
      </w:r>
      <w:r w:rsidR="00836BD3" w:rsidRPr="00B821EA">
        <w:rPr>
          <w:rStyle w:val="fontstyle01"/>
          <w:b/>
          <w:sz w:val="24"/>
          <w:szCs w:val="24"/>
          <w:lang w:val="en-US"/>
        </w:rPr>
        <w:t xml:space="preserve">Forest </w:t>
      </w:r>
      <w:proofErr w:type="spellStart"/>
      <w:r w:rsidR="00836BD3" w:rsidRPr="00B821EA">
        <w:rPr>
          <w:rStyle w:val="fontstyle01"/>
          <w:b/>
          <w:sz w:val="24"/>
          <w:szCs w:val="24"/>
          <w:lang w:val="en-US"/>
        </w:rPr>
        <w:t>inventtory</w:t>
      </w:r>
      <w:proofErr w:type="spellEnd"/>
      <w:r w:rsidR="00836BD3" w:rsidRPr="00B821EA">
        <w:rPr>
          <w:rStyle w:val="fontstyle01"/>
          <w:sz w:val="24"/>
          <w:szCs w:val="24"/>
          <w:lang w:val="en-US"/>
        </w:rPr>
        <w:t xml:space="preserve">. </w:t>
      </w:r>
      <w:proofErr w:type="spellStart"/>
      <w:r w:rsidR="00836BD3" w:rsidRPr="00B821EA">
        <w:rPr>
          <w:rStyle w:val="fontstyle01"/>
          <w:sz w:val="24"/>
          <w:szCs w:val="24"/>
          <w:lang w:val="en-US"/>
        </w:rPr>
        <w:t>Munique</w:t>
      </w:r>
      <w:proofErr w:type="spellEnd"/>
      <w:r w:rsidR="00836BD3" w:rsidRPr="00B821EA">
        <w:rPr>
          <w:rStyle w:val="fontstyle01"/>
          <w:sz w:val="24"/>
          <w:szCs w:val="24"/>
          <w:lang w:val="en-US"/>
        </w:rPr>
        <w:t>, B.L.V., 1973. V.2, 469 p</w:t>
      </w:r>
      <w:r w:rsidR="00836BD3">
        <w:rPr>
          <w:rStyle w:val="fontstyle01"/>
          <w:sz w:val="24"/>
          <w:szCs w:val="24"/>
          <w:lang w:val="en-US"/>
        </w:rPr>
        <w:t>.</w:t>
      </w:r>
    </w:p>
    <w:p w14:paraId="33EAC15D" w14:textId="77777777" w:rsidR="00836BD3" w:rsidRPr="00B821EA" w:rsidRDefault="00836BD3" w:rsidP="003C6CF9">
      <w:pPr>
        <w:spacing w:before="240" w:after="240"/>
        <w:jc w:val="both"/>
        <w:rPr>
          <w:rStyle w:val="fontstyle01"/>
          <w:sz w:val="24"/>
          <w:szCs w:val="24"/>
          <w:lang w:val="en-US"/>
        </w:rPr>
      </w:pPr>
      <w:r w:rsidRPr="00B821EA">
        <w:rPr>
          <w:rStyle w:val="fontstyle01"/>
          <w:sz w:val="24"/>
          <w:szCs w:val="24"/>
          <w:lang w:val="en-US"/>
        </w:rPr>
        <w:t>MEYER, A. H.; RICKNAGEL, A. B.; STEVENSON, D. D. &amp; B</w:t>
      </w:r>
      <w:r w:rsidRPr="0020052E">
        <w:rPr>
          <w:rStyle w:val="fontstyle01"/>
          <w:sz w:val="24"/>
          <w:szCs w:val="24"/>
          <w:lang w:val="en-US"/>
        </w:rPr>
        <w:t xml:space="preserve">ARTOO, R. A. 1961. </w:t>
      </w:r>
      <w:r w:rsidRPr="00B821EA">
        <w:rPr>
          <w:rStyle w:val="fontstyle01"/>
          <w:b/>
          <w:sz w:val="24"/>
          <w:szCs w:val="24"/>
          <w:lang w:val="en-US"/>
        </w:rPr>
        <w:t>Forest management</w:t>
      </w:r>
      <w:r w:rsidRPr="00B821EA">
        <w:rPr>
          <w:rStyle w:val="fontstyle01"/>
          <w:sz w:val="24"/>
          <w:szCs w:val="24"/>
          <w:lang w:val="en-US"/>
        </w:rPr>
        <w:t xml:space="preserve">. The Ronald Press Company, New York.  </w:t>
      </w:r>
    </w:p>
    <w:p w14:paraId="5008C907" w14:textId="77777777" w:rsidR="00836BD3" w:rsidRPr="00B821EA" w:rsidRDefault="00836BD3" w:rsidP="00836BD3">
      <w:pPr>
        <w:pStyle w:val="Default"/>
        <w:spacing w:before="240" w:after="24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36BD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MEYER, H. C. Structure, growth and drain in balanced uneven-age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d forests. </w:t>
      </w:r>
      <w:r w:rsidRPr="00B821EA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>Journal of Forestry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836BD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Washington, DC, v. 50, p. 85 - 92, 1952.</w:t>
      </w:r>
    </w:p>
    <w:p w14:paraId="7C1503E1" w14:textId="77777777" w:rsidR="00836BD3" w:rsidRPr="0020052E" w:rsidRDefault="00836BD3" w:rsidP="003C6CF9">
      <w:pPr>
        <w:spacing w:before="240" w:after="240"/>
        <w:jc w:val="both"/>
        <w:rPr>
          <w:rStyle w:val="fontstyle01"/>
          <w:sz w:val="24"/>
          <w:szCs w:val="24"/>
        </w:rPr>
      </w:pPr>
      <w:r w:rsidRPr="0020052E">
        <w:rPr>
          <w:rStyle w:val="fontstyle01"/>
          <w:sz w:val="24"/>
          <w:szCs w:val="24"/>
          <w:lang w:val="en-US"/>
        </w:rPr>
        <w:t xml:space="preserve">PIRES-O’BRIEN, M. J.; O’BRIEN, C. M. 1995. </w:t>
      </w:r>
      <w:r w:rsidRPr="005F303E">
        <w:rPr>
          <w:rStyle w:val="fontstyle01"/>
          <w:b/>
          <w:sz w:val="24"/>
          <w:szCs w:val="24"/>
        </w:rPr>
        <w:t xml:space="preserve">Ecologia e modelagem de florestas tropicais. Faculdade de Ciências Agrárias do Pará, </w:t>
      </w:r>
      <w:r w:rsidRPr="0020052E">
        <w:rPr>
          <w:rStyle w:val="fontstyle01"/>
          <w:sz w:val="24"/>
          <w:szCs w:val="24"/>
        </w:rPr>
        <w:t xml:space="preserve">Serviço de informação e documentação, Belém. </w:t>
      </w:r>
    </w:p>
    <w:p w14:paraId="4D42D5FC" w14:textId="77777777" w:rsidR="00836BD3" w:rsidRDefault="00836BD3" w:rsidP="003C6CF9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SANQUETTA, C. R.; BRENA, D. A.; ANGELO, H.; MENDES, J. B. Matriz de transição para simulação da dinâmica de florestas naturais sob diferentes intensidades de corte. </w:t>
      </w:r>
      <w:r w:rsidRPr="0020052E">
        <w:rPr>
          <w:b/>
          <w:sz w:val="24"/>
          <w:szCs w:val="24"/>
        </w:rPr>
        <w:t>Ciência Florestal</w:t>
      </w:r>
      <w:r w:rsidRPr="0020052E">
        <w:rPr>
          <w:sz w:val="24"/>
          <w:szCs w:val="24"/>
        </w:rPr>
        <w:t>, v. 6, n. 1, p. 65-78, 1996.</w:t>
      </w:r>
    </w:p>
    <w:p w14:paraId="6CC306D2" w14:textId="4B4A969D" w:rsidR="005F303E" w:rsidRDefault="005F303E" w:rsidP="003C6CF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SANTOS, P. L. dos; RODRIGUES, T. E.; VALENTE, M. A.; SILVA, J. M. L.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; SANTOS, E.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S.; ROLIM, P. A. M. </w:t>
      </w:r>
      <w:r w:rsidRPr="005F303E">
        <w:rPr>
          <w:b/>
          <w:sz w:val="24"/>
          <w:szCs w:val="24"/>
        </w:rPr>
        <w:t xml:space="preserve">Zoneamento agroecológico do município de Barcarena, Estado do Pará. </w:t>
      </w:r>
      <w:r>
        <w:rPr>
          <w:sz w:val="24"/>
          <w:szCs w:val="24"/>
        </w:rPr>
        <w:t>1 ed. 35p. Embrapa Amazônia Oriental. Documentos, 156. 2003.</w:t>
      </w:r>
    </w:p>
    <w:p w14:paraId="5791D39D" w14:textId="7E71889E" w:rsidR="001F0482" w:rsidRDefault="001F0482" w:rsidP="001F0482">
      <w:pPr>
        <w:spacing w:before="240" w:after="240"/>
        <w:jc w:val="both"/>
        <w:rPr>
          <w:sz w:val="24"/>
          <w:szCs w:val="24"/>
        </w:rPr>
      </w:pPr>
      <w:r w:rsidRPr="001F0482">
        <w:rPr>
          <w:sz w:val="24"/>
          <w:szCs w:val="24"/>
        </w:rPr>
        <w:t xml:space="preserve">SCHNEIDER, P. R.; FINGER, C. A. G.; HOPPE, J. M.; DRESCHER, R.; SCHEEREN, L. </w:t>
      </w:r>
      <w:r w:rsidRPr="00B821EA">
        <w:rPr>
          <w:sz w:val="24"/>
          <w:szCs w:val="24"/>
        </w:rPr>
        <w:t xml:space="preserve">W.; MAINARDI, G.; FLEIG, F. D. </w:t>
      </w:r>
      <w:r>
        <w:rPr>
          <w:sz w:val="24"/>
          <w:szCs w:val="24"/>
        </w:rPr>
        <w:t xml:space="preserve">Produção de </w:t>
      </w:r>
      <w:proofErr w:type="spellStart"/>
      <w:r w:rsidRPr="00B821EA">
        <w:rPr>
          <w:i/>
          <w:sz w:val="24"/>
          <w:szCs w:val="24"/>
        </w:rPr>
        <w:t>Eucalyptus</w:t>
      </w:r>
      <w:proofErr w:type="spellEnd"/>
      <w:r w:rsidRPr="00B821EA">
        <w:rPr>
          <w:i/>
          <w:sz w:val="24"/>
          <w:szCs w:val="24"/>
        </w:rPr>
        <w:t xml:space="preserve"> </w:t>
      </w:r>
      <w:proofErr w:type="spellStart"/>
      <w:r w:rsidRPr="00B821EA">
        <w:rPr>
          <w:i/>
          <w:sz w:val="24"/>
          <w:szCs w:val="24"/>
        </w:rPr>
        <w:t>grandis</w:t>
      </w:r>
      <w:proofErr w:type="spellEnd"/>
      <w:r>
        <w:rPr>
          <w:sz w:val="24"/>
          <w:szCs w:val="24"/>
        </w:rPr>
        <w:t xml:space="preserve"> Hill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1F0482">
        <w:rPr>
          <w:sz w:val="24"/>
          <w:szCs w:val="24"/>
        </w:rPr>
        <w:t>aiden</w:t>
      </w:r>
      <w:proofErr w:type="spellEnd"/>
      <w:r w:rsidRPr="001F0482">
        <w:rPr>
          <w:sz w:val="24"/>
          <w:szCs w:val="24"/>
        </w:rPr>
        <w:t xml:space="preserve"> em diferentes intensidades</w:t>
      </w:r>
      <w:r>
        <w:rPr>
          <w:sz w:val="24"/>
          <w:szCs w:val="24"/>
        </w:rPr>
        <w:t xml:space="preserve">. </w:t>
      </w:r>
      <w:r w:rsidRPr="00B821EA">
        <w:rPr>
          <w:b/>
          <w:sz w:val="24"/>
          <w:szCs w:val="24"/>
        </w:rPr>
        <w:t>Ciência Florestal,</w:t>
      </w:r>
      <w:r w:rsidRPr="001F0482">
        <w:rPr>
          <w:sz w:val="24"/>
          <w:szCs w:val="24"/>
        </w:rPr>
        <w:t xml:space="preserve"> Santa Maria, v.8, n.1, p. 129-140</w:t>
      </w:r>
      <w:r>
        <w:rPr>
          <w:sz w:val="24"/>
          <w:szCs w:val="24"/>
        </w:rPr>
        <w:t>, 1998.</w:t>
      </w:r>
    </w:p>
    <w:p w14:paraId="02C18523" w14:textId="7A11ED09" w:rsidR="00C46B2A" w:rsidRPr="001F0482" w:rsidRDefault="00C46B2A" w:rsidP="00C46B2A">
      <w:pPr>
        <w:spacing w:before="240" w:after="240"/>
        <w:jc w:val="both"/>
        <w:rPr>
          <w:sz w:val="24"/>
          <w:szCs w:val="24"/>
        </w:rPr>
      </w:pPr>
      <w:r w:rsidRPr="00C46B2A">
        <w:rPr>
          <w:sz w:val="24"/>
          <w:szCs w:val="24"/>
        </w:rPr>
        <w:t>SCHNEIDER, P. R.; SCHNEIDER, P. S. P.; SOUZA</w:t>
      </w:r>
      <w:r>
        <w:rPr>
          <w:sz w:val="24"/>
          <w:szCs w:val="24"/>
        </w:rPr>
        <w:t xml:space="preserve">, C. A. M. </w:t>
      </w:r>
      <w:r w:rsidRPr="00B821EA">
        <w:rPr>
          <w:b/>
          <w:sz w:val="24"/>
          <w:szCs w:val="24"/>
        </w:rPr>
        <w:t>Análise de regressão aplicada a Engenharia Florestal.</w:t>
      </w:r>
      <w:r w:rsidRPr="00C46B2A">
        <w:rPr>
          <w:sz w:val="24"/>
          <w:szCs w:val="24"/>
        </w:rPr>
        <w:t xml:space="preserve"> 2. ed. Santa Maria: FACOS-UFSM, 2009. 294 p.</w:t>
      </w:r>
    </w:p>
    <w:p w14:paraId="1817F925" w14:textId="77777777" w:rsidR="00836BD3" w:rsidRDefault="00836BD3" w:rsidP="003C6CF9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SCOLFORO, J. R. S.; PULZ, F. A.; MELLO, J. M. Modelagem da produção, idade das florestas nativas, distribuição espacial das espécies e a análise estrutural. </w:t>
      </w:r>
      <w:r w:rsidRPr="0020052E">
        <w:rPr>
          <w:b/>
          <w:sz w:val="24"/>
          <w:szCs w:val="24"/>
        </w:rPr>
        <w:t>Manejo Florestal</w:t>
      </w:r>
      <w:r w:rsidRPr="0020052E">
        <w:rPr>
          <w:sz w:val="24"/>
          <w:szCs w:val="24"/>
        </w:rPr>
        <w:t>, p. 189-256, 1998.</w:t>
      </w:r>
    </w:p>
    <w:p w14:paraId="2D11EE38" w14:textId="23E6F797" w:rsidR="00C46B2A" w:rsidRPr="0020052E" w:rsidRDefault="00C46B2A" w:rsidP="003C6CF9">
      <w:pPr>
        <w:spacing w:before="240" w:after="240"/>
        <w:jc w:val="both"/>
        <w:rPr>
          <w:sz w:val="24"/>
          <w:szCs w:val="24"/>
        </w:rPr>
      </w:pPr>
      <w:r w:rsidRPr="00C46B2A">
        <w:rPr>
          <w:sz w:val="24"/>
          <w:szCs w:val="24"/>
        </w:rPr>
        <w:t xml:space="preserve">SILVA, V. S. M.; SOARES, T. S.; COLPINI, C.; TRAVAGIN, D. P.; HOSOKAWA, R. T.; SCOLFORO, J. R. S. </w:t>
      </w:r>
      <w:proofErr w:type="spellStart"/>
      <w:r w:rsidRPr="00C46B2A">
        <w:rPr>
          <w:sz w:val="24"/>
          <w:szCs w:val="24"/>
        </w:rPr>
        <w:t>Prognose</w:t>
      </w:r>
      <w:proofErr w:type="spellEnd"/>
      <w:r w:rsidRPr="00C46B2A">
        <w:rPr>
          <w:sz w:val="24"/>
          <w:szCs w:val="24"/>
        </w:rPr>
        <w:t xml:space="preserve"> da produção de </w:t>
      </w:r>
      <w:proofErr w:type="spellStart"/>
      <w:r w:rsidRPr="00B821EA">
        <w:rPr>
          <w:i/>
          <w:sz w:val="24"/>
          <w:szCs w:val="24"/>
        </w:rPr>
        <w:t>Eucalyptus</w:t>
      </w:r>
      <w:proofErr w:type="spellEnd"/>
      <w:r w:rsidRPr="00B821EA">
        <w:rPr>
          <w:i/>
          <w:sz w:val="24"/>
          <w:szCs w:val="24"/>
        </w:rPr>
        <w:t xml:space="preserve"> </w:t>
      </w:r>
      <w:proofErr w:type="spellStart"/>
      <w:r w:rsidRPr="00B821EA">
        <w:rPr>
          <w:i/>
          <w:sz w:val="24"/>
          <w:szCs w:val="24"/>
        </w:rPr>
        <w:t>camaldulensis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46B2A">
        <w:rPr>
          <w:sz w:val="24"/>
          <w:szCs w:val="24"/>
        </w:rPr>
        <w:t>Dehnh</w:t>
      </w:r>
      <w:proofErr w:type="spellEnd"/>
      <w:r w:rsidRPr="00C46B2A">
        <w:rPr>
          <w:sz w:val="24"/>
          <w:szCs w:val="24"/>
        </w:rPr>
        <w:t xml:space="preserve">. </w:t>
      </w:r>
      <w:proofErr w:type="gramStart"/>
      <w:r w:rsidRPr="00C46B2A">
        <w:rPr>
          <w:sz w:val="24"/>
          <w:szCs w:val="24"/>
        </w:rPr>
        <w:t>pela</w:t>
      </w:r>
      <w:proofErr w:type="gramEnd"/>
      <w:r w:rsidRPr="00C46B2A">
        <w:rPr>
          <w:sz w:val="24"/>
          <w:szCs w:val="24"/>
        </w:rPr>
        <w:t xml:space="preserve"> aplicação da função de distribuição Sb de Johnson. </w:t>
      </w:r>
      <w:r w:rsidRPr="00B821EA">
        <w:rPr>
          <w:b/>
          <w:sz w:val="24"/>
          <w:szCs w:val="24"/>
        </w:rPr>
        <w:t>Revista Árvore,</w:t>
      </w:r>
      <w:r w:rsidRPr="00C46B2A">
        <w:rPr>
          <w:sz w:val="24"/>
          <w:szCs w:val="24"/>
        </w:rPr>
        <w:t xml:space="preserve"> Viçosa, v. 33, n. 5, p. 853-863, </w:t>
      </w:r>
      <w:proofErr w:type="gramStart"/>
      <w:r w:rsidRPr="00C46B2A">
        <w:rPr>
          <w:sz w:val="24"/>
          <w:szCs w:val="24"/>
        </w:rPr>
        <w:t>set./</w:t>
      </w:r>
      <w:proofErr w:type="gramEnd"/>
      <w:r w:rsidRPr="00C46B2A">
        <w:rPr>
          <w:sz w:val="24"/>
          <w:szCs w:val="24"/>
        </w:rPr>
        <w:t>out. 2009.</w:t>
      </w:r>
    </w:p>
    <w:p w14:paraId="4E0A477D" w14:textId="42359424" w:rsidR="009B0125" w:rsidRPr="0020052E" w:rsidRDefault="00836BD3" w:rsidP="00B5373C">
      <w:pPr>
        <w:spacing w:before="240" w:after="240"/>
        <w:jc w:val="both"/>
        <w:rPr>
          <w:sz w:val="24"/>
          <w:szCs w:val="24"/>
        </w:rPr>
      </w:pPr>
      <w:r w:rsidRPr="0020052E">
        <w:rPr>
          <w:sz w:val="24"/>
          <w:szCs w:val="24"/>
        </w:rPr>
        <w:t xml:space="preserve">SOUZA, A. L. &amp; JESUS, R. M. 1994. Distribuição </w:t>
      </w:r>
      <w:proofErr w:type="spellStart"/>
      <w:r w:rsidRPr="0020052E">
        <w:rPr>
          <w:sz w:val="24"/>
          <w:szCs w:val="24"/>
        </w:rPr>
        <w:t>diamétrica</w:t>
      </w:r>
      <w:proofErr w:type="spellEnd"/>
      <w:r w:rsidRPr="0020052E">
        <w:rPr>
          <w:sz w:val="24"/>
          <w:szCs w:val="24"/>
        </w:rPr>
        <w:t xml:space="preserve"> de espécies arbóreas da floresta atlântica: Análise de agrupamento. </w:t>
      </w:r>
      <w:r w:rsidRPr="0020052E">
        <w:rPr>
          <w:b/>
          <w:sz w:val="24"/>
          <w:szCs w:val="24"/>
        </w:rPr>
        <w:t>Boletim Técnico da Sociedade de Investigações Florestais.</w:t>
      </w:r>
      <w:r w:rsidRPr="0020052E">
        <w:rPr>
          <w:sz w:val="24"/>
          <w:szCs w:val="24"/>
        </w:rPr>
        <w:t xml:space="preserve"> 10:1 -30. </w:t>
      </w:r>
    </w:p>
    <w:sectPr w:rsidR="009B0125" w:rsidRPr="0020052E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C80EB" w14:textId="77777777" w:rsidR="007C12B4" w:rsidRDefault="007C12B4" w:rsidP="00392012">
      <w:r>
        <w:separator/>
      </w:r>
    </w:p>
  </w:endnote>
  <w:endnote w:type="continuationSeparator" w:id="0">
    <w:p w14:paraId="77B835BB" w14:textId="77777777" w:rsidR="007C12B4" w:rsidRDefault="007C12B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0FBA0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3C49F17A" wp14:editId="7BC1AA36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3F86" w14:textId="77777777" w:rsidR="007C12B4" w:rsidRDefault="007C12B4" w:rsidP="00392012">
      <w:r>
        <w:separator/>
      </w:r>
    </w:p>
  </w:footnote>
  <w:footnote w:type="continuationSeparator" w:id="0">
    <w:p w14:paraId="207354F0" w14:textId="77777777" w:rsidR="007C12B4" w:rsidRDefault="007C12B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34312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66476" wp14:editId="7198D044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80C49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02EC0206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331647D1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6647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0DA80C49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02EC0206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331647D1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E7AB2E6" wp14:editId="142DCE24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20010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349A7E5A" wp14:editId="25EE01F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7AB2E6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11020010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349A7E5A" wp14:editId="25EE01F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0940B0CE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1CB8935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46262"/>
    <w:rsid w:val="00076CED"/>
    <w:rsid w:val="0008536B"/>
    <w:rsid w:val="00094A6D"/>
    <w:rsid w:val="000A7079"/>
    <w:rsid w:val="000B0814"/>
    <w:rsid w:val="000B44E0"/>
    <w:rsid w:val="000B6743"/>
    <w:rsid w:val="000F7B8F"/>
    <w:rsid w:val="001009D9"/>
    <w:rsid w:val="001179C2"/>
    <w:rsid w:val="00121F29"/>
    <w:rsid w:val="0012462E"/>
    <w:rsid w:val="00137AFA"/>
    <w:rsid w:val="00150A85"/>
    <w:rsid w:val="00160D2E"/>
    <w:rsid w:val="001718F2"/>
    <w:rsid w:val="0019343D"/>
    <w:rsid w:val="00195E0E"/>
    <w:rsid w:val="001A6FC5"/>
    <w:rsid w:val="001B1308"/>
    <w:rsid w:val="001B3370"/>
    <w:rsid w:val="001B6E63"/>
    <w:rsid w:val="001C7011"/>
    <w:rsid w:val="001C79FB"/>
    <w:rsid w:val="001F0482"/>
    <w:rsid w:val="0020052E"/>
    <w:rsid w:val="00202A94"/>
    <w:rsid w:val="00203051"/>
    <w:rsid w:val="0020509D"/>
    <w:rsid w:val="00206969"/>
    <w:rsid w:val="002076EF"/>
    <w:rsid w:val="00234866"/>
    <w:rsid w:val="002373DF"/>
    <w:rsid w:val="0024156F"/>
    <w:rsid w:val="0024285C"/>
    <w:rsid w:val="002446C8"/>
    <w:rsid w:val="002532F6"/>
    <w:rsid w:val="00253593"/>
    <w:rsid w:val="00253D7B"/>
    <w:rsid w:val="00261E93"/>
    <w:rsid w:val="00270F09"/>
    <w:rsid w:val="00273A6E"/>
    <w:rsid w:val="00282987"/>
    <w:rsid w:val="002A456B"/>
    <w:rsid w:val="002B4C8E"/>
    <w:rsid w:val="002B6A14"/>
    <w:rsid w:val="002C04FA"/>
    <w:rsid w:val="002C3F9C"/>
    <w:rsid w:val="002E72C4"/>
    <w:rsid w:val="002F114A"/>
    <w:rsid w:val="002F37D6"/>
    <w:rsid w:val="0030128A"/>
    <w:rsid w:val="00301550"/>
    <w:rsid w:val="00314A42"/>
    <w:rsid w:val="003161CF"/>
    <w:rsid w:val="00330AA8"/>
    <w:rsid w:val="00334ABB"/>
    <w:rsid w:val="00353EEF"/>
    <w:rsid w:val="00361C85"/>
    <w:rsid w:val="003674C5"/>
    <w:rsid w:val="00375C59"/>
    <w:rsid w:val="00392012"/>
    <w:rsid w:val="003A4B26"/>
    <w:rsid w:val="003B02AD"/>
    <w:rsid w:val="003B090B"/>
    <w:rsid w:val="003C6424"/>
    <w:rsid w:val="003C6CF9"/>
    <w:rsid w:val="003D0994"/>
    <w:rsid w:val="003E1ADB"/>
    <w:rsid w:val="004006AC"/>
    <w:rsid w:val="004008E9"/>
    <w:rsid w:val="00400D61"/>
    <w:rsid w:val="00411C07"/>
    <w:rsid w:val="0042057D"/>
    <w:rsid w:val="00422D99"/>
    <w:rsid w:val="00426873"/>
    <w:rsid w:val="00436326"/>
    <w:rsid w:val="004365F3"/>
    <w:rsid w:val="00445215"/>
    <w:rsid w:val="004709D3"/>
    <w:rsid w:val="004777CC"/>
    <w:rsid w:val="00497F38"/>
    <w:rsid w:val="004A36F3"/>
    <w:rsid w:val="004B03F7"/>
    <w:rsid w:val="004C52D5"/>
    <w:rsid w:val="004C746A"/>
    <w:rsid w:val="004E5451"/>
    <w:rsid w:val="004F3394"/>
    <w:rsid w:val="004F4106"/>
    <w:rsid w:val="004F6258"/>
    <w:rsid w:val="00503D45"/>
    <w:rsid w:val="00506FB9"/>
    <w:rsid w:val="00511E8F"/>
    <w:rsid w:val="005159DA"/>
    <w:rsid w:val="005218E2"/>
    <w:rsid w:val="005225D5"/>
    <w:rsid w:val="005245CB"/>
    <w:rsid w:val="00555769"/>
    <w:rsid w:val="005702B5"/>
    <w:rsid w:val="005876CF"/>
    <w:rsid w:val="005C6204"/>
    <w:rsid w:val="005D446F"/>
    <w:rsid w:val="005D71A6"/>
    <w:rsid w:val="005E616C"/>
    <w:rsid w:val="005E6909"/>
    <w:rsid w:val="005F303E"/>
    <w:rsid w:val="00610CCB"/>
    <w:rsid w:val="00612D68"/>
    <w:rsid w:val="00614FB7"/>
    <w:rsid w:val="0061672B"/>
    <w:rsid w:val="00616DDB"/>
    <w:rsid w:val="006201D8"/>
    <w:rsid w:val="006213AB"/>
    <w:rsid w:val="006249AB"/>
    <w:rsid w:val="0066022A"/>
    <w:rsid w:val="006755A9"/>
    <w:rsid w:val="00677DBC"/>
    <w:rsid w:val="0068555A"/>
    <w:rsid w:val="006A3CB6"/>
    <w:rsid w:val="006D43B5"/>
    <w:rsid w:val="006E1C42"/>
    <w:rsid w:val="00707D9F"/>
    <w:rsid w:val="007141D2"/>
    <w:rsid w:val="00715A5D"/>
    <w:rsid w:val="007218EB"/>
    <w:rsid w:val="00724382"/>
    <w:rsid w:val="0072753E"/>
    <w:rsid w:val="007422FB"/>
    <w:rsid w:val="007452FD"/>
    <w:rsid w:val="007472DE"/>
    <w:rsid w:val="00753D83"/>
    <w:rsid w:val="00760822"/>
    <w:rsid w:val="0076407B"/>
    <w:rsid w:val="007969A6"/>
    <w:rsid w:val="007B1EDB"/>
    <w:rsid w:val="007B20EA"/>
    <w:rsid w:val="007C12B4"/>
    <w:rsid w:val="007C1B34"/>
    <w:rsid w:val="007D15C8"/>
    <w:rsid w:val="007D58F5"/>
    <w:rsid w:val="007E40D8"/>
    <w:rsid w:val="00802659"/>
    <w:rsid w:val="008030DD"/>
    <w:rsid w:val="00811FDD"/>
    <w:rsid w:val="00814223"/>
    <w:rsid w:val="0083077E"/>
    <w:rsid w:val="00834A9F"/>
    <w:rsid w:val="00834BE9"/>
    <w:rsid w:val="00836BD3"/>
    <w:rsid w:val="00852788"/>
    <w:rsid w:val="00856747"/>
    <w:rsid w:val="00863A0D"/>
    <w:rsid w:val="008644EF"/>
    <w:rsid w:val="008922FD"/>
    <w:rsid w:val="008D1D5C"/>
    <w:rsid w:val="008F146A"/>
    <w:rsid w:val="008F3EA2"/>
    <w:rsid w:val="008F7747"/>
    <w:rsid w:val="009315D0"/>
    <w:rsid w:val="009331C3"/>
    <w:rsid w:val="00951F55"/>
    <w:rsid w:val="0095437F"/>
    <w:rsid w:val="00957B86"/>
    <w:rsid w:val="00961709"/>
    <w:rsid w:val="0097264E"/>
    <w:rsid w:val="009962E6"/>
    <w:rsid w:val="009965FA"/>
    <w:rsid w:val="009A09A7"/>
    <w:rsid w:val="009A12FF"/>
    <w:rsid w:val="009B0125"/>
    <w:rsid w:val="009C3CAE"/>
    <w:rsid w:val="009C407A"/>
    <w:rsid w:val="009D5F95"/>
    <w:rsid w:val="009D6FE6"/>
    <w:rsid w:val="009D760D"/>
    <w:rsid w:val="009F79C9"/>
    <w:rsid w:val="00A126BC"/>
    <w:rsid w:val="00A14A7B"/>
    <w:rsid w:val="00A22AF6"/>
    <w:rsid w:val="00A26486"/>
    <w:rsid w:val="00A34D59"/>
    <w:rsid w:val="00A3575E"/>
    <w:rsid w:val="00A522B1"/>
    <w:rsid w:val="00A57710"/>
    <w:rsid w:val="00A73E6D"/>
    <w:rsid w:val="00A74AF2"/>
    <w:rsid w:val="00A77CA4"/>
    <w:rsid w:val="00A92240"/>
    <w:rsid w:val="00A929F0"/>
    <w:rsid w:val="00A9494E"/>
    <w:rsid w:val="00A95B67"/>
    <w:rsid w:val="00AC1CF5"/>
    <w:rsid w:val="00B03F68"/>
    <w:rsid w:val="00B15AE1"/>
    <w:rsid w:val="00B259FE"/>
    <w:rsid w:val="00B40020"/>
    <w:rsid w:val="00B5373C"/>
    <w:rsid w:val="00B55AB2"/>
    <w:rsid w:val="00B64760"/>
    <w:rsid w:val="00B70965"/>
    <w:rsid w:val="00B7165F"/>
    <w:rsid w:val="00B821EA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46B2A"/>
    <w:rsid w:val="00C70228"/>
    <w:rsid w:val="00C71504"/>
    <w:rsid w:val="00C71785"/>
    <w:rsid w:val="00C77708"/>
    <w:rsid w:val="00CA71A9"/>
    <w:rsid w:val="00CB7D10"/>
    <w:rsid w:val="00CC5C84"/>
    <w:rsid w:val="00CC5C92"/>
    <w:rsid w:val="00CD2A9E"/>
    <w:rsid w:val="00CD3E3D"/>
    <w:rsid w:val="00CD619A"/>
    <w:rsid w:val="00CE45A6"/>
    <w:rsid w:val="00CE4F5C"/>
    <w:rsid w:val="00CE581B"/>
    <w:rsid w:val="00CF14D4"/>
    <w:rsid w:val="00D0394C"/>
    <w:rsid w:val="00D048E7"/>
    <w:rsid w:val="00D04AEE"/>
    <w:rsid w:val="00D12BA4"/>
    <w:rsid w:val="00D13969"/>
    <w:rsid w:val="00D34D39"/>
    <w:rsid w:val="00D40455"/>
    <w:rsid w:val="00D507CA"/>
    <w:rsid w:val="00D51808"/>
    <w:rsid w:val="00D66D9D"/>
    <w:rsid w:val="00D7169B"/>
    <w:rsid w:val="00D829A4"/>
    <w:rsid w:val="00D83F87"/>
    <w:rsid w:val="00DA0B68"/>
    <w:rsid w:val="00DA606C"/>
    <w:rsid w:val="00DB2E0E"/>
    <w:rsid w:val="00DB67E5"/>
    <w:rsid w:val="00DC31F5"/>
    <w:rsid w:val="00DC6F08"/>
    <w:rsid w:val="00DD1086"/>
    <w:rsid w:val="00DE63E0"/>
    <w:rsid w:val="00E05E73"/>
    <w:rsid w:val="00E0707A"/>
    <w:rsid w:val="00E263EC"/>
    <w:rsid w:val="00E34F91"/>
    <w:rsid w:val="00E43C50"/>
    <w:rsid w:val="00E5701F"/>
    <w:rsid w:val="00E753BE"/>
    <w:rsid w:val="00E76DCA"/>
    <w:rsid w:val="00E85C97"/>
    <w:rsid w:val="00E91D33"/>
    <w:rsid w:val="00E974EA"/>
    <w:rsid w:val="00E97DB7"/>
    <w:rsid w:val="00EA6802"/>
    <w:rsid w:val="00EE4602"/>
    <w:rsid w:val="00EF1C09"/>
    <w:rsid w:val="00EF273F"/>
    <w:rsid w:val="00EF698C"/>
    <w:rsid w:val="00F001D3"/>
    <w:rsid w:val="00F06F8F"/>
    <w:rsid w:val="00F2494F"/>
    <w:rsid w:val="00F253D0"/>
    <w:rsid w:val="00F43D66"/>
    <w:rsid w:val="00F47276"/>
    <w:rsid w:val="00F5269B"/>
    <w:rsid w:val="00F528A5"/>
    <w:rsid w:val="00F63F07"/>
    <w:rsid w:val="00F67AA9"/>
    <w:rsid w:val="00F72608"/>
    <w:rsid w:val="00F76C81"/>
    <w:rsid w:val="00F94903"/>
    <w:rsid w:val="00FB56EB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7C1A222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2">
    <w:name w:val="heading 2"/>
    <w:basedOn w:val="Normal"/>
    <w:link w:val="Ttulo2Char"/>
    <w:uiPriority w:val="9"/>
    <w:qFormat/>
    <w:rsid w:val="003674C5"/>
    <w:pPr>
      <w:outlineLvl w:val="1"/>
    </w:pPr>
    <w:rPr>
      <w:bCs/>
      <w:caps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C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829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829A4"/>
  </w:style>
  <w:style w:type="character" w:customStyle="1" w:styleId="TextodecomentrioChar">
    <w:name w:val="Texto de comentário Char"/>
    <w:basedOn w:val="Fontepargpadro"/>
    <w:link w:val="Textodecomentrio"/>
    <w:uiPriority w:val="99"/>
    <w:rsid w:val="00D829A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9A4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Fontepargpadro"/>
    <w:rsid w:val="00D829A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Fontepargpadro"/>
    <w:rsid w:val="00D829A4"/>
  </w:style>
  <w:style w:type="character" w:customStyle="1" w:styleId="Ttulo2Char">
    <w:name w:val="Título 2 Char"/>
    <w:basedOn w:val="Fontepargpadro"/>
    <w:link w:val="Ttulo2"/>
    <w:uiPriority w:val="9"/>
    <w:rsid w:val="003674C5"/>
    <w:rPr>
      <w:rFonts w:ascii="Times New Roman" w:eastAsia="Times New Roman" w:hAnsi="Times New Roman"/>
      <w:bCs/>
      <w:caps/>
      <w:sz w:val="24"/>
      <w:szCs w:val="36"/>
    </w:rPr>
  </w:style>
  <w:style w:type="paragraph" w:customStyle="1" w:styleId="Textomanual">
    <w:name w:val="Texto manual"/>
    <w:basedOn w:val="Normal"/>
    <w:rsid w:val="003674C5"/>
    <w:pPr>
      <w:spacing w:after="120"/>
      <w:jc w:val="both"/>
    </w:pPr>
    <w:rPr>
      <w:rFonts w:ascii="Verdana" w:hAnsi="Verdana"/>
    </w:rPr>
  </w:style>
  <w:style w:type="paragraph" w:styleId="Reviso">
    <w:name w:val="Revision"/>
    <w:hidden/>
    <w:uiPriority w:val="99"/>
    <w:semiHidden/>
    <w:rsid w:val="00834A9F"/>
    <w:rPr>
      <w:rFonts w:ascii="Times New Roman" w:eastAsia="Times New Roman" w:hAnsi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esktop\REGRESS&#195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28620509872599"/>
          <c:y val="9.4016927659323485E-2"/>
          <c:w val="0.87171281009228685"/>
          <c:h val="0.69568049780294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Tabela!$P$2</c:f>
              <c:strCache>
                <c:ptCount val="1"/>
                <c:pt idx="0">
                  <c:v>Nº árv./há real</c:v>
                </c:pt>
              </c:strCache>
            </c:strRef>
          </c:tx>
          <c:invertIfNegative val="0"/>
          <c:cat>
            <c:strRef>
              <c:f>Tabela!$O$3:$O$17</c:f>
              <c:strCache>
                <c:ptCount val="15"/>
                <c:pt idx="0">
                  <c:v>10-20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60-70</c:v>
                </c:pt>
                <c:pt idx="6">
                  <c:v>70-80</c:v>
                </c:pt>
                <c:pt idx="7">
                  <c:v>80-90</c:v>
                </c:pt>
                <c:pt idx="8">
                  <c:v>90-100</c:v>
                </c:pt>
                <c:pt idx="9">
                  <c:v>100-110</c:v>
                </c:pt>
                <c:pt idx="10">
                  <c:v>110-120</c:v>
                </c:pt>
                <c:pt idx="11">
                  <c:v>120-130</c:v>
                </c:pt>
                <c:pt idx="12">
                  <c:v>130-140</c:v>
                </c:pt>
                <c:pt idx="13">
                  <c:v>140-150</c:v>
                </c:pt>
                <c:pt idx="14">
                  <c:v>&gt;150</c:v>
                </c:pt>
              </c:strCache>
            </c:strRef>
          </c:cat>
          <c:val>
            <c:numRef>
              <c:f>Tabela!$P$3:$P$17</c:f>
              <c:numCache>
                <c:formatCode>0.0</c:formatCode>
                <c:ptCount val="15"/>
                <c:pt idx="0">
                  <c:v>247.66666666666933</c:v>
                </c:pt>
                <c:pt idx="1">
                  <c:v>96.999999999999702</c:v>
                </c:pt>
                <c:pt idx="2">
                  <c:v>34.933333333333252</c:v>
                </c:pt>
                <c:pt idx="3">
                  <c:v>22.399999999999959</c:v>
                </c:pt>
                <c:pt idx="4">
                  <c:v>12.133333333333329</c:v>
                </c:pt>
                <c:pt idx="5">
                  <c:v>7.4666666666666766</c:v>
                </c:pt>
                <c:pt idx="6">
                  <c:v>5.7333333333333378</c:v>
                </c:pt>
                <c:pt idx="7">
                  <c:v>1.4666666666666666</c:v>
                </c:pt>
                <c:pt idx="8">
                  <c:v>2.2666666666666666</c:v>
                </c:pt>
                <c:pt idx="9">
                  <c:v>0.93333333333333324</c:v>
                </c:pt>
                <c:pt idx="10">
                  <c:v>0.1</c:v>
                </c:pt>
                <c:pt idx="11">
                  <c:v>0.53333333333333333</c:v>
                </c:pt>
                <c:pt idx="12">
                  <c:v>0.13333333333333333</c:v>
                </c:pt>
                <c:pt idx="13">
                  <c:v>0.13333333333333333</c:v>
                </c:pt>
                <c:pt idx="1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1C-4813-B5FD-149463D67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5598480"/>
        <c:axId val="365601224"/>
      </c:barChart>
      <c:lineChart>
        <c:grouping val="standard"/>
        <c:varyColors val="0"/>
        <c:ser>
          <c:idx val="1"/>
          <c:order val="1"/>
          <c:tx>
            <c:strRef>
              <c:f>Tabela!$Q$2</c:f>
              <c:strCache>
                <c:ptCount val="1"/>
                <c:pt idx="0">
                  <c:v>Meyer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Tabela!$O$3:$O$17</c:f>
              <c:strCache>
                <c:ptCount val="15"/>
                <c:pt idx="0">
                  <c:v>10-20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60-70</c:v>
                </c:pt>
                <c:pt idx="6">
                  <c:v>70-80</c:v>
                </c:pt>
                <c:pt idx="7">
                  <c:v>80-90</c:v>
                </c:pt>
                <c:pt idx="8">
                  <c:v>90-100</c:v>
                </c:pt>
                <c:pt idx="9">
                  <c:v>100-110</c:v>
                </c:pt>
                <c:pt idx="10">
                  <c:v>110-120</c:v>
                </c:pt>
                <c:pt idx="11">
                  <c:v>120-130</c:v>
                </c:pt>
                <c:pt idx="12">
                  <c:v>130-140</c:v>
                </c:pt>
                <c:pt idx="13">
                  <c:v>140-150</c:v>
                </c:pt>
                <c:pt idx="14">
                  <c:v>&gt;150</c:v>
                </c:pt>
              </c:strCache>
            </c:strRef>
          </c:cat>
          <c:val>
            <c:numRef>
              <c:f>Tabela!$Q$3:$Q$17</c:f>
              <c:numCache>
                <c:formatCode>0.00</c:formatCode>
                <c:ptCount val="15"/>
                <c:pt idx="0">
                  <c:v>125.10735514353266</c:v>
                </c:pt>
                <c:pt idx="1">
                  <c:v>72.785576640914272</c:v>
                </c:pt>
                <c:pt idx="2">
                  <c:v>42.345553232041667</c:v>
                </c:pt>
                <c:pt idx="3">
                  <c:v>24.636005665986723</c:v>
                </c:pt>
                <c:pt idx="4">
                  <c:v>14.332857380530832</c:v>
                </c:pt>
                <c:pt idx="5">
                  <c:v>8.3386407470372426</c:v>
                </c:pt>
                <c:pt idx="6">
                  <c:v>4.8512957090189479</c:v>
                </c:pt>
                <c:pt idx="7">
                  <c:v>2.8224108425234391</c:v>
                </c:pt>
                <c:pt idx="8">
                  <c:v>1.6420361573062696</c:v>
                </c:pt>
                <c:pt idx="9">
                  <c:v>0.95531192740546211</c:v>
                </c:pt>
                <c:pt idx="10">
                  <c:v>0.55578610408937446</c:v>
                </c:pt>
                <c:pt idx="11">
                  <c:v>0.32334799204044651</c:v>
                </c:pt>
                <c:pt idx="12">
                  <c:v>0.18811899611613106</c:v>
                </c:pt>
                <c:pt idx="13">
                  <c:v>0.10944480117666627</c:v>
                </c:pt>
                <c:pt idx="14">
                  <c:v>6.3673338428861054E-2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41C-4813-B5FD-149463D67C96}"/>
            </c:ext>
          </c:extLst>
        </c:ser>
        <c:ser>
          <c:idx val="2"/>
          <c:order val="2"/>
          <c:tx>
            <c:strRef>
              <c:f>Tabela!$R$2</c:f>
              <c:strCache>
                <c:ptCount val="1"/>
                <c:pt idx="0">
                  <c:v> Goff &amp; West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Tabela!$O$3:$O$17</c:f>
              <c:strCache>
                <c:ptCount val="15"/>
                <c:pt idx="0">
                  <c:v>10-20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60-70</c:v>
                </c:pt>
                <c:pt idx="6">
                  <c:v>70-80</c:v>
                </c:pt>
                <c:pt idx="7">
                  <c:v>80-90</c:v>
                </c:pt>
                <c:pt idx="8">
                  <c:v>90-100</c:v>
                </c:pt>
                <c:pt idx="9">
                  <c:v>100-110</c:v>
                </c:pt>
                <c:pt idx="10">
                  <c:v>110-120</c:v>
                </c:pt>
                <c:pt idx="11">
                  <c:v>120-130</c:v>
                </c:pt>
                <c:pt idx="12">
                  <c:v>130-140</c:v>
                </c:pt>
                <c:pt idx="13">
                  <c:v>140-150</c:v>
                </c:pt>
                <c:pt idx="14">
                  <c:v>&gt;150</c:v>
                </c:pt>
              </c:strCache>
            </c:strRef>
          </c:cat>
          <c:val>
            <c:numRef>
              <c:f>Tabela!$R$3:$R$17</c:f>
              <c:numCache>
                <c:formatCode>0.00</c:formatCode>
                <c:ptCount val="15"/>
                <c:pt idx="0">
                  <c:v>230.45239247042642</c:v>
                </c:pt>
                <c:pt idx="1">
                  <c:v>103.19161283729574</c:v>
                </c:pt>
                <c:pt idx="2">
                  <c:v>48.106059074122733</c:v>
                </c:pt>
                <c:pt idx="3">
                  <c:v>23.347875076984288</c:v>
                </c:pt>
                <c:pt idx="4">
                  <c:v>11.797422754286661</c:v>
                </c:pt>
                <c:pt idx="5">
                  <c:v>6.2061050794988404</c:v>
                </c:pt>
                <c:pt idx="6">
                  <c:v>3.3989385080726113</c:v>
                </c:pt>
                <c:pt idx="7">
                  <c:v>1.9380264116109296</c:v>
                </c:pt>
                <c:pt idx="8">
                  <c:v>1.1504513972092008</c:v>
                </c:pt>
                <c:pt idx="9">
                  <c:v>0.71099911664660398</c:v>
                </c:pt>
                <c:pt idx="10">
                  <c:v>0.45746939754014893</c:v>
                </c:pt>
                <c:pt idx="11">
                  <c:v>0.30644125622105639</c:v>
                </c:pt>
                <c:pt idx="12">
                  <c:v>0.21370989039953356</c:v>
                </c:pt>
                <c:pt idx="13">
                  <c:v>0.15516515869338948</c:v>
                </c:pt>
                <c:pt idx="14">
                  <c:v>0.11728865309857565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41C-4813-B5FD-149463D67C96}"/>
            </c:ext>
          </c:extLst>
        </c:ser>
        <c:ser>
          <c:idx val="3"/>
          <c:order val="3"/>
          <c:tx>
            <c:strRef>
              <c:f>Tabela!$S$2</c:f>
              <c:strCache>
                <c:ptCount val="1"/>
                <c:pt idx="0">
                  <c:v>Função Beta 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strRef>
              <c:f>Tabela!$O$3:$O$17</c:f>
              <c:strCache>
                <c:ptCount val="15"/>
                <c:pt idx="0">
                  <c:v>10-20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50-60</c:v>
                </c:pt>
                <c:pt idx="5">
                  <c:v>60-70</c:v>
                </c:pt>
                <c:pt idx="6">
                  <c:v>70-80</c:v>
                </c:pt>
                <c:pt idx="7">
                  <c:v>80-90</c:v>
                </c:pt>
                <c:pt idx="8">
                  <c:v>90-100</c:v>
                </c:pt>
                <c:pt idx="9">
                  <c:v>100-110</c:v>
                </c:pt>
                <c:pt idx="10">
                  <c:v>110-120</c:v>
                </c:pt>
                <c:pt idx="11">
                  <c:v>120-130</c:v>
                </c:pt>
                <c:pt idx="12">
                  <c:v>130-140</c:v>
                </c:pt>
                <c:pt idx="13">
                  <c:v>140-150</c:v>
                </c:pt>
                <c:pt idx="14">
                  <c:v>&gt;150</c:v>
                </c:pt>
              </c:strCache>
            </c:strRef>
          </c:cat>
          <c:val>
            <c:numRef>
              <c:f>Tabela!$S$3:$S$17</c:f>
              <c:numCache>
                <c:formatCode>0.00</c:formatCode>
                <c:ptCount val="15"/>
                <c:pt idx="0">
                  <c:v>201.72769587457341</c:v>
                </c:pt>
                <c:pt idx="1">
                  <c:v>196.45327222880283</c:v>
                </c:pt>
                <c:pt idx="2">
                  <c:v>45.623810901604273</c:v>
                </c:pt>
                <c:pt idx="3">
                  <c:v>17.229724565775133</c:v>
                </c:pt>
                <c:pt idx="4">
                  <c:v>8.2372096963699413</c:v>
                </c:pt>
                <c:pt idx="5">
                  <c:v>4.5232255972976319</c:v>
                </c:pt>
                <c:pt idx="6">
                  <c:v>2.7179016351913061</c:v>
                </c:pt>
                <c:pt idx="7">
                  <c:v>1.7375053228168673</c:v>
                </c:pt>
                <c:pt idx="8">
                  <c:v>1.1602736954963728</c:v>
                </c:pt>
                <c:pt idx="9">
                  <c:v>0.798545718956582</c:v>
                </c:pt>
                <c:pt idx="10">
                  <c:v>0.55999771104422635</c:v>
                </c:pt>
                <c:pt idx="11">
                  <c:v>0.39537302499029575</c:v>
                </c:pt>
                <c:pt idx="12">
                  <c:v>0.27628227833349567</c:v>
                </c:pt>
                <c:pt idx="13">
                  <c:v>0.18426320862384832</c:v>
                </c:pt>
                <c:pt idx="14">
                  <c:v>0.10036339914201826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41C-4813-B5FD-149463D67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5598480"/>
        <c:axId val="365601224"/>
      </c:lineChart>
      <c:catAx>
        <c:axId val="36559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pt-BR"/>
          </a:p>
        </c:txPr>
        <c:crossAx val="365601224"/>
        <c:crossesAt val="0"/>
        <c:auto val="1"/>
        <c:lblAlgn val="ctr"/>
        <c:lblOffset val="100"/>
        <c:noMultiLvlLbl val="0"/>
      </c:catAx>
      <c:valAx>
        <c:axId val="365601224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pt-BR"/>
          </a:p>
        </c:txPr>
        <c:crossAx val="36559848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086600804780556"/>
          <c:y val="0.13233772744699046"/>
          <c:w val="0.2271047952622221"/>
          <c:h val="0.39019949036982621"/>
        </c:manualLayout>
      </c:layout>
      <c:overlay val="0"/>
      <c:txPr>
        <a:bodyPr/>
        <a:lstStyle/>
        <a:p>
          <a:pPr>
            <a:defRPr sz="1100" b="0"/>
          </a:pPr>
          <a:endParaRPr lang="pt-BR"/>
        </a:p>
      </c:txPr>
    </c:legend>
    <c:plotVisOnly val="1"/>
    <c:dispBlanksAs val="gap"/>
    <c:showDLblsOverMax val="0"/>
  </c:chart>
  <c:spPr>
    <a:noFill/>
    <a:ln>
      <a:solidFill>
        <a:schemeClr val="bg1"/>
      </a:solidFill>
    </a:ln>
  </c:spPr>
  <c:txPr>
    <a:bodyPr/>
    <a:lstStyle/>
    <a:p>
      <a:pPr>
        <a:defRPr sz="10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1.8449E-7</cdr:x>
      <cdr:y>0.23107</cdr:y>
    </cdr:from>
    <cdr:to>
      <cdr:x>0.05671</cdr:x>
      <cdr:y>0.57022</cdr:y>
    </cdr:to>
    <cdr:sp macro="" textlink="">
      <cdr:nvSpPr>
        <cdr:cNvPr id="2" name="CaixaDeTexto 1"/>
        <cdr:cNvSpPr txBox="1"/>
      </cdr:nvSpPr>
      <cdr:spPr>
        <a:xfrm xmlns:a="http://schemas.openxmlformats.org/drawingml/2006/main" rot="16200000">
          <a:off x="-333776" y="998014"/>
          <a:ext cx="974943" cy="3073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0">
              <a:latin typeface="Times New Roman" panose="02020603050405020304" pitchFamily="18" charset="0"/>
              <a:cs typeface="Times New Roman" panose="02020603050405020304" pitchFamily="18" charset="0"/>
            </a:rPr>
            <a:t>nº</a:t>
          </a:r>
          <a:r>
            <a:rPr lang="pt-BR" sz="11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 árv.ha</a:t>
          </a:r>
          <a:r>
            <a:rPr lang="pt-BR" sz="1100" b="0" baseline="30000">
              <a:latin typeface="Times New Roman" panose="02020603050405020304" pitchFamily="18" charset="0"/>
              <a:cs typeface="Times New Roman" panose="02020603050405020304" pitchFamily="18" charset="0"/>
            </a:rPr>
            <a:t>-1</a:t>
          </a:r>
        </a:p>
      </cdr:txBody>
    </cdr:sp>
  </cdr:relSizeAnchor>
  <cdr:relSizeAnchor xmlns:cdr="http://schemas.openxmlformats.org/drawingml/2006/chartDrawing">
    <cdr:from>
      <cdr:x>0.42481</cdr:x>
      <cdr:y>0.93108</cdr:y>
    </cdr:from>
    <cdr:to>
      <cdr:x>0.68066</cdr:x>
      <cdr:y>1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2302613" y="2676525"/>
          <a:ext cx="138680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 b="0">
              <a:latin typeface="Times New Roman" panose="02020603050405020304" pitchFamily="18" charset="0"/>
              <a:cs typeface="Times New Roman" panose="02020603050405020304" pitchFamily="18" charset="0"/>
            </a:rPr>
            <a:t>Classes diamétricas</a:t>
          </a:r>
        </a:p>
      </cdr:txBody>
    </cdr:sp>
  </cdr:relSizeAnchor>
  <cdr:relSizeAnchor xmlns:cdr="http://schemas.openxmlformats.org/drawingml/2006/chartDrawing">
    <cdr:from>
      <cdr:x>0.80211</cdr:x>
      <cdr:y>0.12904</cdr:y>
    </cdr:from>
    <cdr:to>
      <cdr:x>0.97399</cdr:x>
      <cdr:y>0.21006</cdr:y>
    </cdr:to>
    <cdr:sp macro="" textlink="">
      <cdr:nvSpPr>
        <cdr:cNvPr id="4" name="Caixa de texto 3"/>
        <cdr:cNvSpPr txBox="1"/>
      </cdr:nvSpPr>
      <cdr:spPr>
        <a:xfrm xmlns:a="http://schemas.openxmlformats.org/drawingml/2006/main">
          <a:off x="4347713" y="370935"/>
          <a:ext cx="931653" cy="23291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>
              <a:latin typeface="Times New Roman" panose="02020603050405020304" pitchFamily="18" charset="0"/>
              <a:cs typeface="Times New Roman" panose="02020603050405020304" pitchFamily="18" charset="0"/>
            </a:rPr>
            <a:t>nº árv.ha</a:t>
          </a:r>
          <a:r>
            <a:rPr lang="pt-BR" sz="1100" baseline="30000">
              <a:latin typeface="Times New Roman" panose="02020603050405020304" pitchFamily="18" charset="0"/>
              <a:cs typeface="Times New Roman" panose="02020603050405020304" pitchFamily="18" charset="0"/>
            </a:rPr>
            <a:t>-1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7C03-D917-4ABD-889F-2AA2F41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2937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Mario Lima</cp:lastModifiedBy>
  <cp:revision>18</cp:revision>
  <cp:lastPrinted>2015-06-04T18:07:00Z</cp:lastPrinted>
  <dcterms:created xsi:type="dcterms:W3CDTF">2018-10-25T01:44:00Z</dcterms:created>
  <dcterms:modified xsi:type="dcterms:W3CDTF">2018-10-31T16:02:00Z</dcterms:modified>
</cp:coreProperties>
</file>