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22378" w14:textId="33A50865" w:rsidR="00150E4C" w:rsidRPr="00364F8A" w:rsidRDefault="00150E4C" w:rsidP="007F653F">
      <w:pPr>
        <w:spacing w:after="0" w:line="360" w:lineRule="auto"/>
        <w:ind w:firstLine="851"/>
        <w:jc w:val="both"/>
        <w:rPr>
          <w:rFonts w:ascii="Candara" w:eastAsia="Candara" w:hAnsi="Candara" w:cs="Candara"/>
          <w:sz w:val="36"/>
          <w:szCs w:val="36"/>
        </w:rPr>
      </w:pPr>
      <w:r w:rsidRPr="00364F8A">
        <w:rPr>
          <w:rFonts w:ascii="Candara" w:eastAsia="Candara" w:hAnsi="Candara" w:cs="Candara"/>
          <w:sz w:val="36"/>
          <w:szCs w:val="36"/>
        </w:rPr>
        <w:t xml:space="preserve">Rede urbana do </w:t>
      </w:r>
      <w:r w:rsidR="005A56BB" w:rsidRPr="00364F8A">
        <w:rPr>
          <w:rFonts w:ascii="Candara" w:eastAsia="Candara" w:hAnsi="Candara" w:cs="Candara"/>
          <w:sz w:val="36"/>
          <w:szCs w:val="36"/>
        </w:rPr>
        <w:t>Semiárido Nordestino</w:t>
      </w:r>
      <w:r w:rsidRPr="00364F8A">
        <w:rPr>
          <w:rFonts w:ascii="Candara" w:eastAsia="Candara" w:hAnsi="Candara" w:cs="Candara"/>
          <w:sz w:val="36"/>
          <w:szCs w:val="36"/>
        </w:rPr>
        <w:t xml:space="preserve"> no século XXI</w:t>
      </w:r>
      <w:r w:rsidR="00BE1F52" w:rsidRPr="00364F8A">
        <w:rPr>
          <w:rStyle w:val="Refdenotaderodap"/>
          <w:rFonts w:ascii="Candara" w:eastAsia="Candara" w:hAnsi="Candara" w:cs="Candara"/>
          <w:sz w:val="36"/>
          <w:szCs w:val="36"/>
        </w:rPr>
        <w:footnoteReference w:id="1"/>
      </w:r>
    </w:p>
    <w:p w14:paraId="7CB77580" w14:textId="77777777" w:rsidR="00150E4C" w:rsidRPr="00364F8A" w:rsidRDefault="00150E4C" w:rsidP="00150E4C">
      <w:pPr>
        <w:spacing w:after="0" w:line="240" w:lineRule="auto"/>
        <w:ind w:left="175" w:right="37"/>
        <w:jc w:val="right"/>
        <w:rPr>
          <w:rFonts w:ascii="Candara" w:eastAsia="Candara" w:hAnsi="Candara" w:cs="Candara"/>
          <w:b/>
        </w:rPr>
      </w:pPr>
      <w:r w:rsidRPr="00364F8A">
        <w:rPr>
          <w:rFonts w:ascii="Candara" w:eastAsia="Candara" w:hAnsi="Candara" w:cs="Candara"/>
          <w:b/>
        </w:rPr>
        <w:t>Carlos Eduardo Pereira do Nascimento</w:t>
      </w:r>
      <w:r w:rsidRPr="00364F8A">
        <w:rPr>
          <w:rFonts w:ascii="Candara" w:eastAsia="Candara" w:hAnsi="Candara" w:cs="Candara"/>
          <w:b/>
          <w:vertAlign w:val="superscript"/>
        </w:rPr>
        <w:footnoteReference w:id="2"/>
      </w:r>
    </w:p>
    <w:p w14:paraId="2523B792" w14:textId="77777777" w:rsidR="00150E4C" w:rsidRPr="00364F8A" w:rsidRDefault="00150E4C" w:rsidP="00150E4C">
      <w:pPr>
        <w:spacing w:after="0" w:line="240" w:lineRule="auto"/>
        <w:ind w:left="175" w:right="37"/>
        <w:jc w:val="right"/>
        <w:rPr>
          <w:rFonts w:ascii="Candara" w:eastAsia="Candara" w:hAnsi="Candara" w:cs="Candara"/>
          <w:b/>
        </w:rPr>
      </w:pPr>
      <w:r w:rsidRPr="00364F8A">
        <w:rPr>
          <w:rFonts w:ascii="Candara" w:eastAsia="Candara" w:hAnsi="Candara" w:cs="Candara"/>
          <w:b/>
        </w:rPr>
        <w:t>Fernando Cezar de Macedo Mota</w:t>
      </w:r>
      <w:r w:rsidRPr="00364F8A">
        <w:rPr>
          <w:rFonts w:ascii="Candara" w:eastAsia="Candara" w:hAnsi="Candara" w:cs="Candara"/>
          <w:b/>
          <w:vertAlign w:val="superscript"/>
        </w:rPr>
        <w:footnoteReference w:id="3"/>
      </w:r>
    </w:p>
    <w:p w14:paraId="0CCD2F69" w14:textId="77777777" w:rsidR="00150E4C" w:rsidRDefault="00150E4C" w:rsidP="000C668E">
      <w:pPr>
        <w:spacing w:after="120" w:line="240" w:lineRule="auto"/>
        <w:jc w:val="both"/>
        <w:rPr>
          <w:rFonts w:ascii="Candara" w:eastAsia="Candara" w:hAnsi="Candara" w:cs="Candara"/>
          <w:b/>
        </w:rPr>
      </w:pPr>
    </w:p>
    <w:p w14:paraId="67A63D9E" w14:textId="77777777" w:rsidR="005E3456" w:rsidRPr="00364F8A" w:rsidRDefault="005E3456" w:rsidP="000C668E">
      <w:pPr>
        <w:spacing w:after="120" w:line="240" w:lineRule="auto"/>
        <w:jc w:val="both"/>
        <w:rPr>
          <w:rFonts w:ascii="Candara" w:eastAsia="Candara" w:hAnsi="Candara" w:cs="Candara"/>
          <w:b/>
        </w:rPr>
      </w:pPr>
    </w:p>
    <w:p w14:paraId="7F18410A" w14:textId="339EC4C2" w:rsidR="00150E4C" w:rsidRPr="00917807" w:rsidRDefault="00150E4C" w:rsidP="00917807">
      <w:pPr>
        <w:spacing w:after="120" w:line="240" w:lineRule="auto"/>
        <w:jc w:val="both"/>
        <w:rPr>
          <w:rFonts w:ascii="Candara" w:eastAsia="Candara" w:hAnsi="Candara" w:cs="Candara"/>
          <w:b/>
          <w:bCs/>
        </w:rPr>
      </w:pPr>
      <w:r w:rsidRPr="00364F8A">
        <w:rPr>
          <w:rFonts w:ascii="Candara" w:eastAsia="Candara" w:hAnsi="Candara" w:cs="Candara"/>
          <w:b/>
        </w:rPr>
        <w:t>Resumo</w:t>
      </w:r>
      <w:r w:rsidR="00917807">
        <w:rPr>
          <w:rFonts w:ascii="Candara" w:eastAsia="Candara" w:hAnsi="Candara" w:cs="Candara"/>
          <w:b/>
        </w:rPr>
        <w:t xml:space="preserve">: </w:t>
      </w:r>
      <w:bookmarkStart w:id="0" w:name="_Hlk175827636"/>
      <w:r w:rsidRPr="00364F8A">
        <w:rPr>
          <w:rFonts w:ascii="Candara" w:eastAsia="Candara" w:hAnsi="Candara" w:cs="Candara"/>
        </w:rPr>
        <w:t xml:space="preserve">O objetivo desta pesquisa é analisar a dinâmica urbano-regional do </w:t>
      </w:r>
      <w:r w:rsidR="005A56BB" w:rsidRPr="00364F8A">
        <w:rPr>
          <w:rFonts w:ascii="Candara" w:eastAsia="Candara" w:hAnsi="Candara" w:cs="Candara"/>
        </w:rPr>
        <w:t>Semiárido Nordestino</w:t>
      </w:r>
      <w:r w:rsidRPr="00364F8A">
        <w:rPr>
          <w:rFonts w:ascii="Candara" w:eastAsia="Candara" w:hAnsi="Candara" w:cs="Candara"/>
        </w:rPr>
        <w:t xml:space="preserve"> no século XXI, enfatizando os processos que acentuaram as relações multiescalares e permitiram o surgimento de cidades no interior, revelando espaços não metropolitanos de importância regional, pautada numa rede de cidades mais organizada e complexa. A pesquisa é de cunho bibliográfico, com o método exploratório</w:t>
      </w:r>
      <w:r w:rsidR="00AD6DA9" w:rsidRPr="00364F8A">
        <w:rPr>
          <w:rFonts w:ascii="Candara" w:eastAsia="Candara" w:hAnsi="Candara" w:cs="Candara"/>
        </w:rPr>
        <w:t xml:space="preserve"> e descritivo</w:t>
      </w:r>
      <w:r w:rsidRPr="00364F8A">
        <w:rPr>
          <w:rFonts w:ascii="Candara" w:eastAsia="Candara" w:hAnsi="Candara" w:cs="Candara"/>
        </w:rPr>
        <w:t xml:space="preserve">. Ainda que mais dinâmica e complexa, a rede urbana do </w:t>
      </w:r>
      <w:r w:rsidR="005A56BB" w:rsidRPr="00364F8A">
        <w:rPr>
          <w:rFonts w:ascii="Candara" w:eastAsia="Candara" w:hAnsi="Candara" w:cs="Candara"/>
        </w:rPr>
        <w:t>Semiárido Nordestino</w:t>
      </w:r>
      <w:r w:rsidRPr="00364F8A">
        <w:rPr>
          <w:rFonts w:ascii="Candara" w:eastAsia="Candara" w:hAnsi="Candara" w:cs="Candara"/>
        </w:rPr>
        <w:t xml:space="preserve"> no século XXI revelou um cenário de cidades médias e pequenas assumindo papeis de destaque na dinâmica regional. A despeito disso, a incipiente articulação intrarregional e a dependência de políticas públicas centralizadas destacam a necessidade de fortalecer a cooperação e a complementação produtiva entre os entes federativos, o que limita o potencial de desenvolvimento regional. Nesse sentido, a PNDR e os FCF se mostram fundamentais</w:t>
      </w:r>
      <w:r w:rsidR="00AD6DA9" w:rsidRPr="00364F8A">
        <w:rPr>
          <w:rFonts w:ascii="Candara" w:eastAsia="Candara" w:hAnsi="Candara" w:cs="Candara"/>
        </w:rPr>
        <w:t xml:space="preserve">, </w:t>
      </w:r>
      <w:r w:rsidRPr="00364F8A">
        <w:rPr>
          <w:rFonts w:ascii="Candara" w:eastAsia="Candara" w:hAnsi="Candara" w:cs="Candara"/>
        </w:rPr>
        <w:t>capaz</w:t>
      </w:r>
      <w:r w:rsidR="00AD6DA9" w:rsidRPr="00364F8A">
        <w:rPr>
          <w:rFonts w:ascii="Candara" w:eastAsia="Candara" w:hAnsi="Candara" w:cs="Candara"/>
        </w:rPr>
        <w:t>es</w:t>
      </w:r>
      <w:r w:rsidRPr="00364F8A">
        <w:rPr>
          <w:rFonts w:ascii="Candara" w:eastAsia="Candara" w:hAnsi="Candara" w:cs="Candara"/>
        </w:rPr>
        <w:t xml:space="preserve"> de articular ações locais, regionais e nacionais entre os diversos territórios.</w:t>
      </w:r>
    </w:p>
    <w:bookmarkEnd w:id="0"/>
    <w:p w14:paraId="456A6579" w14:textId="46FF26B8" w:rsidR="00150E4C" w:rsidRPr="00364F8A" w:rsidRDefault="00150E4C" w:rsidP="00917807">
      <w:pPr>
        <w:tabs>
          <w:tab w:val="left" w:pos="2385"/>
        </w:tabs>
        <w:spacing w:after="120" w:line="240" w:lineRule="auto"/>
        <w:jc w:val="both"/>
        <w:rPr>
          <w:rFonts w:ascii="Candara" w:eastAsia="Candara" w:hAnsi="Candara" w:cs="Candara"/>
        </w:rPr>
      </w:pPr>
      <w:r w:rsidRPr="00364F8A">
        <w:rPr>
          <w:rFonts w:ascii="Candara" w:eastAsia="Candara" w:hAnsi="Candara" w:cs="Candara"/>
          <w:b/>
        </w:rPr>
        <w:t>Palavras-chave:</w:t>
      </w:r>
      <w:r w:rsidRPr="00364F8A">
        <w:rPr>
          <w:rFonts w:ascii="Candara" w:eastAsia="Candara" w:hAnsi="Candara" w:cs="Candara"/>
        </w:rPr>
        <w:t xml:space="preserve"> Rede urbana. </w:t>
      </w:r>
      <w:r w:rsidR="005A56BB" w:rsidRPr="00364F8A">
        <w:rPr>
          <w:rFonts w:ascii="Candara" w:eastAsia="Candara" w:hAnsi="Candara" w:cs="Candara"/>
        </w:rPr>
        <w:t>Semiárido Nordestino</w:t>
      </w:r>
      <w:r w:rsidRPr="00364F8A">
        <w:rPr>
          <w:rFonts w:ascii="Candara" w:eastAsia="Candara" w:hAnsi="Candara" w:cs="Candara"/>
        </w:rPr>
        <w:t xml:space="preserve">. Cidades. Desenvolvimento regional. Desconcentração produtiva. </w:t>
      </w:r>
    </w:p>
    <w:p w14:paraId="1DC3BD5C" w14:textId="77777777" w:rsidR="00150E4C" w:rsidRDefault="00150E4C" w:rsidP="00150E4C">
      <w:pPr>
        <w:spacing w:after="120" w:line="240" w:lineRule="auto"/>
        <w:ind w:firstLine="851"/>
        <w:jc w:val="both"/>
        <w:rPr>
          <w:rFonts w:ascii="Candara" w:eastAsia="Candara" w:hAnsi="Candara" w:cs="Candara"/>
        </w:rPr>
      </w:pPr>
    </w:p>
    <w:p w14:paraId="2A11339F" w14:textId="77777777" w:rsidR="00917807" w:rsidRPr="00917807" w:rsidRDefault="00917807" w:rsidP="00150E4C">
      <w:pPr>
        <w:spacing w:after="120" w:line="240" w:lineRule="auto"/>
        <w:ind w:firstLine="851"/>
        <w:jc w:val="both"/>
        <w:rPr>
          <w:rFonts w:ascii="Candara" w:eastAsia="Candara" w:hAnsi="Candara" w:cs="Candara"/>
        </w:rPr>
      </w:pPr>
    </w:p>
    <w:p w14:paraId="79442332" w14:textId="77777777" w:rsidR="00150E4C" w:rsidRPr="00364F8A" w:rsidRDefault="00150E4C" w:rsidP="00917807">
      <w:pPr>
        <w:spacing w:after="0" w:line="360" w:lineRule="auto"/>
        <w:ind w:firstLine="851"/>
        <w:jc w:val="both"/>
        <w:rPr>
          <w:rFonts w:ascii="Candara" w:eastAsia="Candara" w:hAnsi="Candara" w:cs="Candara"/>
          <w:sz w:val="36"/>
          <w:szCs w:val="36"/>
          <w:lang w:val="en-US"/>
        </w:rPr>
      </w:pPr>
      <w:r w:rsidRPr="00364F8A">
        <w:rPr>
          <w:rFonts w:ascii="Candara" w:eastAsia="Candara" w:hAnsi="Candara" w:cs="Candara"/>
          <w:sz w:val="36"/>
          <w:szCs w:val="36"/>
          <w:lang w:val="en-US"/>
        </w:rPr>
        <w:lastRenderedPageBreak/>
        <w:t>Urban network of the Northeastern Semi-arid region in the 21st century</w:t>
      </w:r>
    </w:p>
    <w:p w14:paraId="46073EE2" w14:textId="77777777" w:rsidR="00150E4C" w:rsidRPr="00364F8A" w:rsidRDefault="00150E4C" w:rsidP="00150E4C">
      <w:pPr>
        <w:spacing w:after="0" w:line="240" w:lineRule="auto"/>
        <w:ind w:left="567"/>
        <w:jc w:val="both"/>
        <w:rPr>
          <w:rFonts w:ascii="Candara" w:eastAsia="Candara" w:hAnsi="Candara" w:cs="Candara"/>
          <w:b/>
          <w:lang w:val="en-US"/>
        </w:rPr>
      </w:pPr>
    </w:p>
    <w:p w14:paraId="39E553F8" w14:textId="0DE211F3" w:rsidR="00150E4C" w:rsidRPr="00364F8A" w:rsidRDefault="00150E4C" w:rsidP="00917807">
      <w:pPr>
        <w:spacing w:after="120" w:line="240" w:lineRule="auto"/>
        <w:jc w:val="both"/>
        <w:rPr>
          <w:rFonts w:ascii="Candara" w:eastAsia="Candara" w:hAnsi="Candara" w:cs="Candara"/>
          <w:lang w:val="en-US"/>
        </w:rPr>
      </w:pPr>
      <w:r w:rsidRPr="00364F8A">
        <w:rPr>
          <w:rFonts w:ascii="Candara" w:eastAsia="Candara" w:hAnsi="Candara" w:cs="Candara"/>
          <w:b/>
          <w:lang w:val="en-US"/>
        </w:rPr>
        <w:t>Abstract</w:t>
      </w:r>
      <w:r w:rsidR="00917807">
        <w:rPr>
          <w:rFonts w:ascii="Candara" w:eastAsia="Candara" w:hAnsi="Candara" w:cs="Candara"/>
          <w:b/>
          <w:lang w:val="en-US"/>
        </w:rPr>
        <w:t xml:space="preserve">: </w:t>
      </w:r>
      <w:r w:rsidR="00AD6DA9" w:rsidRPr="00364F8A">
        <w:rPr>
          <w:rFonts w:ascii="Candara" w:eastAsia="Candara" w:hAnsi="Candara" w:cs="Candara"/>
          <w:lang w:val="en-US"/>
        </w:rPr>
        <w:t>The objective of this research is to analyze the urban-regional dynamics of the Northeastern Semi-Arid region in the 21st century, emphasizing the processes that have accentuated multiscale relationships and allowed the emergence of cities in the interior, revealing non-metropolitan spaces of regional importance, based on a more organized and complex network of cities. The research is bibliographic in nature, with an exploratory and descriptive method. Although more dynamic and complex, the urban network of the Northeastern Semi-Arid region in the 21st century has revealed a scenario in which medium and small cities are taking on prominent roles in the regional dynamics. Despite this, the incipient intraregional articulation and dependence on centralized public policies highlight the need to strengthen cooperation and productive complementation among federal entities, which limits the potential for regional development. In this sense, the PNDR (National Policy for Regional Development) and the FCF (Constitutional Financing Funds) are fundamental, capable of articulating local, regional, and national actions across various territories.</w:t>
      </w:r>
    </w:p>
    <w:p w14:paraId="191D24C2" w14:textId="233F41AD" w:rsidR="00150E4C" w:rsidRPr="00364F8A" w:rsidRDefault="00150E4C" w:rsidP="00917807">
      <w:pPr>
        <w:spacing w:after="120" w:line="240" w:lineRule="auto"/>
        <w:jc w:val="both"/>
        <w:rPr>
          <w:rFonts w:ascii="Candara" w:eastAsia="Candara" w:hAnsi="Candara" w:cs="Candara"/>
          <w:lang w:val="en-US"/>
        </w:rPr>
      </w:pPr>
      <w:r w:rsidRPr="00364F8A">
        <w:rPr>
          <w:rFonts w:ascii="Candara" w:eastAsia="Candara" w:hAnsi="Candara" w:cs="Candara"/>
          <w:b/>
          <w:lang w:val="en-US"/>
        </w:rPr>
        <w:t>Keywords:</w:t>
      </w:r>
      <w:r w:rsidRPr="00364F8A">
        <w:rPr>
          <w:rFonts w:ascii="Candara" w:eastAsia="Candara" w:hAnsi="Candara" w:cs="Candara"/>
          <w:lang w:val="en-US"/>
        </w:rPr>
        <w:t xml:space="preserve"> Urban network. Northeastern Semi-Arid. Cities. Regional development. Productive deconcentration.</w:t>
      </w:r>
    </w:p>
    <w:p w14:paraId="27936779" w14:textId="77777777" w:rsidR="00917807" w:rsidRPr="00917807" w:rsidRDefault="00917807" w:rsidP="00150E4C">
      <w:pPr>
        <w:jc w:val="both"/>
        <w:rPr>
          <w:rFonts w:ascii="Candara" w:eastAsia="Candara" w:hAnsi="Candara" w:cs="Candara"/>
          <w:lang w:val="en-US"/>
        </w:rPr>
      </w:pPr>
    </w:p>
    <w:p w14:paraId="453C29DD" w14:textId="77777777" w:rsidR="00150E4C" w:rsidRPr="00364F8A" w:rsidRDefault="00150E4C" w:rsidP="00150E4C">
      <w:pPr>
        <w:spacing w:after="120" w:line="360" w:lineRule="auto"/>
        <w:ind w:firstLine="851"/>
        <w:jc w:val="both"/>
        <w:rPr>
          <w:rFonts w:ascii="Candara" w:eastAsia="Candara" w:hAnsi="Candara" w:cs="Candara"/>
          <w:sz w:val="28"/>
          <w:szCs w:val="28"/>
        </w:rPr>
      </w:pPr>
      <w:r w:rsidRPr="00364F8A">
        <w:rPr>
          <w:rFonts w:ascii="Candara" w:eastAsia="Candara" w:hAnsi="Candara" w:cs="Candara"/>
          <w:sz w:val="28"/>
          <w:szCs w:val="28"/>
        </w:rPr>
        <w:t>1 Introdução</w:t>
      </w:r>
    </w:p>
    <w:p w14:paraId="301ED615" w14:textId="5BEB8C29" w:rsidR="00150E4C" w:rsidRPr="00364F8A" w:rsidRDefault="00150E4C" w:rsidP="001828C2">
      <w:pPr>
        <w:spacing w:after="120" w:line="360" w:lineRule="auto"/>
        <w:ind w:firstLine="851"/>
        <w:jc w:val="both"/>
        <w:rPr>
          <w:rFonts w:ascii="Candara" w:eastAsia="Candara" w:hAnsi="Candara" w:cs="Candara"/>
          <w:sz w:val="24"/>
          <w:szCs w:val="24"/>
        </w:rPr>
      </w:pPr>
      <w:bookmarkStart w:id="1" w:name="_Hlk162460292"/>
      <w:r w:rsidRPr="00364F8A">
        <w:rPr>
          <w:rFonts w:ascii="Candara" w:eastAsia="Candara" w:hAnsi="Candara" w:cs="Candara"/>
          <w:sz w:val="24"/>
          <w:szCs w:val="24"/>
        </w:rPr>
        <w:t xml:space="preserve">A região semiárida brasileira, marcada por suas características climáticas peculiares e desafios socioeconômicos, tem sido objeto de estudo e debate ao longo das últimas décadas. Essa área antes conhecida como Polígono das Secas tem sido alvo de políticas públicas e esforços de desenvolvimento regional. </w:t>
      </w:r>
      <w:r w:rsidR="007B7D73" w:rsidRPr="00364F8A">
        <w:rPr>
          <w:rFonts w:ascii="Candara" w:eastAsia="Candara" w:hAnsi="Candara" w:cs="Candara"/>
          <w:sz w:val="24"/>
          <w:szCs w:val="24"/>
        </w:rPr>
        <w:t>E</w:t>
      </w:r>
      <w:r w:rsidRPr="00364F8A">
        <w:rPr>
          <w:rFonts w:ascii="Candara" w:eastAsia="Candara" w:hAnsi="Candara" w:cs="Candara"/>
          <w:sz w:val="24"/>
          <w:szCs w:val="24"/>
        </w:rPr>
        <w:t xml:space="preserve">ste artigo busca traçar um panorama abrangente do </w:t>
      </w:r>
      <w:r w:rsidR="00264BD4" w:rsidRPr="00364F8A">
        <w:rPr>
          <w:rFonts w:ascii="Candara" w:eastAsia="Candara" w:hAnsi="Candara" w:cs="Candara"/>
          <w:sz w:val="24"/>
          <w:szCs w:val="24"/>
        </w:rPr>
        <w:t>Semiárido Brasileiro</w:t>
      </w:r>
      <w:r w:rsidRPr="00364F8A">
        <w:rPr>
          <w:rFonts w:ascii="Candara" w:eastAsia="Candara" w:hAnsi="Candara" w:cs="Candara"/>
          <w:sz w:val="24"/>
          <w:szCs w:val="24"/>
        </w:rPr>
        <w:t>, desde sua constituição até os desafios enfrentados no século XXI, com foco especial na sua rede urbana.</w:t>
      </w:r>
    </w:p>
    <w:p w14:paraId="2A07B275" w14:textId="77777777" w:rsidR="00150E4C" w:rsidRPr="00364F8A" w:rsidRDefault="00150E4C" w:rsidP="001828C2">
      <w:pPr>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Ao longo dos anos, a região semiárida tem passado por transformações significativas, tanto em sua configuração geográfica quanto em sua dinâmica </w:t>
      </w:r>
      <w:r w:rsidRPr="00364F8A">
        <w:rPr>
          <w:rFonts w:ascii="Candara" w:eastAsia="Candara" w:hAnsi="Candara" w:cs="Candara"/>
          <w:sz w:val="24"/>
          <w:szCs w:val="24"/>
        </w:rPr>
        <w:lastRenderedPageBreak/>
        <w:t>socioeconômica. A região abrange uma extensa área que se estende por múltiplos estados brasileiros.</w:t>
      </w:r>
    </w:p>
    <w:p w14:paraId="0455E948" w14:textId="6F190A90" w:rsidR="00150E4C" w:rsidRPr="00364F8A" w:rsidRDefault="00150E4C" w:rsidP="001828C2">
      <w:pPr>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Além da sua constituição geográfica, é crucial analisar a evolução da rede urbana do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especialmente no contexto das transformações econômicas e políticas que marcaram o Brasil desde o final do século XX. A desconcentração produtiva, as políticas de desen</w:t>
      </w:r>
      <w:bookmarkEnd w:id="1"/>
      <w:r w:rsidRPr="00364F8A">
        <w:rPr>
          <w:rFonts w:ascii="Candara" w:eastAsia="Candara" w:hAnsi="Candara" w:cs="Candara"/>
          <w:sz w:val="24"/>
          <w:szCs w:val="24"/>
        </w:rPr>
        <w:t>volvimento regional e os impactos do neoliberalismo têm influenciado diretamente a configuração e o papel das cidades nessa região.</w:t>
      </w:r>
    </w:p>
    <w:p w14:paraId="6EE31A2A" w14:textId="720FD58B" w:rsidR="00150E4C" w:rsidRPr="00364F8A" w:rsidRDefault="00150E4C" w:rsidP="001828C2">
      <w:pPr>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Diante disso, </w:t>
      </w:r>
      <w:bookmarkStart w:id="2" w:name="_Hlk162460737"/>
      <w:r w:rsidRPr="00364F8A">
        <w:rPr>
          <w:rFonts w:ascii="Candara" w:eastAsia="Candara" w:hAnsi="Candara" w:cs="Candara"/>
          <w:sz w:val="24"/>
          <w:szCs w:val="24"/>
        </w:rPr>
        <w:t xml:space="preserve">o objetivo é analisar a dinâmica urbano-regional do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xml:space="preserve"> no século XXI, enfatizando os processos que desde a década de 1980 acentuaram as relações multiescalares e permitiram o surgimento de cidades no interior, revelando espaços não metropolitanos de importância regional, pautada numa rede de cidades mais organizada e complexa. </w:t>
      </w:r>
      <w:bookmarkStart w:id="3" w:name="_Hlk162461980"/>
      <w:r w:rsidRPr="00364F8A">
        <w:rPr>
          <w:rFonts w:ascii="Candara" w:eastAsia="Candara" w:hAnsi="Candara" w:cs="Candara"/>
          <w:sz w:val="24"/>
          <w:szCs w:val="24"/>
        </w:rPr>
        <w:t>A pesquisa é de cunho bibliográfico, com o método exploratório</w:t>
      </w:r>
      <w:r w:rsidR="007B7D73" w:rsidRPr="00364F8A">
        <w:rPr>
          <w:rFonts w:ascii="Candara" w:eastAsia="Candara" w:hAnsi="Candara" w:cs="Candara"/>
          <w:sz w:val="24"/>
          <w:szCs w:val="24"/>
        </w:rPr>
        <w:t xml:space="preserve"> e descritivo</w:t>
      </w:r>
      <w:r w:rsidRPr="00364F8A">
        <w:rPr>
          <w:rFonts w:ascii="Candara" w:eastAsia="Candara" w:hAnsi="Candara" w:cs="Candara"/>
          <w:sz w:val="24"/>
          <w:szCs w:val="24"/>
        </w:rPr>
        <w:t xml:space="preserve">, tendo como temas-chave a rede urbana, questão urbana e regional,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xml:space="preserve">, entre outros. Faz uso de </w:t>
      </w:r>
      <w:r w:rsidR="007B7D73" w:rsidRPr="00364F8A">
        <w:rPr>
          <w:rFonts w:ascii="Candara" w:eastAsia="Candara" w:hAnsi="Candara" w:cs="Candara"/>
          <w:sz w:val="24"/>
          <w:szCs w:val="24"/>
        </w:rPr>
        <w:t>quatro variáveis</w:t>
      </w:r>
      <w:r w:rsidR="00016C2F" w:rsidRPr="00364F8A">
        <w:rPr>
          <w:rFonts w:ascii="Candara" w:eastAsia="Candara" w:hAnsi="Candara" w:cs="Candara"/>
          <w:sz w:val="24"/>
          <w:szCs w:val="24"/>
        </w:rPr>
        <w:t>:</w:t>
      </w:r>
      <w:r w:rsidRPr="00364F8A">
        <w:rPr>
          <w:rFonts w:ascii="Candara" w:eastAsia="Candara" w:hAnsi="Candara" w:cs="Candara"/>
          <w:sz w:val="24"/>
          <w:szCs w:val="24"/>
        </w:rPr>
        <w:t xml:space="preserve"> </w:t>
      </w:r>
      <w:r w:rsidR="007B7D73" w:rsidRPr="00364F8A">
        <w:rPr>
          <w:rFonts w:ascii="Candara" w:eastAsia="Candara" w:hAnsi="Candara" w:cs="Candara"/>
          <w:sz w:val="24"/>
          <w:szCs w:val="24"/>
        </w:rPr>
        <w:t xml:space="preserve">questão demográfica, </w:t>
      </w:r>
      <w:r w:rsidRPr="00364F8A">
        <w:rPr>
          <w:rFonts w:ascii="Candara" w:eastAsia="Candara" w:hAnsi="Candara" w:cs="Candara"/>
          <w:sz w:val="24"/>
          <w:szCs w:val="24"/>
        </w:rPr>
        <w:t>Produto Interno Bruto (PIB)</w:t>
      </w:r>
      <w:r w:rsidR="007B7D73" w:rsidRPr="00364F8A">
        <w:rPr>
          <w:rFonts w:ascii="Candara" w:eastAsia="Candara" w:hAnsi="Candara" w:cs="Candara"/>
          <w:sz w:val="24"/>
          <w:szCs w:val="24"/>
        </w:rPr>
        <w:t xml:space="preserve">, mercado de trabalho formal e o Fundo Constitucional de Financiamento do Nordeste (FNE) </w:t>
      </w:r>
      <w:r w:rsidRPr="00364F8A">
        <w:rPr>
          <w:rFonts w:ascii="Candara" w:eastAsia="Candara" w:hAnsi="Candara" w:cs="Candara"/>
          <w:sz w:val="24"/>
          <w:szCs w:val="24"/>
        </w:rPr>
        <w:t>para analisar a rede urbana semiárida do Nordeste para os anos do século XXI</w:t>
      </w:r>
      <w:r w:rsidR="007B7D73" w:rsidRPr="00364F8A">
        <w:rPr>
          <w:rFonts w:ascii="Candara" w:eastAsia="Candara" w:hAnsi="Candara" w:cs="Candara"/>
          <w:sz w:val="24"/>
          <w:szCs w:val="24"/>
        </w:rPr>
        <w:t xml:space="preserve"> (2000/19)</w:t>
      </w:r>
      <w:r w:rsidRPr="00364F8A">
        <w:rPr>
          <w:rFonts w:ascii="Candara" w:eastAsia="Candara" w:hAnsi="Candara" w:cs="Candara"/>
          <w:sz w:val="24"/>
          <w:szCs w:val="24"/>
        </w:rPr>
        <w:t>.</w:t>
      </w:r>
      <w:bookmarkEnd w:id="3"/>
    </w:p>
    <w:bookmarkEnd w:id="2"/>
    <w:p w14:paraId="196FA124" w14:textId="6AC51A6B" w:rsidR="00150E4C" w:rsidRPr="00364F8A" w:rsidRDefault="00150E4C" w:rsidP="001828C2">
      <w:pPr>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Tem como hipótese norteadora que a dinâmica urbano-regional no Brasil pós-1980 adveio das novas determinações espaciais do processo de urbanização, sobretudo pela constituição de novos arranjos urbanos não metropolitanos de importância regional. No Nordeste, tais arranjos, de um lado, se manifestam pela primeira vez, diante das transformações na hierarquia urbana e regional e, por outro, </w:t>
      </w:r>
      <w:r w:rsidRPr="00364F8A">
        <w:rPr>
          <w:rFonts w:ascii="Candara" w:eastAsia="Candara" w:hAnsi="Candara" w:cs="Candara"/>
          <w:sz w:val="24"/>
          <w:szCs w:val="24"/>
        </w:rPr>
        <w:lastRenderedPageBreak/>
        <w:t xml:space="preserve">são reforçados pelo setor de Serviços. A ascensão de algumas cidades, sobretudo as ‘médias’, contribuiu para a melhoria dos indicadores do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sobretudo econômicos.</w:t>
      </w:r>
    </w:p>
    <w:p w14:paraId="6A859A7F" w14:textId="7F9B1F9D" w:rsidR="00150E4C" w:rsidRPr="00364F8A" w:rsidRDefault="00150E4C" w:rsidP="001828C2">
      <w:pPr>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A estrutura do trabalho, além da introdução e das considerações finais, está dividida em três seções: a primeira traz breves considerações sobre constituição e caracterização da região semiárida do Nordeste; a segunda trata da questão urbano-regional do Brasil pós-1980; e, por fim, a terceira versa sobre a análise da rede urbana do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xml:space="preserve"> no século XXI.</w:t>
      </w:r>
    </w:p>
    <w:p w14:paraId="2284F1B9" w14:textId="77777777" w:rsidR="00150E4C" w:rsidRPr="00364F8A" w:rsidRDefault="00150E4C" w:rsidP="001828C2">
      <w:pPr>
        <w:spacing w:after="120" w:line="360" w:lineRule="auto"/>
        <w:ind w:firstLine="851"/>
        <w:jc w:val="both"/>
        <w:rPr>
          <w:rFonts w:ascii="Candara" w:eastAsia="Candara" w:hAnsi="Candara" w:cs="Candara"/>
          <w:sz w:val="24"/>
          <w:szCs w:val="24"/>
        </w:rPr>
      </w:pPr>
    </w:p>
    <w:p w14:paraId="172CA40F" w14:textId="77777777" w:rsidR="005B4981" w:rsidRPr="00364F8A" w:rsidRDefault="00150E4C" w:rsidP="005B4981">
      <w:pPr>
        <w:spacing w:after="120" w:line="360" w:lineRule="auto"/>
        <w:ind w:firstLine="851"/>
        <w:jc w:val="both"/>
        <w:rPr>
          <w:rFonts w:ascii="Candara" w:eastAsia="Candara" w:hAnsi="Candara" w:cs="Candara"/>
          <w:sz w:val="28"/>
          <w:szCs w:val="28"/>
        </w:rPr>
      </w:pPr>
      <w:r w:rsidRPr="00364F8A">
        <w:rPr>
          <w:rFonts w:ascii="Candara" w:eastAsia="Candara" w:hAnsi="Candara" w:cs="Candara"/>
          <w:sz w:val="28"/>
          <w:szCs w:val="28"/>
        </w:rPr>
        <w:t xml:space="preserve">2 Breves considerações sobre o </w:t>
      </w:r>
      <w:r w:rsidR="001828C2" w:rsidRPr="00364F8A">
        <w:rPr>
          <w:rFonts w:ascii="Candara" w:eastAsia="Candara" w:hAnsi="Candara" w:cs="Candara"/>
          <w:sz w:val="28"/>
          <w:szCs w:val="28"/>
        </w:rPr>
        <w:t>S</w:t>
      </w:r>
      <w:r w:rsidRPr="00364F8A">
        <w:rPr>
          <w:rFonts w:ascii="Candara" w:eastAsia="Candara" w:hAnsi="Candara" w:cs="Candara"/>
          <w:sz w:val="28"/>
          <w:szCs w:val="28"/>
        </w:rPr>
        <w:t>emiárido: constituição e caracterização</w:t>
      </w:r>
    </w:p>
    <w:p w14:paraId="0D56C4C2" w14:textId="2510066E" w:rsidR="00150E4C" w:rsidRPr="00364F8A" w:rsidRDefault="00150E4C" w:rsidP="00150E4C">
      <w:pPr>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O </w:t>
      </w:r>
      <w:r w:rsidR="00264BD4" w:rsidRPr="00364F8A">
        <w:rPr>
          <w:rFonts w:ascii="Candara" w:eastAsia="Candara" w:hAnsi="Candara" w:cs="Candara"/>
          <w:sz w:val="24"/>
          <w:szCs w:val="24"/>
        </w:rPr>
        <w:t>Semiárido Brasileiro</w:t>
      </w:r>
      <w:r w:rsidRPr="00364F8A">
        <w:rPr>
          <w:rFonts w:ascii="Candara" w:eastAsia="Candara" w:hAnsi="Candara" w:cs="Candara"/>
          <w:sz w:val="24"/>
          <w:szCs w:val="24"/>
        </w:rPr>
        <w:t xml:space="preserve"> foi formalmente estabelecido em 1989, através da Lei Federal nº 7.827, sob a supervisão da Superintendência do Desenvolvimento do Nordeste (SUDENE). Antes disso, a região era conhecida como Polígono das Secas, instituída em 1936 (Lei nº 175)</w:t>
      </w:r>
      <w:r w:rsidRPr="00364F8A">
        <w:rPr>
          <w:rFonts w:ascii="Candara" w:eastAsia="Candara" w:hAnsi="Candara" w:cs="Candara"/>
          <w:sz w:val="24"/>
          <w:szCs w:val="24"/>
          <w:vertAlign w:val="superscript"/>
        </w:rPr>
        <w:footnoteReference w:id="4"/>
      </w:r>
      <w:r w:rsidRPr="00364F8A">
        <w:rPr>
          <w:rFonts w:ascii="Candara" w:eastAsia="Candara" w:hAnsi="Candara" w:cs="Candara"/>
          <w:sz w:val="24"/>
          <w:szCs w:val="24"/>
        </w:rPr>
        <w:t>. Abrangendo a macrorregião Nordeste, norte de Minas Gerais e norte do Espírito Santo,</w:t>
      </w:r>
      <w:r w:rsidR="003C192A" w:rsidRPr="00364F8A">
        <w:rPr>
          <w:rFonts w:ascii="Candara" w:eastAsia="Candara" w:hAnsi="Candara" w:cs="Candara"/>
          <w:sz w:val="24"/>
          <w:szCs w:val="24"/>
        </w:rPr>
        <w:t xml:space="preserve"> s</w:t>
      </w:r>
      <w:r w:rsidRPr="00364F8A">
        <w:rPr>
          <w:rFonts w:ascii="Candara" w:eastAsia="Candara" w:hAnsi="Candara" w:cs="Candara"/>
          <w:sz w:val="24"/>
          <w:szCs w:val="24"/>
        </w:rPr>
        <w:t>ua formação foi regida pela mencionada lei, que regulamentou os Fundos Constitucionais de Financiamento (FCF) do Norte (FNO), Nordeste (FNE) e Centro-Oeste (FCO)</w:t>
      </w:r>
      <w:r w:rsidRPr="00364F8A">
        <w:rPr>
          <w:rFonts w:ascii="Candara" w:eastAsia="Candara" w:hAnsi="Candara" w:cs="Candara"/>
          <w:sz w:val="24"/>
          <w:szCs w:val="24"/>
          <w:vertAlign w:val="superscript"/>
        </w:rPr>
        <w:footnoteReference w:id="5"/>
      </w:r>
      <w:r w:rsidR="001E65E8" w:rsidRPr="00364F8A">
        <w:rPr>
          <w:rFonts w:ascii="Candara" w:eastAsia="Candara" w:hAnsi="Candara" w:cs="Candara"/>
          <w:sz w:val="24"/>
          <w:szCs w:val="24"/>
        </w:rPr>
        <w:t xml:space="preserve"> (BRASIL, 1989)</w:t>
      </w:r>
      <w:r w:rsidR="003C192A" w:rsidRPr="00364F8A">
        <w:rPr>
          <w:rFonts w:ascii="Candara" w:eastAsia="Candara" w:hAnsi="Candara" w:cs="Candara"/>
          <w:sz w:val="24"/>
          <w:szCs w:val="24"/>
        </w:rPr>
        <w:t>.</w:t>
      </w:r>
    </w:p>
    <w:p w14:paraId="54C70FFB" w14:textId="3991B507" w:rsidR="00150E4C" w:rsidRPr="00364F8A" w:rsidRDefault="00150E4C" w:rsidP="00150E4C">
      <w:pPr>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lastRenderedPageBreak/>
        <w:t>Os FCF representam os principais mecanismos de financiamento das políticas de desenvolvimento regional, visando mitigar as desigualdades regionais através da disponibilidade de crédito por parte de instituições financeiras públicas de caráter regional. Apesar dos esforços do Ministério da Integração para alinhar os FCF com a Política Nacional de Desenvolvimento Regional (PNDR)</w:t>
      </w:r>
      <w:r w:rsidR="00CA6E66" w:rsidRPr="00364F8A">
        <w:rPr>
          <w:rFonts w:ascii="Candara" w:eastAsia="Candara" w:hAnsi="Candara" w:cs="Candara"/>
          <w:sz w:val="24"/>
          <w:szCs w:val="24"/>
        </w:rPr>
        <w:t xml:space="preserve"> </w:t>
      </w:r>
      <w:r w:rsidRPr="00364F8A">
        <w:rPr>
          <w:rFonts w:ascii="Candara" w:eastAsia="Candara" w:hAnsi="Candara" w:cs="Candara"/>
          <w:sz w:val="24"/>
          <w:szCs w:val="24"/>
        </w:rPr>
        <w:t xml:space="preserve">desde 2007, os resultados têm sido limitados e aquém dos objetivos propostos </w:t>
      </w:r>
      <w:bookmarkStart w:id="4" w:name="_Hlk162462055"/>
      <w:r w:rsidRPr="00364F8A">
        <w:rPr>
          <w:rFonts w:ascii="Candara" w:eastAsia="Candara" w:hAnsi="Candara" w:cs="Candara"/>
          <w:sz w:val="24"/>
          <w:szCs w:val="24"/>
        </w:rPr>
        <w:t>(</w:t>
      </w:r>
      <w:r w:rsidR="00872CEC" w:rsidRPr="00364F8A">
        <w:rPr>
          <w:rFonts w:ascii="Candara" w:eastAsia="Candara" w:hAnsi="Candara" w:cs="Candara"/>
          <w:sz w:val="24"/>
          <w:szCs w:val="24"/>
        </w:rPr>
        <w:t>Macedo; Coelho</w:t>
      </w:r>
      <w:r w:rsidRPr="00364F8A">
        <w:rPr>
          <w:rFonts w:ascii="Candara" w:eastAsia="Candara" w:hAnsi="Candara" w:cs="Candara"/>
          <w:sz w:val="24"/>
          <w:szCs w:val="24"/>
        </w:rPr>
        <w:t xml:space="preserve">, 2015; </w:t>
      </w:r>
      <w:r w:rsidR="00872CEC" w:rsidRPr="00364F8A">
        <w:rPr>
          <w:rFonts w:ascii="Candara" w:eastAsia="Candara" w:hAnsi="Candara" w:cs="Candara"/>
          <w:sz w:val="24"/>
          <w:szCs w:val="24"/>
        </w:rPr>
        <w:t xml:space="preserve">Lopes; Macedo; Monteiro Neto, </w:t>
      </w:r>
      <w:r w:rsidRPr="00364F8A">
        <w:rPr>
          <w:rFonts w:ascii="Candara" w:eastAsia="Candara" w:hAnsi="Candara" w:cs="Candara"/>
          <w:sz w:val="24"/>
          <w:szCs w:val="24"/>
        </w:rPr>
        <w:t>2021).</w:t>
      </w:r>
    </w:p>
    <w:bookmarkEnd w:id="4"/>
    <w:p w14:paraId="32818D4F" w14:textId="52DDACEC" w:rsidR="00150E4C" w:rsidRPr="00364F8A" w:rsidRDefault="00150E4C" w:rsidP="001828C2">
      <w:pPr>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As delimitações da região semiárida foram realizadas com base em critérios predefinidos, incluindo uma precipitação pluviométrica média anual inferior a 800 milímetros, um índice de aridez</w:t>
      </w:r>
      <w:r w:rsidRPr="00364F8A">
        <w:rPr>
          <w:rFonts w:ascii="Candara" w:eastAsia="Candara" w:hAnsi="Candara" w:cs="Candara"/>
          <w:sz w:val="24"/>
          <w:szCs w:val="24"/>
          <w:vertAlign w:val="superscript"/>
        </w:rPr>
        <w:footnoteReference w:id="6"/>
      </w:r>
      <w:r w:rsidRPr="00364F8A">
        <w:rPr>
          <w:rFonts w:ascii="Candara" w:eastAsia="Candara" w:hAnsi="Candara" w:cs="Candara"/>
          <w:sz w:val="24"/>
          <w:szCs w:val="24"/>
        </w:rPr>
        <w:t xml:space="preserve"> de até 0,5 calculado pelo balanço hídrico e um risco de seca superior a 60%. A área foi revista em três ocasiões subsequentes – em 2005, 2017 e 2021</w:t>
      </w:r>
      <w:r w:rsidRPr="00364F8A">
        <w:rPr>
          <w:rFonts w:ascii="Candara" w:eastAsia="Candara" w:hAnsi="Candara" w:cs="Candara"/>
          <w:sz w:val="24"/>
          <w:szCs w:val="24"/>
          <w:vertAlign w:val="superscript"/>
        </w:rPr>
        <w:footnoteReference w:id="7"/>
      </w:r>
      <w:r w:rsidRPr="00364F8A">
        <w:rPr>
          <w:rFonts w:ascii="Candara" w:eastAsia="Candara" w:hAnsi="Candara" w:cs="Candara"/>
          <w:sz w:val="24"/>
          <w:szCs w:val="24"/>
        </w:rPr>
        <w:t>. A delimitação mais recente abrange 1.477 municípios</w:t>
      </w:r>
      <w:r w:rsidR="003C192A" w:rsidRPr="00364F8A">
        <w:rPr>
          <w:rFonts w:ascii="Candara" w:eastAsia="Candara" w:hAnsi="Candara" w:cs="Candara"/>
          <w:sz w:val="24"/>
          <w:szCs w:val="24"/>
        </w:rPr>
        <w:t xml:space="preserve">, correspondendo a 15,68% do território nacional e 15,28% da população do país. Considerando a região semiárida nordestina, tais percentuais são de 12,98% e 13,59%, respectivamente (IBGE, 2022). </w:t>
      </w:r>
      <w:r w:rsidRPr="00364F8A">
        <w:rPr>
          <w:rFonts w:ascii="Candara" w:eastAsia="Candara" w:hAnsi="Candara" w:cs="Candara"/>
          <w:sz w:val="24"/>
          <w:szCs w:val="24"/>
        </w:rPr>
        <w:t>Até recentemente, era considerada a região semiárida mais populosa do mundo (A</w:t>
      </w:r>
      <w:r w:rsidR="00872CEC" w:rsidRPr="00364F8A">
        <w:rPr>
          <w:rFonts w:ascii="Candara" w:eastAsia="Candara" w:hAnsi="Candara" w:cs="Candara"/>
          <w:sz w:val="24"/>
          <w:szCs w:val="24"/>
        </w:rPr>
        <w:t>b’Saber</w:t>
      </w:r>
      <w:r w:rsidRPr="00364F8A">
        <w:rPr>
          <w:rFonts w:ascii="Candara" w:eastAsia="Candara" w:hAnsi="Candara" w:cs="Candara"/>
          <w:sz w:val="24"/>
          <w:szCs w:val="24"/>
        </w:rPr>
        <w:t>, 2003), embora Carvalho (2023) destaque o semiárido indiano como o mais povoado.</w:t>
      </w:r>
    </w:p>
    <w:p w14:paraId="2F16D90E" w14:textId="4A481598" w:rsidR="00150E4C" w:rsidRPr="00364F8A" w:rsidRDefault="00150E4C" w:rsidP="00150E4C">
      <w:pPr>
        <w:spacing w:after="0" w:line="240" w:lineRule="auto"/>
        <w:jc w:val="center"/>
        <w:rPr>
          <w:rFonts w:ascii="Candara" w:eastAsia="Candara" w:hAnsi="Candara" w:cs="Candara"/>
          <w:sz w:val="24"/>
          <w:szCs w:val="24"/>
        </w:rPr>
      </w:pPr>
      <w:r w:rsidRPr="00364F8A">
        <w:rPr>
          <w:rFonts w:ascii="Candara" w:eastAsia="Candara" w:hAnsi="Candara" w:cs="Candara"/>
          <w:b/>
          <w:bCs/>
          <w:sz w:val="24"/>
          <w:szCs w:val="24"/>
        </w:rPr>
        <w:t>Figura 1</w:t>
      </w:r>
      <w:r w:rsidRPr="00364F8A">
        <w:rPr>
          <w:rFonts w:ascii="Candara" w:eastAsia="Candara" w:hAnsi="Candara" w:cs="Candara"/>
          <w:sz w:val="24"/>
          <w:szCs w:val="24"/>
        </w:rPr>
        <w:t xml:space="preserve"> – Mapa delimitação do Semiárido</w:t>
      </w:r>
    </w:p>
    <w:p w14:paraId="1A91C142" w14:textId="6CC50357" w:rsidR="00150E4C" w:rsidRPr="00364F8A" w:rsidRDefault="003C192A" w:rsidP="00150E4C">
      <w:pPr>
        <w:spacing w:after="0" w:line="240" w:lineRule="auto"/>
        <w:jc w:val="center"/>
        <w:rPr>
          <w:rFonts w:ascii="Candara" w:eastAsia="Candara" w:hAnsi="Candara" w:cs="Candara"/>
          <w:sz w:val="24"/>
          <w:szCs w:val="24"/>
        </w:rPr>
      </w:pPr>
      <w:r w:rsidRPr="00364F8A">
        <w:rPr>
          <w:noProof/>
        </w:rPr>
        <w:lastRenderedPageBreak/>
        <w:drawing>
          <wp:inline distT="0" distB="0" distL="0" distR="0" wp14:anchorId="5D1E08E7" wp14:editId="64488020">
            <wp:extent cx="2638275" cy="2816352"/>
            <wp:effectExtent l="0" t="0" r="0" b="3175"/>
            <wp:docPr id="811779111"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79111" name="Imagem 1" descr="Mapa&#10;&#10;Descrição gerada automaticamente"/>
                    <pic:cNvPicPr/>
                  </pic:nvPicPr>
                  <pic:blipFill>
                    <a:blip r:embed="rId8"/>
                    <a:stretch>
                      <a:fillRect/>
                    </a:stretch>
                  </pic:blipFill>
                  <pic:spPr>
                    <a:xfrm>
                      <a:off x="0" y="0"/>
                      <a:ext cx="2645847" cy="2824435"/>
                    </a:xfrm>
                    <a:prstGeom prst="rect">
                      <a:avLst/>
                    </a:prstGeom>
                  </pic:spPr>
                </pic:pic>
              </a:graphicData>
            </a:graphic>
          </wp:inline>
        </w:drawing>
      </w:r>
    </w:p>
    <w:p w14:paraId="64AFCC47" w14:textId="2122474E" w:rsidR="00150E4C" w:rsidRPr="00364F8A" w:rsidRDefault="00150E4C" w:rsidP="001828C2">
      <w:pPr>
        <w:spacing w:after="120" w:line="240" w:lineRule="auto"/>
        <w:jc w:val="center"/>
        <w:rPr>
          <w:rFonts w:ascii="Candara" w:eastAsia="Candara" w:hAnsi="Candara" w:cs="Candara"/>
          <w:sz w:val="20"/>
          <w:szCs w:val="20"/>
        </w:rPr>
      </w:pPr>
      <w:r w:rsidRPr="00364F8A">
        <w:rPr>
          <w:rFonts w:ascii="Candara" w:eastAsia="Candara" w:hAnsi="Candara" w:cs="Candara"/>
          <w:b/>
          <w:bCs/>
          <w:sz w:val="20"/>
          <w:szCs w:val="20"/>
        </w:rPr>
        <w:t>Fonte</w:t>
      </w:r>
      <w:r w:rsidRPr="00364F8A">
        <w:rPr>
          <w:rFonts w:ascii="Candara" w:eastAsia="Candara" w:hAnsi="Candara" w:cs="Candara"/>
          <w:sz w:val="20"/>
          <w:szCs w:val="20"/>
        </w:rPr>
        <w:t xml:space="preserve">: </w:t>
      </w:r>
      <w:bookmarkStart w:id="5" w:name="_Hlk162462075"/>
      <w:r w:rsidR="003C192A" w:rsidRPr="00364F8A">
        <w:rPr>
          <w:rFonts w:ascii="Candara" w:eastAsia="Candara" w:hAnsi="Candara" w:cs="Candara"/>
          <w:sz w:val="20"/>
          <w:szCs w:val="20"/>
        </w:rPr>
        <w:t xml:space="preserve">INSA </w:t>
      </w:r>
      <w:r w:rsidRPr="00364F8A">
        <w:rPr>
          <w:rFonts w:ascii="Candara" w:eastAsia="Candara" w:hAnsi="Candara" w:cs="Candara"/>
          <w:sz w:val="20"/>
          <w:szCs w:val="20"/>
        </w:rPr>
        <w:t>(202</w:t>
      </w:r>
      <w:r w:rsidR="003C192A" w:rsidRPr="00364F8A">
        <w:rPr>
          <w:rFonts w:ascii="Candara" w:eastAsia="Candara" w:hAnsi="Candara" w:cs="Candara"/>
          <w:sz w:val="20"/>
          <w:szCs w:val="20"/>
        </w:rPr>
        <w:t>4</w:t>
      </w:r>
      <w:r w:rsidRPr="00364F8A">
        <w:rPr>
          <w:rFonts w:ascii="Candara" w:eastAsia="Candara" w:hAnsi="Candara" w:cs="Candara"/>
          <w:sz w:val="20"/>
          <w:szCs w:val="20"/>
        </w:rPr>
        <w:t>).</w:t>
      </w:r>
      <w:bookmarkEnd w:id="5"/>
    </w:p>
    <w:p w14:paraId="7E06692E" w14:textId="5A0D552A" w:rsidR="00150E4C" w:rsidRPr="00364F8A" w:rsidRDefault="00150E4C" w:rsidP="00150E4C">
      <w:pPr>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A região semiárida brasileira é caracterizada por dois biomas principais: a Caatinga e o Cerrado. A Caatinga, em particular, é um bioma exclusivo do Brasil, cujo nome deriva do Tupi-Guarani e significa "mata branca", devido à vegetação xerófila tropical, adaptada à perda de folhas na estação seca, conferindo à paisagem uma tonalidade clara, além também por ser um mecanismo fisiológico de defesa contra a alta transpiração (</w:t>
      </w:r>
      <w:r w:rsidR="00872CEC" w:rsidRPr="00364F8A">
        <w:rPr>
          <w:rFonts w:ascii="Candara" w:eastAsia="Candara" w:hAnsi="Candara" w:cs="Candara"/>
          <w:sz w:val="24"/>
          <w:szCs w:val="24"/>
        </w:rPr>
        <w:t>Carvalho</w:t>
      </w:r>
      <w:r w:rsidRPr="00364F8A">
        <w:rPr>
          <w:rFonts w:ascii="Candara" w:eastAsia="Candara" w:hAnsi="Candara" w:cs="Candara"/>
          <w:sz w:val="24"/>
          <w:szCs w:val="24"/>
        </w:rPr>
        <w:t>, 2023). Com uma extensão territorial de 862.819 km², aproximadamente 10,1% do território nacional e 53,49% da região Nordeste (IBGE, 2019), a Caatinga abrange quase toda a região Nordeste, com exceção do Maranhão, além de partes de Minas Gerais. O Ceará é o único estado completamente inserido no domínio da Caatinga, embora existam enclaves com outras vegetações (A</w:t>
      </w:r>
      <w:r w:rsidR="00872CEC" w:rsidRPr="00364F8A">
        <w:rPr>
          <w:rFonts w:ascii="Candara" w:eastAsia="Candara" w:hAnsi="Candara" w:cs="Candara"/>
          <w:sz w:val="24"/>
          <w:szCs w:val="24"/>
        </w:rPr>
        <w:t>ssociação Caatinga</w:t>
      </w:r>
      <w:r w:rsidRPr="00364F8A">
        <w:rPr>
          <w:rFonts w:ascii="Candara" w:eastAsia="Candara" w:hAnsi="Candara" w:cs="Candara"/>
          <w:sz w:val="24"/>
          <w:szCs w:val="24"/>
        </w:rPr>
        <w:t>, 2018). Este bioma apresenta uma rica diversidade biológica e paisagens heterogêneas, divididas em nove ecorregiões (</w:t>
      </w:r>
      <w:r w:rsidR="00872CEC" w:rsidRPr="00364F8A">
        <w:rPr>
          <w:rFonts w:ascii="Candara" w:eastAsia="Candara" w:hAnsi="Candara" w:cs="Candara"/>
          <w:sz w:val="24"/>
          <w:szCs w:val="24"/>
        </w:rPr>
        <w:t>Silva; Leal; Tabarelli</w:t>
      </w:r>
      <w:r w:rsidRPr="00364F8A">
        <w:rPr>
          <w:rFonts w:ascii="Candara" w:eastAsia="Candara" w:hAnsi="Candara" w:cs="Candara"/>
          <w:sz w:val="24"/>
          <w:szCs w:val="24"/>
        </w:rPr>
        <w:t>, 2017).</w:t>
      </w:r>
    </w:p>
    <w:p w14:paraId="68A8529C" w14:textId="70706B9D" w:rsidR="00150E4C" w:rsidRPr="00364F8A" w:rsidRDefault="00150E4C" w:rsidP="00BB78F6">
      <w:pPr>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lastRenderedPageBreak/>
        <w:t>Em resumo, a região semiárida apresenta uma biodiversidade exuberante de fauna e flora, além de uma dinâmica complexa impulsionada pelas potencialidades existentes. Transformações significativas, como as dinâmicas urbano-regionais pós-1980, também são evidentes nesta região e serão discutidas a seguir.</w:t>
      </w:r>
    </w:p>
    <w:p w14:paraId="7B6694D8" w14:textId="77777777" w:rsidR="00BB78F6" w:rsidRPr="00364F8A" w:rsidRDefault="00BB78F6" w:rsidP="00BB78F6">
      <w:pPr>
        <w:spacing w:after="120" w:line="360" w:lineRule="auto"/>
        <w:jc w:val="both"/>
        <w:rPr>
          <w:rFonts w:ascii="Candara" w:eastAsia="Candara" w:hAnsi="Candara" w:cs="Candara"/>
          <w:sz w:val="24"/>
          <w:szCs w:val="24"/>
        </w:rPr>
      </w:pPr>
    </w:p>
    <w:p w14:paraId="1C762495" w14:textId="3A13837E" w:rsidR="00150E4C" w:rsidRPr="00364F8A" w:rsidRDefault="00837A1F" w:rsidP="00150E4C">
      <w:pPr>
        <w:spacing w:after="120" w:line="360" w:lineRule="auto"/>
        <w:ind w:firstLine="851"/>
        <w:jc w:val="both"/>
        <w:rPr>
          <w:rFonts w:ascii="Candara" w:eastAsia="Candara" w:hAnsi="Candara" w:cs="Candara"/>
          <w:sz w:val="28"/>
          <w:szCs w:val="28"/>
        </w:rPr>
      </w:pPr>
      <w:r w:rsidRPr="00364F8A">
        <w:rPr>
          <w:rFonts w:ascii="Candara" w:eastAsia="Candara" w:hAnsi="Candara" w:cs="Candara"/>
          <w:sz w:val="28"/>
          <w:szCs w:val="28"/>
        </w:rPr>
        <w:t>3</w:t>
      </w:r>
      <w:r w:rsidR="00150E4C" w:rsidRPr="00364F8A">
        <w:rPr>
          <w:rFonts w:ascii="Candara" w:eastAsia="Candara" w:hAnsi="Candara" w:cs="Candara"/>
          <w:sz w:val="28"/>
          <w:szCs w:val="28"/>
        </w:rPr>
        <w:t xml:space="preserve"> Rede urbana do </w:t>
      </w:r>
      <w:r w:rsidR="005A56BB" w:rsidRPr="00364F8A">
        <w:rPr>
          <w:rFonts w:ascii="Candara" w:eastAsia="Candara" w:hAnsi="Candara" w:cs="Candara"/>
          <w:sz w:val="28"/>
          <w:szCs w:val="28"/>
        </w:rPr>
        <w:t>Semiárido Nordestino</w:t>
      </w:r>
    </w:p>
    <w:p w14:paraId="7B662FE8" w14:textId="56A266CB" w:rsidR="00150E4C" w:rsidRPr="00364F8A" w:rsidRDefault="00837A1F" w:rsidP="00150E4C">
      <w:pPr>
        <w:spacing w:after="120" w:line="360" w:lineRule="auto"/>
        <w:ind w:firstLine="851"/>
        <w:jc w:val="both"/>
        <w:rPr>
          <w:rFonts w:ascii="Candara" w:eastAsia="Candara" w:hAnsi="Candara" w:cs="Candara"/>
          <w:i/>
          <w:iCs/>
          <w:sz w:val="24"/>
          <w:szCs w:val="24"/>
        </w:rPr>
      </w:pPr>
      <w:r w:rsidRPr="00364F8A">
        <w:rPr>
          <w:rFonts w:ascii="Candara" w:eastAsia="Candara" w:hAnsi="Candara" w:cs="Candara"/>
          <w:i/>
          <w:iCs/>
          <w:sz w:val="24"/>
          <w:szCs w:val="24"/>
        </w:rPr>
        <w:t>3</w:t>
      </w:r>
      <w:r w:rsidR="00150E4C" w:rsidRPr="00364F8A">
        <w:rPr>
          <w:rFonts w:ascii="Candara" w:eastAsia="Candara" w:hAnsi="Candara" w:cs="Candara"/>
          <w:i/>
          <w:iCs/>
          <w:sz w:val="24"/>
          <w:szCs w:val="24"/>
        </w:rPr>
        <w:t>.1 Antecedentes</w:t>
      </w:r>
    </w:p>
    <w:p w14:paraId="55C8F95B" w14:textId="607ACFA3" w:rsidR="005A56BB" w:rsidRPr="00364F8A" w:rsidRDefault="00C76CDF" w:rsidP="005A56BB">
      <w:pPr>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Compreender a rede urbana é essencial para analisar um país além das questões econômicas, especialmente considerando as transformações geradas pelas trocas globais intensificadas, pelo barateamento dos transportes e pela maior disponibilidade de tecnologias de comunicação e informação. Essas mudanças revelam uma dinâmica urbano-regional mais complexa e difusa, na qual arranjos urbanos não metropolitanos ganham destaque. No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em particular, observa-se uma diminuição da importância relativa dos grandes centros urbanos, com novas configurações urbanas emergindo em cidades pequenas e médias. Essas cidades, ainda que dependentes dos grandes centros, começam a desempenhar novos papéis econômicos e territoriais, moldadas pela cooperação e competição sob a lógica do capital financeiro (</w:t>
      </w:r>
      <w:bookmarkStart w:id="6" w:name="_Hlk162462396"/>
      <w:r w:rsidR="00872CEC" w:rsidRPr="00364F8A">
        <w:rPr>
          <w:rFonts w:ascii="Candara" w:eastAsia="Candara" w:hAnsi="Candara" w:cs="Candara"/>
          <w:sz w:val="24"/>
          <w:szCs w:val="24"/>
        </w:rPr>
        <w:t>Corrêa</w:t>
      </w:r>
      <w:r w:rsidRPr="00364F8A">
        <w:rPr>
          <w:rFonts w:ascii="Candara" w:eastAsia="Candara" w:hAnsi="Candara" w:cs="Candara"/>
          <w:sz w:val="24"/>
          <w:szCs w:val="24"/>
        </w:rPr>
        <w:t xml:space="preserve">, 1989, 2004; </w:t>
      </w:r>
      <w:r w:rsidR="00872CEC" w:rsidRPr="00364F8A">
        <w:rPr>
          <w:rFonts w:ascii="Candara" w:eastAsia="Candara" w:hAnsi="Candara" w:cs="Candara"/>
          <w:sz w:val="24"/>
          <w:szCs w:val="24"/>
        </w:rPr>
        <w:t>Porto</w:t>
      </w:r>
      <w:r w:rsidRPr="00364F8A">
        <w:rPr>
          <w:rFonts w:ascii="Candara" w:eastAsia="Candara" w:hAnsi="Candara" w:cs="Candara"/>
          <w:sz w:val="24"/>
          <w:szCs w:val="24"/>
        </w:rPr>
        <w:t>, 2023</w:t>
      </w:r>
      <w:bookmarkEnd w:id="6"/>
      <w:r w:rsidRPr="00364F8A">
        <w:rPr>
          <w:rFonts w:ascii="Candara" w:eastAsia="Candara" w:hAnsi="Candara" w:cs="Candara"/>
          <w:sz w:val="24"/>
          <w:szCs w:val="24"/>
        </w:rPr>
        <w:t>).</w:t>
      </w:r>
    </w:p>
    <w:p w14:paraId="5EBA08A4" w14:textId="11075B1F" w:rsidR="00C76CDF" w:rsidRPr="00364F8A" w:rsidRDefault="00C76CDF" w:rsidP="005A56BB">
      <w:pPr>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Historicamente, o Nordeste, que foi uma região de prestígio econômico durante o período colonial, consolidou-se como periferia econômica nacional até o século XX, com o Semiárido em situação ainda mais desfavorável. A modernização seletiva e a fragmentada urbanização da região, impulsionada por políticas governamentais a partir da década de 1950, resultaram em uma rede urbana mais </w:t>
      </w:r>
      <w:r w:rsidRPr="00364F8A">
        <w:rPr>
          <w:rFonts w:ascii="Candara" w:eastAsia="Candara" w:hAnsi="Candara" w:cs="Candara"/>
          <w:sz w:val="24"/>
          <w:szCs w:val="24"/>
        </w:rPr>
        <w:lastRenderedPageBreak/>
        <w:t>complexa, especialmente após a abertura comercial e financeira das décadas de 1980 e 1990. A partir de 2003, o Nordeste, e especialmente o Semiárido, passou a atrair grandes investimentos públicos, promovendo urbanização e desenvolvimento econômico</w:t>
      </w:r>
      <w:r w:rsidR="005A56BB" w:rsidRPr="00364F8A">
        <w:rPr>
          <w:rFonts w:ascii="Candara" w:eastAsia="Candara" w:hAnsi="Candara" w:cs="Candara"/>
          <w:sz w:val="24"/>
          <w:szCs w:val="24"/>
        </w:rPr>
        <w:t xml:space="preserve"> </w:t>
      </w:r>
      <w:r w:rsidRPr="00364F8A">
        <w:rPr>
          <w:rFonts w:ascii="Candara" w:eastAsia="Candara" w:hAnsi="Candara" w:cs="Candara"/>
          <w:sz w:val="24"/>
          <w:szCs w:val="24"/>
        </w:rPr>
        <w:t>(</w:t>
      </w:r>
      <w:bookmarkStart w:id="7" w:name="_Hlk162462405"/>
      <w:r w:rsidR="00872CEC" w:rsidRPr="00364F8A">
        <w:rPr>
          <w:rFonts w:ascii="Candara" w:eastAsia="Candara" w:hAnsi="Candara" w:cs="Candara"/>
          <w:sz w:val="24"/>
          <w:szCs w:val="24"/>
        </w:rPr>
        <w:t>Alves</w:t>
      </w:r>
      <w:r w:rsidRPr="00364F8A">
        <w:rPr>
          <w:rFonts w:ascii="Candara" w:eastAsia="Candara" w:hAnsi="Candara" w:cs="Candara"/>
          <w:sz w:val="24"/>
          <w:szCs w:val="24"/>
        </w:rPr>
        <w:t>, 2017</w:t>
      </w:r>
      <w:bookmarkEnd w:id="7"/>
      <w:r w:rsidRPr="00364F8A">
        <w:rPr>
          <w:rFonts w:ascii="Candara" w:eastAsia="Candara" w:hAnsi="Candara" w:cs="Candara"/>
          <w:sz w:val="24"/>
          <w:szCs w:val="24"/>
        </w:rPr>
        <w:t xml:space="preserve">; </w:t>
      </w:r>
      <w:r w:rsidR="00872CEC" w:rsidRPr="00364F8A">
        <w:rPr>
          <w:rFonts w:ascii="Candara" w:eastAsia="Candara" w:hAnsi="Candara" w:cs="Candara"/>
          <w:sz w:val="24"/>
          <w:szCs w:val="24"/>
        </w:rPr>
        <w:t>Araújo</w:t>
      </w:r>
      <w:r w:rsidRPr="00364F8A">
        <w:rPr>
          <w:rFonts w:ascii="Candara" w:eastAsia="Candara" w:hAnsi="Candara" w:cs="Candara"/>
          <w:sz w:val="24"/>
          <w:szCs w:val="24"/>
        </w:rPr>
        <w:t xml:space="preserve">, 2000; </w:t>
      </w:r>
      <w:r w:rsidR="00872CEC" w:rsidRPr="00364F8A">
        <w:rPr>
          <w:rFonts w:ascii="Candara" w:eastAsia="Candara" w:hAnsi="Candara" w:cs="Candara"/>
          <w:sz w:val="24"/>
          <w:szCs w:val="24"/>
        </w:rPr>
        <w:t>Cano</w:t>
      </w:r>
      <w:r w:rsidRPr="00364F8A">
        <w:rPr>
          <w:rFonts w:ascii="Candara" w:eastAsia="Candara" w:hAnsi="Candara" w:cs="Candara"/>
          <w:sz w:val="24"/>
          <w:szCs w:val="24"/>
        </w:rPr>
        <w:t xml:space="preserve">, 2011; </w:t>
      </w:r>
      <w:r w:rsidR="00872CEC" w:rsidRPr="00364F8A">
        <w:rPr>
          <w:rFonts w:ascii="Candara" w:eastAsia="Candara" w:hAnsi="Candara" w:cs="Candara"/>
          <w:sz w:val="24"/>
          <w:szCs w:val="24"/>
        </w:rPr>
        <w:t>Guimarães Neto</w:t>
      </w:r>
      <w:r w:rsidRPr="00364F8A">
        <w:rPr>
          <w:rFonts w:ascii="Candara" w:eastAsia="Candara" w:hAnsi="Candara" w:cs="Candara"/>
          <w:sz w:val="24"/>
          <w:szCs w:val="24"/>
        </w:rPr>
        <w:t>, 1997)</w:t>
      </w:r>
      <w:r w:rsidR="005A56BB" w:rsidRPr="00364F8A">
        <w:rPr>
          <w:rFonts w:ascii="Candara" w:eastAsia="Candara" w:hAnsi="Candara" w:cs="Candara"/>
          <w:sz w:val="24"/>
          <w:szCs w:val="24"/>
        </w:rPr>
        <w:t>, o que será discutido a seguir.</w:t>
      </w:r>
    </w:p>
    <w:p w14:paraId="6DBE4335" w14:textId="77777777" w:rsidR="00150E4C" w:rsidRPr="00364F8A" w:rsidRDefault="00150E4C" w:rsidP="00150E4C">
      <w:pPr>
        <w:spacing w:after="120" w:line="360" w:lineRule="auto"/>
        <w:ind w:firstLine="851"/>
        <w:jc w:val="both"/>
        <w:rPr>
          <w:rFonts w:ascii="Candara" w:eastAsia="Candara" w:hAnsi="Candara" w:cs="Candara"/>
          <w:sz w:val="24"/>
          <w:szCs w:val="24"/>
        </w:rPr>
      </w:pPr>
    </w:p>
    <w:p w14:paraId="37252D2F" w14:textId="01143697" w:rsidR="00150E4C" w:rsidRPr="00364F8A" w:rsidRDefault="007B7D73" w:rsidP="00150E4C">
      <w:pPr>
        <w:spacing w:after="120" w:line="360" w:lineRule="auto"/>
        <w:ind w:firstLine="851"/>
        <w:jc w:val="both"/>
        <w:rPr>
          <w:rFonts w:ascii="Candara" w:eastAsia="Candara" w:hAnsi="Candara" w:cs="Candara"/>
          <w:i/>
          <w:iCs/>
          <w:sz w:val="24"/>
          <w:szCs w:val="24"/>
        </w:rPr>
      </w:pPr>
      <w:r w:rsidRPr="00364F8A">
        <w:rPr>
          <w:rFonts w:ascii="Candara" w:eastAsia="Candara" w:hAnsi="Candara" w:cs="Candara"/>
          <w:i/>
          <w:iCs/>
          <w:sz w:val="24"/>
          <w:szCs w:val="24"/>
        </w:rPr>
        <w:t>3</w:t>
      </w:r>
      <w:r w:rsidR="00150E4C" w:rsidRPr="00364F8A">
        <w:rPr>
          <w:rFonts w:ascii="Candara" w:eastAsia="Candara" w:hAnsi="Candara" w:cs="Candara"/>
          <w:i/>
          <w:iCs/>
          <w:sz w:val="24"/>
          <w:szCs w:val="24"/>
        </w:rPr>
        <w:t xml:space="preserve">.2 O </w:t>
      </w:r>
      <w:r w:rsidR="005A56BB" w:rsidRPr="00364F8A">
        <w:rPr>
          <w:rFonts w:ascii="Candara" w:eastAsia="Candara" w:hAnsi="Candara" w:cs="Candara"/>
          <w:i/>
          <w:iCs/>
          <w:sz w:val="24"/>
          <w:szCs w:val="24"/>
        </w:rPr>
        <w:t>Semiárido Nordestino</w:t>
      </w:r>
      <w:r w:rsidR="00150E4C" w:rsidRPr="00364F8A">
        <w:rPr>
          <w:rFonts w:ascii="Candara" w:eastAsia="Candara" w:hAnsi="Candara" w:cs="Candara"/>
          <w:i/>
          <w:iCs/>
          <w:sz w:val="24"/>
          <w:szCs w:val="24"/>
        </w:rPr>
        <w:t xml:space="preserve"> no século XXI</w:t>
      </w:r>
    </w:p>
    <w:p w14:paraId="461342AE" w14:textId="4890F294" w:rsidR="00843810" w:rsidRPr="00364F8A" w:rsidRDefault="00843810"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O século XXI trouxe ao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xml:space="preserve"> uma série de elementos do final do século anterior, particularmente a partir de 2003, quando as políticas sociais começaram a ser incorporadas à análise da região. A constituição da Articulação </w:t>
      </w:r>
      <w:r w:rsidR="00264BD4" w:rsidRPr="00364F8A">
        <w:rPr>
          <w:rFonts w:ascii="Candara" w:eastAsia="Candara" w:hAnsi="Candara" w:cs="Candara"/>
          <w:sz w:val="24"/>
          <w:szCs w:val="24"/>
        </w:rPr>
        <w:t>Semiárido Brasileiro</w:t>
      </w:r>
      <w:r w:rsidRPr="00364F8A">
        <w:rPr>
          <w:rFonts w:ascii="Candara" w:eastAsia="Candara" w:hAnsi="Candara" w:cs="Candara"/>
          <w:sz w:val="24"/>
          <w:szCs w:val="24"/>
        </w:rPr>
        <w:t xml:space="preserve"> (ASA) em 1999, que reúne mais de 3.000 movimentos sociais, sindicatos, ONGs, associações e coletivos locais e regionais, foi um marco importante na luta social da população local. Essa articulação já apresentava algumas ações desde 1992</w:t>
      </w:r>
      <w:r w:rsidRPr="00364F8A">
        <w:rPr>
          <w:rFonts w:ascii="Candara" w:eastAsia="Candara" w:hAnsi="Candara" w:cs="Candara"/>
          <w:sz w:val="24"/>
          <w:szCs w:val="24"/>
          <w:vertAlign w:val="superscript"/>
        </w:rPr>
        <w:footnoteReference w:id="8"/>
      </w:r>
      <w:r w:rsidR="00200230" w:rsidRPr="00364F8A">
        <w:rPr>
          <w:rFonts w:ascii="Candara" w:eastAsia="Candara" w:hAnsi="Candara" w:cs="Candara"/>
          <w:sz w:val="24"/>
          <w:szCs w:val="24"/>
        </w:rPr>
        <w:t xml:space="preserve"> (ASA, 2024)</w:t>
      </w:r>
      <w:r w:rsidRPr="00364F8A">
        <w:rPr>
          <w:rFonts w:ascii="Candara" w:eastAsia="Candara" w:hAnsi="Candara" w:cs="Candara"/>
          <w:sz w:val="24"/>
          <w:szCs w:val="24"/>
        </w:rPr>
        <w:t>.</w:t>
      </w:r>
    </w:p>
    <w:p w14:paraId="2B07D51A" w14:textId="15090DE7" w:rsidR="00843810" w:rsidRPr="00364F8A" w:rsidRDefault="00843810"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Diversos fatores contribuíram positivamente para o desenvolvimento da região semiárida, incluindo uma maior integração à economia nacional, maturação dos investimentos públicos e políticas de crescimento econômico, como </w:t>
      </w:r>
      <w:r w:rsidR="00EB4BAA" w:rsidRPr="00364F8A">
        <w:rPr>
          <w:rFonts w:ascii="Candara" w:eastAsia="Candara" w:hAnsi="Candara" w:cs="Candara"/>
          <w:sz w:val="24"/>
          <w:szCs w:val="24"/>
        </w:rPr>
        <w:t>o Programa Nacional de Fortalecimento da Agricultura Familiar (</w:t>
      </w:r>
      <w:r w:rsidRPr="00364F8A">
        <w:rPr>
          <w:rFonts w:ascii="Candara" w:eastAsia="Candara" w:hAnsi="Candara" w:cs="Candara"/>
          <w:sz w:val="24"/>
          <w:szCs w:val="24"/>
        </w:rPr>
        <w:t>PRONAF</w:t>
      </w:r>
      <w:r w:rsidR="00EB4BAA" w:rsidRPr="00364F8A">
        <w:rPr>
          <w:rFonts w:ascii="Candara" w:eastAsia="Candara" w:hAnsi="Candara" w:cs="Candara"/>
          <w:sz w:val="24"/>
          <w:szCs w:val="24"/>
        </w:rPr>
        <w:t>)</w:t>
      </w:r>
      <w:r w:rsidRPr="00364F8A">
        <w:rPr>
          <w:rFonts w:ascii="Candara" w:eastAsia="Candara" w:hAnsi="Candara" w:cs="Candara"/>
          <w:sz w:val="24"/>
          <w:szCs w:val="24"/>
        </w:rPr>
        <w:t xml:space="preserve">, CrediAmigo e microcrédito produtivo. Além disso, políticas sociais de transferência de renda, como o Programa Bolsa Família (PBF) e a Previdência Social, juntamente com uma rede de </w:t>
      </w:r>
      <w:r w:rsidRPr="00364F8A">
        <w:rPr>
          <w:rFonts w:ascii="Candara" w:eastAsia="Candara" w:hAnsi="Candara" w:cs="Candara"/>
          <w:sz w:val="24"/>
          <w:szCs w:val="24"/>
        </w:rPr>
        <w:lastRenderedPageBreak/>
        <w:t>proteções hídricas e sociais, fortaleceram os princípios de solidariedade regional</w:t>
      </w:r>
      <w:r w:rsidRPr="00364F8A">
        <w:rPr>
          <w:rFonts w:ascii="Candara" w:eastAsia="Candara" w:hAnsi="Candara" w:cs="Candara"/>
          <w:sz w:val="24"/>
          <w:szCs w:val="24"/>
          <w:vertAlign w:val="superscript"/>
        </w:rPr>
        <w:footnoteReference w:id="9"/>
      </w:r>
      <w:r w:rsidRPr="00364F8A">
        <w:rPr>
          <w:rFonts w:ascii="Candara" w:eastAsia="Candara" w:hAnsi="Candara" w:cs="Candara"/>
          <w:sz w:val="24"/>
          <w:szCs w:val="24"/>
        </w:rPr>
        <w:t xml:space="preserve"> e coesão social</w:t>
      </w:r>
      <w:r w:rsidRPr="00364F8A">
        <w:rPr>
          <w:rFonts w:ascii="Candara" w:eastAsia="Candara" w:hAnsi="Candara" w:cs="Candara"/>
          <w:sz w:val="24"/>
          <w:szCs w:val="24"/>
          <w:vertAlign w:val="superscript"/>
        </w:rPr>
        <w:footnoteReference w:id="10"/>
      </w:r>
      <w:r w:rsidRPr="00364F8A">
        <w:rPr>
          <w:rFonts w:ascii="Candara" w:eastAsia="Candara" w:hAnsi="Candara" w:cs="Candara"/>
          <w:sz w:val="24"/>
          <w:szCs w:val="24"/>
        </w:rPr>
        <w:t xml:space="preserve">. A ampliação das exportações, especialmente de </w:t>
      </w:r>
      <w:r w:rsidRPr="00364F8A">
        <w:rPr>
          <w:rFonts w:ascii="Candara" w:eastAsia="Candara" w:hAnsi="Candara" w:cs="Candara"/>
          <w:i/>
          <w:iCs/>
          <w:sz w:val="24"/>
          <w:szCs w:val="24"/>
        </w:rPr>
        <w:t>commodities</w:t>
      </w:r>
      <w:r w:rsidRPr="00364F8A">
        <w:rPr>
          <w:rFonts w:ascii="Candara" w:eastAsia="Candara" w:hAnsi="Candara" w:cs="Candara"/>
          <w:sz w:val="24"/>
          <w:szCs w:val="24"/>
        </w:rPr>
        <w:t>, e o crescimento do mercado consumidor regional também contribuíram para esse cenário (</w:t>
      </w:r>
      <w:r w:rsidR="00872CEC" w:rsidRPr="00364F8A">
        <w:rPr>
          <w:rFonts w:ascii="Candara" w:eastAsia="Candara" w:hAnsi="Candara" w:cs="Candara"/>
          <w:sz w:val="24"/>
          <w:szCs w:val="24"/>
        </w:rPr>
        <w:t>BNB, 2014; Carvalho, 2014; Cavalcanti Junior</w:t>
      </w:r>
      <w:r w:rsidRPr="00364F8A">
        <w:rPr>
          <w:rFonts w:ascii="Candara" w:eastAsia="Candara" w:hAnsi="Candara" w:cs="Candara"/>
          <w:sz w:val="24"/>
          <w:szCs w:val="24"/>
        </w:rPr>
        <w:t>, 2022). Os investimentos públicos</w:t>
      </w:r>
      <w:r w:rsidRPr="00364F8A">
        <w:rPr>
          <w:rFonts w:ascii="Candara" w:eastAsia="Candara" w:hAnsi="Candara" w:cs="Candara"/>
          <w:sz w:val="24"/>
          <w:szCs w:val="24"/>
          <w:vertAlign w:val="superscript"/>
        </w:rPr>
        <w:footnoteReference w:id="11"/>
      </w:r>
      <w:r w:rsidRPr="00364F8A">
        <w:rPr>
          <w:rFonts w:ascii="Candara" w:eastAsia="Candara" w:hAnsi="Candara" w:cs="Candara"/>
          <w:sz w:val="24"/>
          <w:szCs w:val="24"/>
        </w:rPr>
        <w:t xml:space="preserve"> foram cruciais para conter o saldo migratório negativo</w:t>
      </w:r>
      <w:r w:rsidRPr="00364F8A">
        <w:rPr>
          <w:rFonts w:ascii="Candara" w:eastAsia="Candara" w:hAnsi="Candara" w:cs="Candara"/>
          <w:sz w:val="24"/>
          <w:szCs w:val="24"/>
          <w:vertAlign w:val="superscript"/>
        </w:rPr>
        <w:footnoteReference w:id="12"/>
      </w:r>
      <w:r w:rsidRPr="00364F8A">
        <w:rPr>
          <w:rFonts w:ascii="Candara" w:eastAsia="Candara" w:hAnsi="Candara" w:cs="Candara"/>
          <w:sz w:val="24"/>
          <w:szCs w:val="24"/>
        </w:rPr>
        <w:t xml:space="preserve"> na macrorregião Nordeste, especialmente no Semiárido (</w:t>
      </w:r>
      <w:r w:rsidR="00872CEC" w:rsidRPr="00364F8A">
        <w:rPr>
          <w:rFonts w:ascii="Candara" w:eastAsia="Candara" w:hAnsi="Candara" w:cs="Candara"/>
          <w:sz w:val="24"/>
          <w:szCs w:val="24"/>
        </w:rPr>
        <w:t>Fusco, 2014; Nunes; Silva; Queiroz, 201</w:t>
      </w:r>
      <w:r w:rsidRPr="00364F8A">
        <w:rPr>
          <w:rFonts w:ascii="Candara" w:eastAsia="Candara" w:hAnsi="Candara" w:cs="Candara"/>
          <w:sz w:val="24"/>
          <w:szCs w:val="24"/>
        </w:rPr>
        <w:t>7), com as cidades médias desempenhando um papel significativo nesse processo (</w:t>
      </w:r>
      <w:r w:rsidR="00872CEC" w:rsidRPr="00364F8A">
        <w:rPr>
          <w:rFonts w:ascii="Candara" w:eastAsia="Candara" w:hAnsi="Candara" w:cs="Candara"/>
          <w:sz w:val="24"/>
          <w:szCs w:val="24"/>
        </w:rPr>
        <w:t>Alves</w:t>
      </w:r>
      <w:r w:rsidRPr="00364F8A">
        <w:rPr>
          <w:rFonts w:ascii="Candara" w:eastAsia="Candara" w:hAnsi="Candara" w:cs="Candara"/>
          <w:sz w:val="24"/>
          <w:szCs w:val="24"/>
        </w:rPr>
        <w:t>, 2017).</w:t>
      </w:r>
    </w:p>
    <w:p w14:paraId="4086C328" w14:textId="1D57E663" w:rsidR="00843810" w:rsidRPr="00364F8A" w:rsidRDefault="00843810"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A região experimentou um intenso processo de urbanização e desenvolveu uma rede urbana mais articulada, impulsionada pelos polos regionais espalhados pelo Semiárido, que promoveram novas conexões no interior da região através da interiorização dos processos produtivos. A interiorização do ensino superior, o estímulo à indústria de transformação e o desenvolvimento das fronteiras agrícolas e de mineração foram elementos-chave que conferiram ao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xml:space="preserve"> uma dinâmica urbano-regional e econômica significativa (</w:t>
      </w:r>
      <w:r w:rsidR="00872CEC" w:rsidRPr="00364F8A">
        <w:rPr>
          <w:rFonts w:ascii="Candara" w:eastAsia="Candara" w:hAnsi="Candara" w:cs="Candara"/>
          <w:sz w:val="24"/>
          <w:szCs w:val="24"/>
        </w:rPr>
        <w:t>Porto</w:t>
      </w:r>
      <w:r w:rsidRPr="00364F8A">
        <w:rPr>
          <w:rFonts w:ascii="Candara" w:eastAsia="Candara" w:hAnsi="Candara" w:cs="Candara"/>
          <w:sz w:val="24"/>
          <w:szCs w:val="24"/>
        </w:rPr>
        <w:t>, 2023).</w:t>
      </w:r>
    </w:p>
    <w:p w14:paraId="461A93B9" w14:textId="25A67333" w:rsidR="00150E4C" w:rsidRPr="00364F8A" w:rsidRDefault="00843810"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Olhando a distribuição demográfica a partir de intervalos populacionais no </w:t>
      </w:r>
      <w:r w:rsidR="005A56BB" w:rsidRPr="00364F8A">
        <w:rPr>
          <w:rFonts w:ascii="Candara" w:eastAsia="Candara" w:hAnsi="Candara" w:cs="Candara"/>
          <w:sz w:val="24"/>
          <w:szCs w:val="24"/>
        </w:rPr>
        <w:lastRenderedPageBreak/>
        <w:t>Semiárido Nordestino</w:t>
      </w:r>
      <w:r w:rsidRPr="00364F8A">
        <w:rPr>
          <w:rFonts w:ascii="Candara" w:eastAsia="Candara" w:hAnsi="Candara" w:cs="Candara"/>
          <w:sz w:val="24"/>
          <w:szCs w:val="24"/>
        </w:rPr>
        <w:t xml:space="preserve">, observa-se um contingente de </w:t>
      </w:r>
      <w:r w:rsidR="00190775" w:rsidRPr="00364F8A">
        <w:rPr>
          <w:rFonts w:ascii="Candara" w:eastAsia="Candara" w:hAnsi="Candara" w:cs="Candara"/>
          <w:sz w:val="24"/>
          <w:szCs w:val="24"/>
        </w:rPr>
        <w:t xml:space="preserve">27.590.423 </w:t>
      </w:r>
      <w:r w:rsidRPr="00364F8A">
        <w:rPr>
          <w:rFonts w:ascii="Candara" w:eastAsia="Candara" w:hAnsi="Candara" w:cs="Candara"/>
          <w:sz w:val="24"/>
          <w:szCs w:val="24"/>
        </w:rPr>
        <w:t>habitantes em 2022, um fator interessante considerando que este número superou o quantitativo de pessoas vivendo na zona litorânea da macrorregião Nordeste – além do Maranhão, considerando que 16 dos 217 municípios compõem o Semiárido – representando 50,57%, contra 49,43%</w:t>
      </w:r>
      <w:r w:rsidR="00264BD4" w:rsidRPr="00364F8A">
        <w:rPr>
          <w:rFonts w:ascii="Candara" w:eastAsia="Candara" w:hAnsi="Candara" w:cs="Candara"/>
          <w:sz w:val="24"/>
          <w:szCs w:val="24"/>
        </w:rPr>
        <w:t xml:space="preserve"> (27.018.467</w:t>
      </w:r>
      <w:r w:rsidRPr="00364F8A">
        <w:rPr>
          <w:rFonts w:ascii="Candara" w:eastAsia="Candara" w:hAnsi="Candara" w:cs="Candara"/>
          <w:sz w:val="24"/>
          <w:szCs w:val="24"/>
        </w:rPr>
        <w:t xml:space="preserve">). A faixa preponderante de municípios e população foi de 10.001 a 20.000 (398 ou </w:t>
      </w:r>
      <w:r w:rsidR="007A5957" w:rsidRPr="00364F8A">
        <w:rPr>
          <w:rFonts w:ascii="Candara" w:eastAsia="Candara" w:hAnsi="Candara" w:cs="Candara"/>
          <w:sz w:val="24"/>
          <w:szCs w:val="24"/>
        </w:rPr>
        <w:t>31,74</w:t>
      </w:r>
      <w:r w:rsidRPr="00364F8A">
        <w:rPr>
          <w:rFonts w:ascii="Candara" w:eastAsia="Candara" w:hAnsi="Candara" w:cs="Candara"/>
          <w:sz w:val="24"/>
          <w:szCs w:val="24"/>
        </w:rPr>
        <w:t xml:space="preserve">%) e 20.001 a 50.000 (7.993.328 ou </w:t>
      </w:r>
      <w:r w:rsidR="007A5957" w:rsidRPr="00364F8A">
        <w:rPr>
          <w:rFonts w:ascii="Candara" w:eastAsia="Candara" w:hAnsi="Candara" w:cs="Candara"/>
          <w:sz w:val="24"/>
          <w:szCs w:val="24"/>
        </w:rPr>
        <w:t>28,97</w:t>
      </w:r>
      <w:r w:rsidRPr="00364F8A">
        <w:rPr>
          <w:rFonts w:ascii="Candara" w:eastAsia="Candara" w:hAnsi="Candara" w:cs="Candara"/>
          <w:sz w:val="24"/>
          <w:szCs w:val="24"/>
        </w:rPr>
        <w:t>%), respectivamente, conforme Tabela 1.</w:t>
      </w:r>
    </w:p>
    <w:p w14:paraId="332278CA" w14:textId="2BE94F7A" w:rsidR="00843810" w:rsidRPr="00364F8A" w:rsidRDefault="00843810" w:rsidP="00843810">
      <w:pPr>
        <w:widowControl w:val="0"/>
        <w:shd w:val="clear" w:color="auto" w:fill="FFFFFF"/>
        <w:spacing w:after="0" w:line="240" w:lineRule="auto"/>
        <w:jc w:val="both"/>
        <w:rPr>
          <w:rFonts w:ascii="Candara" w:eastAsia="Candara" w:hAnsi="Candara" w:cs="Candara"/>
          <w:sz w:val="24"/>
          <w:szCs w:val="24"/>
        </w:rPr>
      </w:pPr>
      <w:r w:rsidRPr="00364F8A">
        <w:rPr>
          <w:rFonts w:ascii="Candara" w:eastAsia="Candara" w:hAnsi="Candara" w:cs="Candara"/>
          <w:b/>
          <w:bCs/>
          <w:sz w:val="24"/>
          <w:szCs w:val="24"/>
        </w:rPr>
        <w:t>Tabela 1</w:t>
      </w:r>
      <w:r w:rsidRPr="00364F8A">
        <w:rPr>
          <w:rFonts w:ascii="Candara" w:eastAsia="Candara" w:hAnsi="Candara" w:cs="Candara"/>
          <w:sz w:val="24"/>
          <w:szCs w:val="24"/>
        </w:rPr>
        <w:t xml:space="preserve"> – Distribuição da população por intervalo populacional para 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xml:space="preserve"> e </w:t>
      </w:r>
      <w:r w:rsidR="00190775" w:rsidRPr="00364F8A">
        <w:rPr>
          <w:rFonts w:ascii="Candara" w:eastAsia="Candara" w:hAnsi="Candara" w:cs="Candara"/>
          <w:sz w:val="24"/>
          <w:szCs w:val="24"/>
        </w:rPr>
        <w:t>B</w:t>
      </w:r>
      <w:r w:rsidRPr="00364F8A">
        <w:rPr>
          <w:rFonts w:ascii="Candara" w:eastAsia="Candara" w:hAnsi="Candara" w:cs="Candara"/>
          <w:sz w:val="24"/>
          <w:szCs w:val="24"/>
        </w:rPr>
        <w:t>rasileiro em 2022</w:t>
      </w:r>
    </w:p>
    <w:tbl>
      <w:tblPr>
        <w:tblW w:w="5000" w:type="pct"/>
        <w:tblCellMar>
          <w:left w:w="70" w:type="dxa"/>
          <w:right w:w="70" w:type="dxa"/>
        </w:tblCellMar>
        <w:tblLook w:val="04A0" w:firstRow="1" w:lastRow="0" w:firstColumn="1" w:lastColumn="0" w:noHBand="0" w:noVBand="1"/>
      </w:tblPr>
      <w:tblGrid>
        <w:gridCol w:w="3113"/>
        <w:gridCol w:w="1708"/>
        <w:gridCol w:w="1043"/>
        <w:gridCol w:w="1599"/>
        <w:gridCol w:w="1041"/>
      </w:tblGrid>
      <w:tr w:rsidR="00364F8A" w:rsidRPr="00364F8A" w14:paraId="7C16BAD5" w14:textId="77777777" w:rsidTr="00502F10">
        <w:trPr>
          <w:trHeight w:val="300"/>
        </w:trPr>
        <w:tc>
          <w:tcPr>
            <w:tcW w:w="1831" w:type="pct"/>
            <w:tcBorders>
              <w:top w:val="single" w:sz="4" w:space="0" w:color="auto"/>
              <w:left w:val="nil"/>
              <w:bottom w:val="single" w:sz="4" w:space="0" w:color="auto"/>
              <w:right w:val="nil"/>
            </w:tcBorders>
            <w:shd w:val="clear" w:color="auto" w:fill="auto"/>
            <w:noWrap/>
            <w:vAlign w:val="center"/>
            <w:hideMark/>
          </w:tcPr>
          <w:p w14:paraId="3753D5FD" w14:textId="77777777" w:rsidR="00502F10" w:rsidRPr="00364F8A" w:rsidRDefault="00502F10" w:rsidP="00502F10">
            <w:pPr>
              <w:spacing w:after="0" w:line="240" w:lineRule="auto"/>
              <w:jc w:val="center"/>
              <w:rPr>
                <w:rFonts w:ascii="Candara" w:eastAsia="Times New Roman" w:hAnsi="Candara"/>
                <w:b/>
                <w:bCs/>
              </w:rPr>
            </w:pPr>
            <w:r w:rsidRPr="00364F8A">
              <w:rPr>
                <w:rFonts w:ascii="Candara" w:eastAsia="Times New Roman" w:hAnsi="Candara"/>
                <w:b/>
                <w:bCs/>
              </w:rPr>
              <w:t>Intervalo populacional</w:t>
            </w:r>
          </w:p>
        </w:tc>
        <w:tc>
          <w:tcPr>
            <w:tcW w:w="1004" w:type="pct"/>
            <w:tcBorders>
              <w:top w:val="single" w:sz="4" w:space="0" w:color="auto"/>
              <w:left w:val="nil"/>
              <w:bottom w:val="single" w:sz="4" w:space="0" w:color="auto"/>
              <w:right w:val="nil"/>
            </w:tcBorders>
            <w:shd w:val="clear" w:color="auto" w:fill="auto"/>
            <w:noWrap/>
            <w:vAlign w:val="center"/>
            <w:hideMark/>
          </w:tcPr>
          <w:p w14:paraId="26450BA6" w14:textId="77777777" w:rsidR="00502F10" w:rsidRPr="00364F8A" w:rsidRDefault="00502F10" w:rsidP="00502F10">
            <w:pPr>
              <w:spacing w:after="0" w:line="240" w:lineRule="auto"/>
              <w:jc w:val="center"/>
              <w:rPr>
                <w:rFonts w:ascii="Candara" w:eastAsia="Times New Roman" w:hAnsi="Candara"/>
                <w:b/>
                <w:bCs/>
              </w:rPr>
            </w:pPr>
            <w:r w:rsidRPr="00364F8A">
              <w:rPr>
                <w:rFonts w:ascii="Candara" w:eastAsia="Times New Roman" w:hAnsi="Candara"/>
                <w:b/>
                <w:bCs/>
              </w:rPr>
              <w:t>Quantidade</w:t>
            </w:r>
          </w:p>
        </w:tc>
        <w:tc>
          <w:tcPr>
            <w:tcW w:w="613" w:type="pct"/>
            <w:tcBorders>
              <w:top w:val="single" w:sz="4" w:space="0" w:color="auto"/>
              <w:left w:val="nil"/>
              <w:bottom w:val="single" w:sz="4" w:space="0" w:color="auto"/>
              <w:right w:val="nil"/>
            </w:tcBorders>
            <w:shd w:val="clear" w:color="auto" w:fill="auto"/>
            <w:noWrap/>
            <w:vAlign w:val="center"/>
            <w:hideMark/>
          </w:tcPr>
          <w:p w14:paraId="41DCB6BF" w14:textId="77777777" w:rsidR="00502F10" w:rsidRPr="00364F8A" w:rsidRDefault="00502F10" w:rsidP="00502F10">
            <w:pPr>
              <w:spacing w:after="0" w:line="240" w:lineRule="auto"/>
              <w:jc w:val="center"/>
              <w:rPr>
                <w:rFonts w:ascii="Candara" w:eastAsia="Times New Roman" w:hAnsi="Candara"/>
                <w:b/>
                <w:bCs/>
              </w:rPr>
            </w:pPr>
            <w:r w:rsidRPr="00364F8A">
              <w:rPr>
                <w:rFonts w:ascii="Candara" w:eastAsia="Times New Roman" w:hAnsi="Candara"/>
                <w:b/>
                <w:bCs/>
              </w:rPr>
              <w:t>%</w:t>
            </w:r>
          </w:p>
        </w:tc>
        <w:tc>
          <w:tcPr>
            <w:tcW w:w="940" w:type="pct"/>
            <w:tcBorders>
              <w:top w:val="single" w:sz="4" w:space="0" w:color="auto"/>
              <w:left w:val="nil"/>
              <w:bottom w:val="single" w:sz="4" w:space="0" w:color="auto"/>
              <w:right w:val="nil"/>
            </w:tcBorders>
            <w:shd w:val="clear" w:color="auto" w:fill="auto"/>
            <w:noWrap/>
            <w:vAlign w:val="center"/>
            <w:hideMark/>
          </w:tcPr>
          <w:p w14:paraId="4B5B9640" w14:textId="77777777" w:rsidR="00502F10" w:rsidRPr="00364F8A" w:rsidRDefault="00502F10" w:rsidP="00502F10">
            <w:pPr>
              <w:spacing w:after="0" w:line="240" w:lineRule="auto"/>
              <w:jc w:val="center"/>
              <w:rPr>
                <w:rFonts w:ascii="Candara" w:eastAsia="Times New Roman" w:hAnsi="Candara"/>
                <w:b/>
                <w:bCs/>
              </w:rPr>
            </w:pPr>
            <w:r w:rsidRPr="00364F8A">
              <w:rPr>
                <w:rFonts w:ascii="Candara" w:eastAsia="Times New Roman" w:hAnsi="Candara"/>
                <w:b/>
                <w:bCs/>
              </w:rPr>
              <w:t>População</w:t>
            </w:r>
          </w:p>
        </w:tc>
        <w:tc>
          <w:tcPr>
            <w:tcW w:w="613" w:type="pct"/>
            <w:tcBorders>
              <w:top w:val="single" w:sz="4" w:space="0" w:color="auto"/>
              <w:left w:val="nil"/>
              <w:bottom w:val="single" w:sz="4" w:space="0" w:color="auto"/>
              <w:right w:val="nil"/>
            </w:tcBorders>
            <w:shd w:val="clear" w:color="auto" w:fill="auto"/>
            <w:noWrap/>
            <w:vAlign w:val="center"/>
            <w:hideMark/>
          </w:tcPr>
          <w:p w14:paraId="139FFF6D" w14:textId="77777777" w:rsidR="00502F10" w:rsidRPr="00364F8A" w:rsidRDefault="00502F10" w:rsidP="00502F10">
            <w:pPr>
              <w:spacing w:after="0" w:line="240" w:lineRule="auto"/>
              <w:jc w:val="center"/>
              <w:rPr>
                <w:rFonts w:ascii="Candara" w:eastAsia="Times New Roman" w:hAnsi="Candara"/>
                <w:b/>
                <w:bCs/>
              </w:rPr>
            </w:pPr>
            <w:r w:rsidRPr="00364F8A">
              <w:rPr>
                <w:rFonts w:ascii="Candara" w:eastAsia="Times New Roman" w:hAnsi="Candara"/>
                <w:b/>
                <w:bCs/>
              </w:rPr>
              <w:t>%</w:t>
            </w:r>
          </w:p>
        </w:tc>
      </w:tr>
      <w:tr w:rsidR="00364F8A" w:rsidRPr="00364F8A" w14:paraId="7D50FBE5" w14:textId="77777777" w:rsidTr="00502F10">
        <w:trPr>
          <w:trHeight w:val="300"/>
        </w:trPr>
        <w:tc>
          <w:tcPr>
            <w:tcW w:w="1831" w:type="pct"/>
            <w:tcBorders>
              <w:top w:val="single" w:sz="4" w:space="0" w:color="auto"/>
              <w:left w:val="nil"/>
              <w:bottom w:val="nil"/>
              <w:right w:val="nil"/>
            </w:tcBorders>
            <w:shd w:val="clear" w:color="auto" w:fill="auto"/>
            <w:noWrap/>
            <w:vAlign w:val="center"/>
            <w:hideMark/>
          </w:tcPr>
          <w:p w14:paraId="0F0A6D1A"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Até 5.000</w:t>
            </w:r>
          </w:p>
        </w:tc>
        <w:tc>
          <w:tcPr>
            <w:tcW w:w="1004" w:type="pct"/>
            <w:tcBorders>
              <w:top w:val="single" w:sz="4" w:space="0" w:color="auto"/>
              <w:left w:val="nil"/>
              <w:bottom w:val="nil"/>
              <w:right w:val="nil"/>
            </w:tcBorders>
            <w:shd w:val="clear" w:color="auto" w:fill="auto"/>
            <w:noWrap/>
            <w:vAlign w:val="center"/>
            <w:hideMark/>
          </w:tcPr>
          <w:p w14:paraId="1E082B54"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221</w:t>
            </w:r>
          </w:p>
        </w:tc>
        <w:tc>
          <w:tcPr>
            <w:tcW w:w="613" w:type="pct"/>
            <w:tcBorders>
              <w:top w:val="single" w:sz="4" w:space="0" w:color="auto"/>
              <w:left w:val="nil"/>
              <w:bottom w:val="nil"/>
              <w:right w:val="nil"/>
            </w:tcBorders>
            <w:shd w:val="clear" w:color="auto" w:fill="auto"/>
            <w:noWrap/>
            <w:vAlign w:val="center"/>
            <w:hideMark/>
          </w:tcPr>
          <w:p w14:paraId="3A7307CA"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17,62</w:t>
            </w:r>
          </w:p>
        </w:tc>
        <w:tc>
          <w:tcPr>
            <w:tcW w:w="940" w:type="pct"/>
            <w:tcBorders>
              <w:top w:val="single" w:sz="4" w:space="0" w:color="auto"/>
              <w:left w:val="nil"/>
              <w:bottom w:val="nil"/>
              <w:right w:val="nil"/>
            </w:tcBorders>
            <w:shd w:val="clear" w:color="auto" w:fill="auto"/>
            <w:noWrap/>
            <w:vAlign w:val="center"/>
            <w:hideMark/>
          </w:tcPr>
          <w:p w14:paraId="69FE94CA"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802.986</w:t>
            </w:r>
          </w:p>
        </w:tc>
        <w:tc>
          <w:tcPr>
            <w:tcW w:w="613" w:type="pct"/>
            <w:tcBorders>
              <w:top w:val="single" w:sz="4" w:space="0" w:color="auto"/>
              <w:left w:val="nil"/>
              <w:bottom w:val="nil"/>
              <w:right w:val="nil"/>
            </w:tcBorders>
            <w:shd w:val="clear" w:color="auto" w:fill="auto"/>
            <w:noWrap/>
            <w:vAlign w:val="center"/>
            <w:hideMark/>
          </w:tcPr>
          <w:p w14:paraId="669F035D"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2,91</w:t>
            </w:r>
          </w:p>
        </w:tc>
      </w:tr>
      <w:tr w:rsidR="00364F8A" w:rsidRPr="00364F8A" w14:paraId="3DAAB29D" w14:textId="77777777" w:rsidTr="00502F10">
        <w:trPr>
          <w:trHeight w:val="300"/>
        </w:trPr>
        <w:tc>
          <w:tcPr>
            <w:tcW w:w="1831" w:type="pct"/>
            <w:tcBorders>
              <w:top w:val="nil"/>
              <w:left w:val="nil"/>
              <w:bottom w:val="nil"/>
              <w:right w:val="nil"/>
            </w:tcBorders>
            <w:shd w:val="clear" w:color="auto" w:fill="auto"/>
            <w:noWrap/>
            <w:vAlign w:val="center"/>
            <w:hideMark/>
          </w:tcPr>
          <w:p w14:paraId="26DC7CB9"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5.001 a 10.000</w:t>
            </w:r>
          </w:p>
        </w:tc>
        <w:tc>
          <w:tcPr>
            <w:tcW w:w="1004" w:type="pct"/>
            <w:tcBorders>
              <w:top w:val="nil"/>
              <w:left w:val="nil"/>
              <w:bottom w:val="nil"/>
              <w:right w:val="nil"/>
            </w:tcBorders>
            <w:shd w:val="clear" w:color="auto" w:fill="auto"/>
            <w:noWrap/>
            <w:vAlign w:val="center"/>
            <w:hideMark/>
          </w:tcPr>
          <w:p w14:paraId="73A99AD9"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274</w:t>
            </w:r>
          </w:p>
        </w:tc>
        <w:tc>
          <w:tcPr>
            <w:tcW w:w="613" w:type="pct"/>
            <w:tcBorders>
              <w:top w:val="nil"/>
              <w:left w:val="nil"/>
              <w:bottom w:val="nil"/>
              <w:right w:val="nil"/>
            </w:tcBorders>
            <w:shd w:val="clear" w:color="auto" w:fill="auto"/>
            <w:noWrap/>
            <w:vAlign w:val="center"/>
            <w:hideMark/>
          </w:tcPr>
          <w:p w14:paraId="4CA66846"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21,85</w:t>
            </w:r>
          </w:p>
        </w:tc>
        <w:tc>
          <w:tcPr>
            <w:tcW w:w="940" w:type="pct"/>
            <w:tcBorders>
              <w:top w:val="nil"/>
              <w:left w:val="nil"/>
              <w:bottom w:val="nil"/>
              <w:right w:val="nil"/>
            </w:tcBorders>
            <w:shd w:val="clear" w:color="auto" w:fill="auto"/>
            <w:noWrap/>
            <w:vAlign w:val="center"/>
            <w:hideMark/>
          </w:tcPr>
          <w:p w14:paraId="26FB1F92"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1.952.906</w:t>
            </w:r>
          </w:p>
        </w:tc>
        <w:tc>
          <w:tcPr>
            <w:tcW w:w="613" w:type="pct"/>
            <w:tcBorders>
              <w:top w:val="nil"/>
              <w:left w:val="nil"/>
              <w:bottom w:val="nil"/>
              <w:right w:val="nil"/>
            </w:tcBorders>
            <w:shd w:val="clear" w:color="auto" w:fill="auto"/>
            <w:noWrap/>
            <w:vAlign w:val="center"/>
            <w:hideMark/>
          </w:tcPr>
          <w:p w14:paraId="0AF6EB39"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7,08</w:t>
            </w:r>
          </w:p>
        </w:tc>
      </w:tr>
      <w:tr w:rsidR="00364F8A" w:rsidRPr="00364F8A" w14:paraId="6FCC3E02" w14:textId="77777777" w:rsidTr="00502F10">
        <w:trPr>
          <w:trHeight w:val="300"/>
        </w:trPr>
        <w:tc>
          <w:tcPr>
            <w:tcW w:w="1831" w:type="pct"/>
            <w:tcBorders>
              <w:top w:val="nil"/>
              <w:left w:val="nil"/>
              <w:bottom w:val="nil"/>
              <w:right w:val="nil"/>
            </w:tcBorders>
            <w:shd w:val="clear" w:color="auto" w:fill="auto"/>
            <w:noWrap/>
            <w:vAlign w:val="center"/>
            <w:hideMark/>
          </w:tcPr>
          <w:p w14:paraId="589300C2"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10.001 a 20.000</w:t>
            </w:r>
          </w:p>
        </w:tc>
        <w:tc>
          <w:tcPr>
            <w:tcW w:w="1004" w:type="pct"/>
            <w:tcBorders>
              <w:top w:val="nil"/>
              <w:left w:val="nil"/>
              <w:bottom w:val="nil"/>
              <w:right w:val="nil"/>
            </w:tcBorders>
            <w:shd w:val="clear" w:color="auto" w:fill="auto"/>
            <w:noWrap/>
            <w:vAlign w:val="center"/>
            <w:hideMark/>
          </w:tcPr>
          <w:p w14:paraId="1A90F682"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398</w:t>
            </w:r>
          </w:p>
        </w:tc>
        <w:tc>
          <w:tcPr>
            <w:tcW w:w="613" w:type="pct"/>
            <w:tcBorders>
              <w:top w:val="nil"/>
              <w:left w:val="nil"/>
              <w:bottom w:val="nil"/>
              <w:right w:val="nil"/>
            </w:tcBorders>
            <w:shd w:val="clear" w:color="auto" w:fill="auto"/>
            <w:noWrap/>
            <w:vAlign w:val="center"/>
            <w:hideMark/>
          </w:tcPr>
          <w:p w14:paraId="464D9F82"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31,74</w:t>
            </w:r>
          </w:p>
        </w:tc>
        <w:tc>
          <w:tcPr>
            <w:tcW w:w="940" w:type="pct"/>
            <w:tcBorders>
              <w:top w:val="nil"/>
              <w:left w:val="nil"/>
              <w:bottom w:val="nil"/>
              <w:right w:val="nil"/>
            </w:tcBorders>
            <w:shd w:val="clear" w:color="auto" w:fill="auto"/>
            <w:noWrap/>
            <w:vAlign w:val="center"/>
            <w:hideMark/>
          </w:tcPr>
          <w:p w14:paraId="2AED269A"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5.623.197</w:t>
            </w:r>
          </w:p>
        </w:tc>
        <w:tc>
          <w:tcPr>
            <w:tcW w:w="613" w:type="pct"/>
            <w:tcBorders>
              <w:top w:val="nil"/>
              <w:left w:val="nil"/>
              <w:bottom w:val="nil"/>
              <w:right w:val="nil"/>
            </w:tcBorders>
            <w:shd w:val="clear" w:color="auto" w:fill="auto"/>
            <w:noWrap/>
            <w:vAlign w:val="center"/>
            <w:hideMark/>
          </w:tcPr>
          <w:p w14:paraId="66EEBCC2"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20,38</w:t>
            </w:r>
          </w:p>
        </w:tc>
      </w:tr>
      <w:tr w:rsidR="00364F8A" w:rsidRPr="00364F8A" w14:paraId="6A0612A1" w14:textId="77777777" w:rsidTr="00502F10">
        <w:trPr>
          <w:trHeight w:val="300"/>
        </w:trPr>
        <w:tc>
          <w:tcPr>
            <w:tcW w:w="1831" w:type="pct"/>
            <w:tcBorders>
              <w:top w:val="nil"/>
              <w:left w:val="nil"/>
              <w:bottom w:val="nil"/>
              <w:right w:val="nil"/>
            </w:tcBorders>
            <w:shd w:val="clear" w:color="auto" w:fill="auto"/>
            <w:noWrap/>
            <w:vAlign w:val="center"/>
            <w:hideMark/>
          </w:tcPr>
          <w:p w14:paraId="0973C346"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20.001 a 50.000</w:t>
            </w:r>
          </w:p>
        </w:tc>
        <w:tc>
          <w:tcPr>
            <w:tcW w:w="1004" w:type="pct"/>
            <w:tcBorders>
              <w:top w:val="nil"/>
              <w:left w:val="nil"/>
              <w:bottom w:val="nil"/>
              <w:right w:val="nil"/>
            </w:tcBorders>
            <w:shd w:val="clear" w:color="auto" w:fill="auto"/>
            <w:noWrap/>
            <w:vAlign w:val="center"/>
            <w:hideMark/>
          </w:tcPr>
          <w:p w14:paraId="39170150"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265</w:t>
            </w:r>
          </w:p>
        </w:tc>
        <w:tc>
          <w:tcPr>
            <w:tcW w:w="613" w:type="pct"/>
            <w:tcBorders>
              <w:top w:val="nil"/>
              <w:left w:val="nil"/>
              <w:bottom w:val="nil"/>
              <w:right w:val="nil"/>
            </w:tcBorders>
            <w:shd w:val="clear" w:color="auto" w:fill="auto"/>
            <w:noWrap/>
            <w:vAlign w:val="center"/>
            <w:hideMark/>
          </w:tcPr>
          <w:p w14:paraId="429A2C55"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21,13</w:t>
            </w:r>
          </w:p>
        </w:tc>
        <w:tc>
          <w:tcPr>
            <w:tcW w:w="940" w:type="pct"/>
            <w:tcBorders>
              <w:top w:val="nil"/>
              <w:left w:val="nil"/>
              <w:bottom w:val="nil"/>
              <w:right w:val="nil"/>
            </w:tcBorders>
            <w:shd w:val="clear" w:color="auto" w:fill="auto"/>
            <w:noWrap/>
            <w:vAlign w:val="center"/>
            <w:hideMark/>
          </w:tcPr>
          <w:p w14:paraId="2FA3A3A7"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7.993.328</w:t>
            </w:r>
          </w:p>
        </w:tc>
        <w:tc>
          <w:tcPr>
            <w:tcW w:w="613" w:type="pct"/>
            <w:tcBorders>
              <w:top w:val="nil"/>
              <w:left w:val="nil"/>
              <w:bottom w:val="nil"/>
              <w:right w:val="nil"/>
            </w:tcBorders>
            <w:shd w:val="clear" w:color="auto" w:fill="auto"/>
            <w:noWrap/>
            <w:vAlign w:val="center"/>
            <w:hideMark/>
          </w:tcPr>
          <w:p w14:paraId="33CA114A"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28,97</w:t>
            </w:r>
          </w:p>
        </w:tc>
      </w:tr>
      <w:tr w:rsidR="00364F8A" w:rsidRPr="00364F8A" w14:paraId="33B30853" w14:textId="77777777" w:rsidTr="00502F10">
        <w:trPr>
          <w:trHeight w:val="300"/>
        </w:trPr>
        <w:tc>
          <w:tcPr>
            <w:tcW w:w="1831" w:type="pct"/>
            <w:tcBorders>
              <w:top w:val="nil"/>
              <w:left w:val="nil"/>
              <w:bottom w:val="nil"/>
              <w:right w:val="nil"/>
            </w:tcBorders>
            <w:shd w:val="clear" w:color="auto" w:fill="auto"/>
            <w:noWrap/>
            <w:vAlign w:val="center"/>
            <w:hideMark/>
          </w:tcPr>
          <w:p w14:paraId="0605A706"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50.001 a 100.000</w:t>
            </w:r>
          </w:p>
        </w:tc>
        <w:tc>
          <w:tcPr>
            <w:tcW w:w="1004" w:type="pct"/>
            <w:tcBorders>
              <w:top w:val="nil"/>
              <w:left w:val="nil"/>
              <w:bottom w:val="nil"/>
              <w:right w:val="nil"/>
            </w:tcBorders>
            <w:shd w:val="clear" w:color="auto" w:fill="auto"/>
            <w:noWrap/>
            <w:vAlign w:val="center"/>
            <w:hideMark/>
          </w:tcPr>
          <w:p w14:paraId="21E54050"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71</w:t>
            </w:r>
          </w:p>
        </w:tc>
        <w:tc>
          <w:tcPr>
            <w:tcW w:w="613" w:type="pct"/>
            <w:tcBorders>
              <w:top w:val="nil"/>
              <w:left w:val="nil"/>
              <w:bottom w:val="nil"/>
              <w:right w:val="nil"/>
            </w:tcBorders>
            <w:shd w:val="clear" w:color="auto" w:fill="auto"/>
            <w:noWrap/>
            <w:vAlign w:val="center"/>
            <w:hideMark/>
          </w:tcPr>
          <w:p w14:paraId="72E0FA34"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5,66</w:t>
            </w:r>
          </w:p>
        </w:tc>
        <w:tc>
          <w:tcPr>
            <w:tcW w:w="940" w:type="pct"/>
            <w:tcBorders>
              <w:top w:val="nil"/>
              <w:left w:val="nil"/>
              <w:bottom w:val="nil"/>
              <w:right w:val="nil"/>
            </w:tcBorders>
            <w:shd w:val="clear" w:color="auto" w:fill="auto"/>
            <w:noWrap/>
            <w:vAlign w:val="center"/>
            <w:hideMark/>
          </w:tcPr>
          <w:p w14:paraId="3BEB7F1F"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4.824.807</w:t>
            </w:r>
          </w:p>
        </w:tc>
        <w:tc>
          <w:tcPr>
            <w:tcW w:w="613" w:type="pct"/>
            <w:tcBorders>
              <w:top w:val="nil"/>
              <w:left w:val="nil"/>
              <w:bottom w:val="nil"/>
              <w:right w:val="nil"/>
            </w:tcBorders>
            <w:shd w:val="clear" w:color="auto" w:fill="auto"/>
            <w:noWrap/>
            <w:vAlign w:val="center"/>
            <w:hideMark/>
          </w:tcPr>
          <w:p w14:paraId="5478A732"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17,49</w:t>
            </w:r>
          </w:p>
        </w:tc>
      </w:tr>
      <w:tr w:rsidR="00364F8A" w:rsidRPr="00364F8A" w14:paraId="174BD834" w14:textId="77777777" w:rsidTr="00502F10">
        <w:trPr>
          <w:trHeight w:val="300"/>
        </w:trPr>
        <w:tc>
          <w:tcPr>
            <w:tcW w:w="1831" w:type="pct"/>
            <w:tcBorders>
              <w:top w:val="nil"/>
              <w:left w:val="nil"/>
              <w:bottom w:val="nil"/>
              <w:right w:val="nil"/>
            </w:tcBorders>
            <w:shd w:val="clear" w:color="auto" w:fill="auto"/>
            <w:noWrap/>
            <w:vAlign w:val="center"/>
            <w:hideMark/>
          </w:tcPr>
          <w:p w14:paraId="765325DA"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100.001 a 500.000</w:t>
            </w:r>
          </w:p>
        </w:tc>
        <w:tc>
          <w:tcPr>
            <w:tcW w:w="1004" w:type="pct"/>
            <w:tcBorders>
              <w:top w:val="nil"/>
              <w:left w:val="nil"/>
              <w:bottom w:val="nil"/>
              <w:right w:val="nil"/>
            </w:tcBorders>
            <w:shd w:val="clear" w:color="auto" w:fill="auto"/>
            <w:noWrap/>
            <w:vAlign w:val="center"/>
            <w:hideMark/>
          </w:tcPr>
          <w:p w14:paraId="6EE003E5"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23</w:t>
            </w:r>
          </w:p>
        </w:tc>
        <w:tc>
          <w:tcPr>
            <w:tcW w:w="613" w:type="pct"/>
            <w:tcBorders>
              <w:top w:val="nil"/>
              <w:left w:val="nil"/>
              <w:bottom w:val="nil"/>
              <w:right w:val="nil"/>
            </w:tcBorders>
            <w:shd w:val="clear" w:color="auto" w:fill="auto"/>
            <w:noWrap/>
            <w:vAlign w:val="center"/>
            <w:hideMark/>
          </w:tcPr>
          <w:p w14:paraId="23025105"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1,83</w:t>
            </w:r>
          </w:p>
        </w:tc>
        <w:tc>
          <w:tcPr>
            <w:tcW w:w="940" w:type="pct"/>
            <w:tcBorders>
              <w:top w:val="nil"/>
              <w:left w:val="nil"/>
              <w:bottom w:val="nil"/>
              <w:right w:val="nil"/>
            </w:tcBorders>
            <w:shd w:val="clear" w:color="auto" w:fill="auto"/>
            <w:noWrap/>
            <w:vAlign w:val="center"/>
            <w:hideMark/>
          </w:tcPr>
          <w:p w14:paraId="2AEAE4CA"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4.910.627</w:t>
            </w:r>
          </w:p>
        </w:tc>
        <w:tc>
          <w:tcPr>
            <w:tcW w:w="613" w:type="pct"/>
            <w:tcBorders>
              <w:top w:val="nil"/>
              <w:left w:val="nil"/>
              <w:bottom w:val="nil"/>
              <w:right w:val="nil"/>
            </w:tcBorders>
            <w:shd w:val="clear" w:color="auto" w:fill="auto"/>
            <w:noWrap/>
            <w:vAlign w:val="center"/>
            <w:hideMark/>
          </w:tcPr>
          <w:p w14:paraId="1057E729"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17,80</w:t>
            </w:r>
          </w:p>
        </w:tc>
      </w:tr>
      <w:tr w:rsidR="00364F8A" w:rsidRPr="00364F8A" w14:paraId="3A66CB3E" w14:textId="77777777" w:rsidTr="00502F10">
        <w:trPr>
          <w:trHeight w:val="300"/>
        </w:trPr>
        <w:tc>
          <w:tcPr>
            <w:tcW w:w="1831" w:type="pct"/>
            <w:tcBorders>
              <w:top w:val="nil"/>
              <w:left w:val="nil"/>
              <w:bottom w:val="single" w:sz="4" w:space="0" w:color="auto"/>
              <w:right w:val="nil"/>
            </w:tcBorders>
            <w:shd w:val="clear" w:color="auto" w:fill="auto"/>
            <w:noWrap/>
            <w:vAlign w:val="center"/>
            <w:hideMark/>
          </w:tcPr>
          <w:p w14:paraId="53B2013B"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500.001 a 1.000.000</w:t>
            </w:r>
          </w:p>
        </w:tc>
        <w:tc>
          <w:tcPr>
            <w:tcW w:w="1004" w:type="pct"/>
            <w:tcBorders>
              <w:top w:val="nil"/>
              <w:left w:val="nil"/>
              <w:bottom w:val="single" w:sz="4" w:space="0" w:color="auto"/>
              <w:right w:val="nil"/>
            </w:tcBorders>
            <w:shd w:val="clear" w:color="auto" w:fill="auto"/>
            <w:noWrap/>
            <w:vAlign w:val="center"/>
            <w:hideMark/>
          </w:tcPr>
          <w:p w14:paraId="6EE61311"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2</w:t>
            </w:r>
          </w:p>
        </w:tc>
        <w:tc>
          <w:tcPr>
            <w:tcW w:w="613" w:type="pct"/>
            <w:tcBorders>
              <w:top w:val="nil"/>
              <w:left w:val="nil"/>
              <w:bottom w:val="single" w:sz="4" w:space="0" w:color="auto"/>
              <w:right w:val="nil"/>
            </w:tcBorders>
            <w:shd w:val="clear" w:color="auto" w:fill="auto"/>
            <w:noWrap/>
            <w:vAlign w:val="center"/>
            <w:hideMark/>
          </w:tcPr>
          <w:p w14:paraId="0B765CD4"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0,16</w:t>
            </w:r>
          </w:p>
        </w:tc>
        <w:tc>
          <w:tcPr>
            <w:tcW w:w="940" w:type="pct"/>
            <w:tcBorders>
              <w:top w:val="nil"/>
              <w:left w:val="nil"/>
              <w:bottom w:val="single" w:sz="4" w:space="0" w:color="auto"/>
              <w:right w:val="nil"/>
            </w:tcBorders>
            <w:shd w:val="clear" w:color="auto" w:fill="auto"/>
            <w:noWrap/>
            <w:vAlign w:val="center"/>
            <w:hideMark/>
          </w:tcPr>
          <w:p w14:paraId="56D3E8FC"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1.482.572</w:t>
            </w:r>
          </w:p>
        </w:tc>
        <w:tc>
          <w:tcPr>
            <w:tcW w:w="613" w:type="pct"/>
            <w:tcBorders>
              <w:top w:val="nil"/>
              <w:left w:val="nil"/>
              <w:bottom w:val="single" w:sz="4" w:space="0" w:color="auto"/>
              <w:right w:val="nil"/>
            </w:tcBorders>
            <w:shd w:val="clear" w:color="auto" w:fill="auto"/>
            <w:noWrap/>
            <w:vAlign w:val="center"/>
            <w:hideMark/>
          </w:tcPr>
          <w:p w14:paraId="1A9DFFB0"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5,37</w:t>
            </w:r>
          </w:p>
        </w:tc>
      </w:tr>
      <w:tr w:rsidR="00364F8A" w:rsidRPr="00364F8A" w14:paraId="16387752" w14:textId="77777777" w:rsidTr="00502F10">
        <w:trPr>
          <w:trHeight w:val="300"/>
        </w:trPr>
        <w:tc>
          <w:tcPr>
            <w:tcW w:w="1831" w:type="pct"/>
            <w:tcBorders>
              <w:top w:val="single" w:sz="4" w:space="0" w:color="auto"/>
              <w:left w:val="nil"/>
              <w:bottom w:val="single" w:sz="4" w:space="0" w:color="auto"/>
              <w:right w:val="nil"/>
            </w:tcBorders>
            <w:shd w:val="clear" w:color="auto" w:fill="auto"/>
            <w:noWrap/>
            <w:vAlign w:val="center"/>
            <w:hideMark/>
          </w:tcPr>
          <w:p w14:paraId="148FEE3B" w14:textId="77777777" w:rsidR="00502F10" w:rsidRPr="00364F8A" w:rsidRDefault="00502F10" w:rsidP="00502F10">
            <w:pPr>
              <w:spacing w:after="0" w:line="240" w:lineRule="auto"/>
              <w:jc w:val="center"/>
              <w:rPr>
                <w:rFonts w:ascii="Candara" w:eastAsia="Times New Roman" w:hAnsi="Candara"/>
                <w:b/>
                <w:bCs/>
              </w:rPr>
            </w:pPr>
            <w:r w:rsidRPr="00364F8A">
              <w:rPr>
                <w:rFonts w:ascii="Candara" w:eastAsia="Times New Roman" w:hAnsi="Candara"/>
                <w:b/>
                <w:bCs/>
              </w:rPr>
              <w:t>Semiárido Nordestino</w:t>
            </w:r>
          </w:p>
        </w:tc>
        <w:tc>
          <w:tcPr>
            <w:tcW w:w="1004" w:type="pct"/>
            <w:tcBorders>
              <w:top w:val="single" w:sz="4" w:space="0" w:color="auto"/>
              <w:left w:val="nil"/>
              <w:bottom w:val="single" w:sz="4" w:space="0" w:color="auto"/>
              <w:right w:val="nil"/>
            </w:tcBorders>
            <w:shd w:val="clear" w:color="auto" w:fill="auto"/>
            <w:noWrap/>
            <w:vAlign w:val="center"/>
            <w:hideMark/>
          </w:tcPr>
          <w:p w14:paraId="70B305B4"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1.254</w:t>
            </w:r>
          </w:p>
        </w:tc>
        <w:tc>
          <w:tcPr>
            <w:tcW w:w="613" w:type="pct"/>
            <w:tcBorders>
              <w:top w:val="single" w:sz="4" w:space="0" w:color="auto"/>
              <w:left w:val="nil"/>
              <w:bottom w:val="single" w:sz="4" w:space="0" w:color="auto"/>
              <w:right w:val="nil"/>
            </w:tcBorders>
            <w:shd w:val="clear" w:color="auto" w:fill="auto"/>
            <w:noWrap/>
            <w:vAlign w:val="center"/>
            <w:hideMark/>
          </w:tcPr>
          <w:p w14:paraId="1EEEB40B"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84,90</w:t>
            </w:r>
          </w:p>
        </w:tc>
        <w:tc>
          <w:tcPr>
            <w:tcW w:w="940" w:type="pct"/>
            <w:tcBorders>
              <w:top w:val="single" w:sz="4" w:space="0" w:color="auto"/>
              <w:left w:val="nil"/>
              <w:bottom w:val="single" w:sz="4" w:space="0" w:color="auto"/>
              <w:right w:val="nil"/>
            </w:tcBorders>
            <w:shd w:val="clear" w:color="auto" w:fill="auto"/>
            <w:noWrap/>
            <w:vAlign w:val="center"/>
            <w:hideMark/>
          </w:tcPr>
          <w:p w14:paraId="467DC1F8"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27.590.423</w:t>
            </w:r>
          </w:p>
        </w:tc>
        <w:tc>
          <w:tcPr>
            <w:tcW w:w="613" w:type="pct"/>
            <w:tcBorders>
              <w:top w:val="single" w:sz="4" w:space="0" w:color="auto"/>
              <w:left w:val="nil"/>
              <w:bottom w:val="single" w:sz="4" w:space="0" w:color="auto"/>
              <w:right w:val="nil"/>
            </w:tcBorders>
            <w:shd w:val="clear" w:color="auto" w:fill="auto"/>
            <w:noWrap/>
            <w:vAlign w:val="center"/>
            <w:hideMark/>
          </w:tcPr>
          <w:p w14:paraId="618714DE"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88,90</w:t>
            </w:r>
          </w:p>
        </w:tc>
      </w:tr>
      <w:tr w:rsidR="00364F8A" w:rsidRPr="00364F8A" w14:paraId="16D6C157" w14:textId="77777777" w:rsidTr="00502F10">
        <w:trPr>
          <w:trHeight w:val="300"/>
        </w:trPr>
        <w:tc>
          <w:tcPr>
            <w:tcW w:w="1831" w:type="pct"/>
            <w:tcBorders>
              <w:top w:val="single" w:sz="4" w:space="0" w:color="auto"/>
              <w:left w:val="nil"/>
              <w:bottom w:val="single" w:sz="4" w:space="0" w:color="auto"/>
              <w:right w:val="nil"/>
            </w:tcBorders>
            <w:shd w:val="clear" w:color="auto" w:fill="auto"/>
            <w:noWrap/>
            <w:vAlign w:val="center"/>
            <w:hideMark/>
          </w:tcPr>
          <w:p w14:paraId="0F464322" w14:textId="77777777" w:rsidR="00502F10" w:rsidRPr="00364F8A" w:rsidRDefault="00502F10" w:rsidP="00502F10">
            <w:pPr>
              <w:spacing w:after="0" w:line="240" w:lineRule="auto"/>
              <w:jc w:val="center"/>
              <w:rPr>
                <w:rFonts w:ascii="Candara" w:eastAsia="Times New Roman" w:hAnsi="Candara"/>
                <w:b/>
                <w:bCs/>
              </w:rPr>
            </w:pPr>
            <w:r w:rsidRPr="00364F8A">
              <w:rPr>
                <w:rFonts w:ascii="Candara" w:eastAsia="Times New Roman" w:hAnsi="Candara"/>
                <w:b/>
                <w:bCs/>
              </w:rPr>
              <w:t>Semiárido Brasileiro</w:t>
            </w:r>
          </w:p>
        </w:tc>
        <w:tc>
          <w:tcPr>
            <w:tcW w:w="1004" w:type="pct"/>
            <w:tcBorders>
              <w:top w:val="single" w:sz="4" w:space="0" w:color="auto"/>
              <w:left w:val="nil"/>
              <w:bottom w:val="single" w:sz="4" w:space="0" w:color="auto"/>
              <w:right w:val="nil"/>
            </w:tcBorders>
            <w:shd w:val="clear" w:color="auto" w:fill="auto"/>
            <w:noWrap/>
            <w:vAlign w:val="center"/>
            <w:hideMark/>
          </w:tcPr>
          <w:p w14:paraId="158A27A0"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1.477</w:t>
            </w:r>
          </w:p>
        </w:tc>
        <w:tc>
          <w:tcPr>
            <w:tcW w:w="613" w:type="pct"/>
            <w:tcBorders>
              <w:top w:val="single" w:sz="4" w:space="0" w:color="auto"/>
              <w:left w:val="nil"/>
              <w:bottom w:val="single" w:sz="4" w:space="0" w:color="auto"/>
              <w:right w:val="nil"/>
            </w:tcBorders>
            <w:shd w:val="clear" w:color="auto" w:fill="auto"/>
            <w:noWrap/>
            <w:vAlign w:val="center"/>
            <w:hideMark/>
          </w:tcPr>
          <w:p w14:paraId="701EE868"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100,00</w:t>
            </w:r>
          </w:p>
        </w:tc>
        <w:tc>
          <w:tcPr>
            <w:tcW w:w="940" w:type="pct"/>
            <w:tcBorders>
              <w:top w:val="single" w:sz="4" w:space="0" w:color="auto"/>
              <w:left w:val="nil"/>
              <w:bottom w:val="single" w:sz="4" w:space="0" w:color="auto"/>
              <w:right w:val="nil"/>
            </w:tcBorders>
            <w:shd w:val="clear" w:color="auto" w:fill="auto"/>
            <w:noWrap/>
            <w:vAlign w:val="center"/>
            <w:hideMark/>
          </w:tcPr>
          <w:p w14:paraId="6CC6E254"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31.035.363</w:t>
            </w:r>
          </w:p>
        </w:tc>
        <w:tc>
          <w:tcPr>
            <w:tcW w:w="613" w:type="pct"/>
            <w:tcBorders>
              <w:top w:val="single" w:sz="4" w:space="0" w:color="auto"/>
              <w:left w:val="nil"/>
              <w:bottom w:val="single" w:sz="4" w:space="0" w:color="auto"/>
              <w:right w:val="nil"/>
            </w:tcBorders>
            <w:shd w:val="clear" w:color="auto" w:fill="auto"/>
            <w:noWrap/>
            <w:vAlign w:val="center"/>
            <w:hideMark/>
          </w:tcPr>
          <w:p w14:paraId="24E596CB" w14:textId="77777777" w:rsidR="00502F10" w:rsidRPr="00364F8A" w:rsidRDefault="00502F10" w:rsidP="00502F10">
            <w:pPr>
              <w:spacing w:after="0" w:line="240" w:lineRule="auto"/>
              <w:jc w:val="center"/>
              <w:rPr>
                <w:rFonts w:ascii="Candara" w:eastAsia="Times New Roman" w:hAnsi="Candara"/>
              </w:rPr>
            </w:pPr>
            <w:r w:rsidRPr="00364F8A">
              <w:rPr>
                <w:rFonts w:ascii="Candara" w:eastAsia="Times New Roman" w:hAnsi="Candara"/>
              </w:rPr>
              <w:t>100,00</w:t>
            </w:r>
          </w:p>
        </w:tc>
      </w:tr>
    </w:tbl>
    <w:p w14:paraId="34148948" w14:textId="2CC46B02" w:rsidR="00843810" w:rsidRPr="00364F8A" w:rsidRDefault="00843810" w:rsidP="001828C2">
      <w:pPr>
        <w:widowControl w:val="0"/>
        <w:shd w:val="clear" w:color="auto" w:fill="FFFFFF"/>
        <w:spacing w:after="120" w:line="360" w:lineRule="auto"/>
        <w:jc w:val="both"/>
        <w:rPr>
          <w:rFonts w:ascii="Candara" w:eastAsia="Candara" w:hAnsi="Candara" w:cs="Candara"/>
          <w:sz w:val="20"/>
          <w:szCs w:val="20"/>
        </w:rPr>
      </w:pPr>
      <w:r w:rsidRPr="00364F8A">
        <w:rPr>
          <w:rFonts w:ascii="Candara" w:eastAsia="Candara" w:hAnsi="Candara" w:cs="Candara"/>
          <w:b/>
          <w:bCs/>
          <w:sz w:val="20"/>
          <w:szCs w:val="20"/>
        </w:rPr>
        <w:t>Fonte</w:t>
      </w:r>
      <w:r w:rsidRPr="00364F8A">
        <w:rPr>
          <w:rFonts w:ascii="Candara" w:eastAsia="Candara" w:hAnsi="Candara" w:cs="Candara"/>
          <w:sz w:val="20"/>
          <w:szCs w:val="20"/>
        </w:rPr>
        <w:t xml:space="preserve">: </w:t>
      </w:r>
      <w:r w:rsidR="00200230" w:rsidRPr="00364F8A">
        <w:rPr>
          <w:rFonts w:ascii="Candara" w:eastAsia="Candara" w:hAnsi="Candara" w:cs="Candara"/>
          <w:sz w:val="20"/>
          <w:szCs w:val="20"/>
        </w:rPr>
        <w:t>IBGE (2022)</w:t>
      </w:r>
      <w:r w:rsidRPr="00364F8A">
        <w:rPr>
          <w:rFonts w:ascii="Candara" w:eastAsia="Candara" w:hAnsi="Candara" w:cs="Candara"/>
          <w:sz w:val="20"/>
          <w:szCs w:val="20"/>
        </w:rPr>
        <w:t>.</w:t>
      </w:r>
    </w:p>
    <w:p w14:paraId="504C763B" w14:textId="7C80F2E1" w:rsidR="00843810" w:rsidRPr="00364F8A" w:rsidRDefault="00843810"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Ainda que análise não fique tão precisa ao comparar com o </w:t>
      </w:r>
      <w:r w:rsidR="00264BD4" w:rsidRPr="00364F8A">
        <w:rPr>
          <w:rFonts w:ascii="Candara" w:eastAsia="Candara" w:hAnsi="Candara" w:cs="Candara"/>
          <w:sz w:val="24"/>
          <w:szCs w:val="24"/>
        </w:rPr>
        <w:t xml:space="preserve">Censo Demográfico </w:t>
      </w:r>
      <w:r w:rsidRPr="00364F8A">
        <w:rPr>
          <w:rFonts w:ascii="Candara" w:eastAsia="Candara" w:hAnsi="Candara" w:cs="Candara"/>
          <w:sz w:val="24"/>
          <w:szCs w:val="24"/>
        </w:rPr>
        <w:t xml:space="preserve">de 2010, diante das metodologias de delimitação da região semiárida – por exemplo, em 2010, a delimitação seguida foi a de 2005 com 1.134 municípios –, cabe frisar alguns aspectos. As tendencias de concentração – populacional e de cidades – permanecem as mesmas. Comparativamente, a participação do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xml:space="preserve"> aumentou consideravelmente sobre o </w:t>
      </w:r>
      <w:r w:rsidR="00264BD4" w:rsidRPr="00364F8A">
        <w:rPr>
          <w:rFonts w:ascii="Candara" w:eastAsia="Candara" w:hAnsi="Candara" w:cs="Candara"/>
          <w:sz w:val="24"/>
          <w:szCs w:val="24"/>
        </w:rPr>
        <w:t>Semiárido Brasileiro</w:t>
      </w:r>
      <w:r w:rsidRPr="00364F8A">
        <w:rPr>
          <w:rFonts w:ascii="Candara" w:eastAsia="Candara" w:hAnsi="Candara" w:cs="Candara"/>
          <w:sz w:val="24"/>
          <w:szCs w:val="24"/>
        </w:rPr>
        <w:t>, de 71,02% dos municípios e 68,84% da população em 2010, para 84,9% e 8</w:t>
      </w:r>
      <w:r w:rsidR="00133C22" w:rsidRPr="00364F8A">
        <w:rPr>
          <w:rFonts w:ascii="Candara" w:eastAsia="Candara" w:hAnsi="Candara" w:cs="Candara"/>
          <w:sz w:val="24"/>
          <w:szCs w:val="24"/>
        </w:rPr>
        <w:t>8,9</w:t>
      </w:r>
      <w:r w:rsidRPr="00364F8A">
        <w:rPr>
          <w:rFonts w:ascii="Candara" w:eastAsia="Candara" w:hAnsi="Candara" w:cs="Candara"/>
          <w:sz w:val="24"/>
          <w:szCs w:val="24"/>
        </w:rPr>
        <w:t xml:space="preserve">%, respectivamente, em 2022. O papel das cidades nos espaços não metropolitanos foi importante para o </w:t>
      </w:r>
      <w:r w:rsidR="005A56BB" w:rsidRPr="00364F8A">
        <w:rPr>
          <w:rFonts w:ascii="Candara" w:eastAsia="Candara" w:hAnsi="Candara" w:cs="Candara"/>
          <w:sz w:val="24"/>
          <w:szCs w:val="24"/>
        </w:rPr>
        <w:lastRenderedPageBreak/>
        <w:t>Semiárido Nordestino</w:t>
      </w:r>
      <w:r w:rsidRPr="00364F8A">
        <w:rPr>
          <w:rFonts w:ascii="Candara" w:eastAsia="Candara" w:hAnsi="Candara" w:cs="Candara"/>
          <w:sz w:val="24"/>
          <w:szCs w:val="24"/>
        </w:rPr>
        <w:t>, com uma rede urbana mais complexa, arrojada.</w:t>
      </w:r>
    </w:p>
    <w:p w14:paraId="10DCCDC8" w14:textId="5D782844" w:rsidR="00843810" w:rsidRPr="00364F8A" w:rsidRDefault="00843810" w:rsidP="001828C2">
      <w:pPr>
        <w:widowControl w:val="0"/>
        <w:shd w:val="clear" w:color="auto" w:fill="FFFFFF"/>
        <w:spacing w:after="120" w:line="360" w:lineRule="auto"/>
        <w:ind w:firstLine="708"/>
        <w:jc w:val="both"/>
        <w:rPr>
          <w:rFonts w:ascii="Candara" w:eastAsia="Candara" w:hAnsi="Candara" w:cs="Candara"/>
          <w:sz w:val="24"/>
          <w:szCs w:val="24"/>
        </w:rPr>
      </w:pPr>
      <w:r w:rsidRPr="00364F8A">
        <w:rPr>
          <w:rFonts w:ascii="Candara" w:eastAsia="Candara" w:hAnsi="Candara" w:cs="Candara"/>
          <w:sz w:val="24"/>
          <w:szCs w:val="24"/>
        </w:rPr>
        <w:t>Observando o PIB da região semiárida do Nordeste, entre 2002 e 2021</w:t>
      </w:r>
      <w:r w:rsidRPr="00364F8A">
        <w:rPr>
          <w:rFonts w:ascii="Candara" w:eastAsia="Candara" w:hAnsi="Candara" w:cs="Candara"/>
          <w:sz w:val="24"/>
          <w:szCs w:val="24"/>
          <w:vertAlign w:val="superscript"/>
        </w:rPr>
        <w:footnoteReference w:id="13"/>
      </w:r>
      <w:r w:rsidRPr="00364F8A">
        <w:rPr>
          <w:rFonts w:ascii="Candara" w:eastAsia="Candara" w:hAnsi="Candara" w:cs="Candara"/>
          <w:sz w:val="24"/>
          <w:szCs w:val="24"/>
        </w:rPr>
        <w:t>, há um crescimento (</w:t>
      </w:r>
      <w:r w:rsidR="00112105" w:rsidRPr="00364F8A">
        <w:rPr>
          <w:rFonts w:ascii="Candara" w:eastAsia="Candara" w:hAnsi="Candara" w:cs="Candara"/>
          <w:sz w:val="24"/>
          <w:szCs w:val="24"/>
        </w:rPr>
        <w:t>82,48</w:t>
      </w:r>
      <w:r w:rsidRPr="00364F8A">
        <w:rPr>
          <w:rFonts w:ascii="Candara" w:eastAsia="Candara" w:hAnsi="Candara" w:cs="Candara"/>
          <w:sz w:val="24"/>
          <w:szCs w:val="24"/>
        </w:rPr>
        <w:t xml:space="preserve">%) acima do </w:t>
      </w:r>
      <w:r w:rsidR="00264BD4" w:rsidRPr="00364F8A">
        <w:rPr>
          <w:rFonts w:ascii="Candara" w:eastAsia="Candara" w:hAnsi="Candara" w:cs="Candara"/>
          <w:sz w:val="24"/>
          <w:szCs w:val="24"/>
        </w:rPr>
        <w:t>Semiárido Brasileiro</w:t>
      </w:r>
      <w:r w:rsidRPr="00364F8A">
        <w:rPr>
          <w:rFonts w:ascii="Candara" w:eastAsia="Candara" w:hAnsi="Candara" w:cs="Candara"/>
          <w:sz w:val="24"/>
          <w:szCs w:val="24"/>
        </w:rPr>
        <w:t xml:space="preserve"> (</w:t>
      </w:r>
      <w:r w:rsidR="00112105" w:rsidRPr="00364F8A">
        <w:rPr>
          <w:rFonts w:ascii="Candara" w:eastAsia="Candara" w:hAnsi="Candara" w:cs="Candara"/>
          <w:sz w:val="24"/>
          <w:szCs w:val="24"/>
        </w:rPr>
        <w:t>79,25</w:t>
      </w:r>
      <w:r w:rsidRPr="00364F8A">
        <w:rPr>
          <w:rFonts w:ascii="Candara" w:eastAsia="Candara" w:hAnsi="Candara" w:cs="Candara"/>
          <w:sz w:val="24"/>
          <w:szCs w:val="24"/>
        </w:rPr>
        <w:t>%), do Nordeste (</w:t>
      </w:r>
      <w:r w:rsidR="00112105" w:rsidRPr="00364F8A">
        <w:rPr>
          <w:rFonts w:ascii="Candara" w:eastAsia="Candara" w:hAnsi="Candara" w:cs="Candara"/>
          <w:sz w:val="24"/>
          <w:szCs w:val="24"/>
        </w:rPr>
        <w:t>61,41</w:t>
      </w:r>
      <w:r w:rsidRPr="00364F8A">
        <w:rPr>
          <w:rFonts w:ascii="Candara" w:eastAsia="Candara" w:hAnsi="Candara" w:cs="Candara"/>
          <w:sz w:val="24"/>
          <w:szCs w:val="24"/>
        </w:rPr>
        <w:t>%) e do Brasil (</w:t>
      </w:r>
      <w:r w:rsidR="00112105" w:rsidRPr="00364F8A">
        <w:rPr>
          <w:rFonts w:ascii="Candara" w:eastAsia="Candara" w:hAnsi="Candara" w:cs="Candara"/>
          <w:sz w:val="24"/>
          <w:szCs w:val="24"/>
        </w:rPr>
        <w:t>53,14</w:t>
      </w:r>
      <w:r w:rsidRPr="00364F8A">
        <w:rPr>
          <w:rFonts w:ascii="Candara" w:eastAsia="Candara" w:hAnsi="Candara" w:cs="Candara"/>
          <w:sz w:val="24"/>
          <w:szCs w:val="24"/>
        </w:rPr>
        <w:t>%), conforme Gráfico 1 ao apresentar a tendência de evolução do PIB para o período</w:t>
      </w:r>
      <w:r w:rsidR="00112105" w:rsidRPr="00364F8A">
        <w:rPr>
          <w:rFonts w:ascii="Candara" w:eastAsia="Candara" w:hAnsi="Candara" w:cs="Candara"/>
          <w:sz w:val="24"/>
          <w:szCs w:val="24"/>
        </w:rPr>
        <w:t xml:space="preserve"> com valores deflacionados pelo deflator implícito do PIB.</w:t>
      </w:r>
    </w:p>
    <w:p w14:paraId="0480200B" w14:textId="108EDAA2" w:rsidR="00843810" w:rsidRPr="00364F8A" w:rsidRDefault="00843810" w:rsidP="001828C2">
      <w:pPr>
        <w:widowControl w:val="0"/>
        <w:shd w:val="clear" w:color="auto" w:fill="FFFFFF"/>
        <w:spacing w:after="0" w:line="240" w:lineRule="auto"/>
        <w:jc w:val="center"/>
        <w:rPr>
          <w:rFonts w:ascii="Candara" w:eastAsia="Candara" w:hAnsi="Candara" w:cs="Candara"/>
          <w:sz w:val="24"/>
          <w:szCs w:val="24"/>
        </w:rPr>
      </w:pPr>
      <w:r w:rsidRPr="00364F8A">
        <w:rPr>
          <w:rFonts w:ascii="Candara" w:eastAsia="Candara" w:hAnsi="Candara" w:cs="Candara"/>
          <w:b/>
          <w:bCs/>
          <w:sz w:val="24"/>
          <w:szCs w:val="24"/>
        </w:rPr>
        <w:t>Gráfico 1</w:t>
      </w:r>
      <w:r w:rsidRPr="00364F8A">
        <w:rPr>
          <w:rFonts w:ascii="Candara" w:eastAsia="Candara" w:hAnsi="Candara" w:cs="Candara"/>
          <w:sz w:val="24"/>
          <w:szCs w:val="24"/>
        </w:rPr>
        <w:t xml:space="preserve"> – Evolução do PIB do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xml:space="preserve"> e </w:t>
      </w:r>
      <w:r w:rsidR="00EB5BC0" w:rsidRPr="00364F8A">
        <w:rPr>
          <w:rFonts w:ascii="Candara" w:eastAsia="Candara" w:hAnsi="Candara" w:cs="Candara"/>
          <w:sz w:val="24"/>
          <w:szCs w:val="24"/>
        </w:rPr>
        <w:t>B</w:t>
      </w:r>
      <w:r w:rsidRPr="00364F8A">
        <w:rPr>
          <w:rFonts w:ascii="Candara" w:eastAsia="Candara" w:hAnsi="Candara" w:cs="Candara"/>
          <w:sz w:val="24"/>
          <w:szCs w:val="24"/>
        </w:rPr>
        <w:t>rasileiro, da macrorregião Nordeste e do Brasil</w:t>
      </w:r>
      <w:r w:rsidR="00A87183">
        <w:rPr>
          <w:rFonts w:ascii="Candara" w:eastAsia="Candara" w:hAnsi="Candara" w:cs="Candara"/>
          <w:sz w:val="24"/>
          <w:szCs w:val="24"/>
        </w:rPr>
        <w:t xml:space="preserve"> </w:t>
      </w:r>
      <w:r w:rsidRPr="00364F8A">
        <w:rPr>
          <w:rFonts w:ascii="Candara" w:eastAsia="Candara" w:hAnsi="Candara" w:cs="Candara"/>
          <w:sz w:val="24"/>
          <w:szCs w:val="24"/>
        </w:rPr>
        <w:t>– em mil R$</w:t>
      </w:r>
    </w:p>
    <w:p w14:paraId="0240A17E" w14:textId="6861087A" w:rsidR="00843810" w:rsidRPr="00364F8A" w:rsidRDefault="00112105" w:rsidP="001828C2">
      <w:pPr>
        <w:widowControl w:val="0"/>
        <w:shd w:val="clear" w:color="auto" w:fill="FFFFFF"/>
        <w:spacing w:after="0" w:line="240" w:lineRule="auto"/>
        <w:jc w:val="center"/>
        <w:rPr>
          <w:rFonts w:ascii="Candara" w:eastAsia="Candara" w:hAnsi="Candara" w:cs="Candara"/>
        </w:rPr>
      </w:pPr>
      <w:r w:rsidRPr="00364F8A">
        <w:rPr>
          <w:noProof/>
        </w:rPr>
        <w:drawing>
          <wp:inline distT="0" distB="0" distL="0" distR="0" wp14:anchorId="6D8F1818" wp14:editId="2B7BF30C">
            <wp:extent cx="5302250" cy="3437890"/>
            <wp:effectExtent l="0" t="0" r="12700" b="10160"/>
            <wp:docPr id="1877594551" name="Gráfico 1">
              <a:extLst xmlns:a="http://schemas.openxmlformats.org/drawingml/2006/main">
                <a:ext uri="{FF2B5EF4-FFF2-40B4-BE49-F238E27FC236}">
                  <a16:creationId xmlns:a16="http://schemas.microsoft.com/office/drawing/2014/main" id="{CAD9131B-ED5D-C61D-F17B-5C7DA675C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DDCCA6" w14:textId="54C34BE2" w:rsidR="009F4404" w:rsidRPr="00364F8A" w:rsidRDefault="00843810" w:rsidP="001828C2">
      <w:pPr>
        <w:widowControl w:val="0"/>
        <w:shd w:val="clear" w:color="auto" w:fill="FFFFFF"/>
        <w:spacing w:after="120" w:line="240" w:lineRule="auto"/>
        <w:jc w:val="center"/>
        <w:rPr>
          <w:rFonts w:ascii="Candara" w:eastAsia="Candara" w:hAnsi="Candara" w:cs="Candara"/>
          <w:sz w:val="20"/>
          <w:szCs w:val="20"/>
        </w:rPr>
      </w:pPr>
      <w:r w:rsidRPr="00364F8A">
        <w:rPr>
          <w:rFonts w:ascii="Candara" w:eastAsia="Candara" w:hAnsi="Candara" w:cs="Candara"/>
          <w:b/>
          <w:bCs/>
          <w:sz w:val="20"/>
          <w:szCs w:val="20"/>
        </w:rPr>
        <w:t xml:space="preserve">Fonte: </w:t>
      </w:r>
      <w:r w:rsidRPr="00364F8A">
        <w:rPr>
          <w:rFonts w:ascii="Candara" w:eastAsia="Candara" w:hAnsi="Candara" w:cs="Candara"/>
          <w:sz w:val="20"/>
          <w:szCs w:val="20"/>
        </w:rPr>
        <w:t>IBGE-Contas Nacionais.</w:t>
      </w:r>
    </w:p>
    <w:p w14:paraId="402EF778" w14:textId="77957024" w:rsidR="00582030" w:rsidRPr="00364F8A" w:rsidRDefault="00582030" w:rsidP="001828C2">
      <w:pPr>
        <w:widowControl w:val="0"/>
        <w:shd w:val="clear" w:color="auto" w:fill="FFFFFF"/>
        <w:spacing w:after="120" w:line="240" w:lineRule="auto"/>
        <w:jc w:val="center"/>
        <w:rPr>
          <w:rFonts w:ascii="Candara" w:eastAsia="Candara" w:hAnsi="Candara" w:cs="Candara"/>
          <w:sz w:val="20"/>
          <w:szCs w:val="20"/>
        </w:rPr>
      </w:pPr>
      <w:r w:rsidRPr="00364F8A">
        <w:rPr>
          <w:rFonts w:ascii="Candara" w:eastAsia="Candara" w:hAnsi="Candara" w:cs="Candara"/>
          <w:b/>
          <w:bCs/>
          <w:sz w:val="20"/>
          <w:szCs w:val="20"/>
        </w:rPr>
        <w:t>Obs.</w:t>
      </w:r>
      <w:r w:rsidRPr="00364F8A">
        <w:rPr>
          <w:rFonts w:ascii="Candara" w:eastAsia="Candara" w:hAnsi="Candara" w:cs="Candara"/>
          <w:sz w:val="20"/>
          <w:szCs w:val="20"/>
        </w:rPr>
        <w:t>: Valores deflacionados pelo deflator implícito do PIB (ano base: 2021).</w:t>
      </w:r>
    </w:p>
    <w:p w14:paraId="636FB31E" w14:textId="474003D0" w:rsidR="009F4404" w:rsidRPr="00364F8A" w:rsidRDefault="009F4404"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Quando analisados comparativamente com o Nordeste, 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xml:space="preserve"> aumentou sua participação no PIB em 4,56 p.p. (de 34,88% para 39,44%), </w:t>
      </w:r>
      <w:r w:rsidRPr="00364F8A">
        <w:rPr>
          <w:rFonts w:ascii="Candara" w:eastAsia="Candara" w:hAnsi="Candara" w:cs="Candara"/>
          <w:sz w:val="24"/>
          <w:szCs w:val="24"/>
        </w:rPr>
        <w:lastRenderedPageBreak/>
        <w:t xml:space="preserve">entre 2002 e 2021. O mesmo pode ser observado ao comparar com o país, tendo aumentado sua participação 0,87 p.p. (de 4,57% para 5,44%). O </w:t>
      </w:r>
      <w:r w:rsidR="00264BD4" w:rsidRPr="00364F8A">
        <w:rPr>
          <w:rFonts w:ascii="Candara" w:eastAsia="Candara" w:hAnsi="Candara" w:cs="Candara"/>
          <w:sz w:val="24"/>
          <w:szCs w:val="24"/>
        </w:rPr>
        <w:t>Semiárido Brasileiro</w:t>
      </w:r>
      <w:r w:rsidRPr="00364F8A">
        <w:rPr>
          <w:rFonts w:ascii="Candara" w:eastAsia="Candara" w:hAnsi="Candara" w:cs="Candara"/>
          <w:sz w:val="24"/>
          <w:szCs w:val="24"/>
        </w:rPr>
        <w:t xml:space="preserve"> cresceu sua participação no mesmo patamar, de 0,90 p.p. (de 5,29% para 6,19%). Ainda que modesto, observa-se um aumento na participação da região semiárida sobre o PIB nacional. </w:t>
      </w:r>
    </w:p>
    <w:p w14:paraId="4F376BE0" w14:textId="6B82B342" w:rsidR="009F4404" w:rsidRPr="00364F8A" w:rsidRDefault="009F4404"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Quanto ao PIB </w:t>
      </w:r>
      <w:r w:rsidRPr="00364F8A">
        <w:rPr>
          <w:rFonts w:ascii="Candara" w:eastAsia="Candara" w:hAnsi="Candara" w:cs="Candara"/>
          <w:i/>
          <w:iCs/>
          <w:sz w:val="24"/>
          <w:szCs w:val="24"/>
        </w:rPr>
        <w:t>per capita</w:t>
      </w:r>
      <w:r w:rsidR="00112105" w:rsidRPr="00364F8A">
        <w:rPr>
          <w:rFonts w:ascii="Candara" w:eastAsia="Candara" w:hAnsi="Candara" w:cs="Candara"/>
          <w:sz w:val="24"/>
          <w:szCs w:val="24"/>
        </w:rPr>
        <w:t xml:space="preserve"> (de 2021)</w:t>
      </w:r>
      <w:r w:rsidRPr="00364F8A">
        <w:rPr>
          <w:rFonts w:ascii="Candara" w:eastAsia="Candara" w:hAnsi="Candara" w:cs="Candara"/>
          <w:sz w:val="24"/>
          <w:szCs w:val="24"/>
        </w:rPr>
        <w:t>, observa-se um crescimento considerável</w:t>
      </w:r>
      <w:r w:rsidRPr="00364F8A">
        <w:rPr>
          <w:rFonts w:ascii="Candara" w:eastAsia="Candara" w:hAnsi="Candara" w:cs="Candara"/>
          <w:sz w:val="24"/>
          <w:szCs w:val="24"/>
          <w:vertAlign w:val="superscript"/>
        </w:rPr>
        <w:footnoteReference w:id="14"/>
      </w:r>
      <w:r w:rsidR="00112105" w:rsidRPr="00364F8A">
        <w:rPr>
          <w:rFonts w:ascii="Candara" w:eastAsia="Candara" w:hAnsi="Candara" w:cs="Candara"/>
          <w:sz w:val="24"/>
          <w:szCs w:val="24"/>
        </w:rPr>
        <w:t xml:space="preserve"> (de R$ 10.844,60 para R$ 17.220,62), maior que os demais recortes territoriais (</w:t>
      </w:r>
      <w:r w:rsidR="00CF759B" w:rsidRPr="00364F8A">
        <w:rPr>
          <w:rFonts w:ascii="Candara" w:eastAsia="Candara" w:hAnsi="Candara" w:cs="Candara"/>
          <w:sz w:val="24"/>
          <w:szCs w:val="24"/>
        </w:rPr>
        <w:t xml:space="preserve">de R$ 11.061,71 para 17.350,57, de R$ 15.767,64 para 21.556,26 e de R$ 33.697,61 para R$ 42.247,52, </w:t>
      </w:r>
      <w:r w:rsidR="00112105" w:rsidRPr="00364F8A">
        <w:rPr>
          <w:rFonts w:ascii="Candara" w:eastAsia="Candara" w:hAnsi="Candara" w:cs="Candara"/>
          <w:sz w:val="24"/>
          <w:szCs w:val="24"/>
        </w:rPr>
        <w:t>respectivamente), porém ainda bem abaixo</w:t>
      </w:r>
      <w:r w:rsidRPr="00364F8A">
        <w:rPr>
          <w:rFonts w:ascii="Candara" w:eastAsia="Candara" w:hAnsi="Candara" w:cs="Candara"/>
          <w:sz w:val="24"/>
          <w:szCs w:val="24"/>
        </w:rPr>
        <w:t>.</w:t>
      </w:r>
      <w:r w:rsidR="00CF759B" w:rsidRPr="00364F8A">
        <w:rPr>
          <w:rFonts w:ascii="Candara" w:eastAsia="Candara" w:hAnsi="Candara" w:cs="Candara"/>
          <w:sz w:val="24"/>
          <w:szCs w:val="24"/>
        </w:rPr>
        <w:t xml:space="preserve"> </w:t>
      </w:r>
      <w:r w:rsidRPr="00364F8A">
        <w:rPr>
          <w:rFonts w:ascii="Candara" w:eastAsia="Candara" w:hAnsi="Candara" w:cs="Candara"/>
          <w:sz w:val="24"/>
          <w:szCs w:val="24"/>
        </w:rPr>
        <w:t>O crescimento seguiu a mesma tendência de crescimento do PIB, acima (</w:t>
      </w:r>
      <w:r w:rsidR="00CF759B" w:rsidRPr="00364F8A">
        <w:rPr>
          <w:rFonts w:ascii="Candara" w:eastAsia="Candara" w:hAnsi="Candara" w:cs="Candara"/>
          <w:sz w:val="24"/>
          <w:szCs w:val="24"/>
        </w:rPr>
        <w:t>58,79%</w:t>
      </w:r>
      <w:r w:rsidRPr="00364F8A">
        <w:rPr>
          <w:rFonts w:ascii="Candara" w:eastAsia="Candara" w:hAnsi="Candara" w:cs="Candara"/>
          <w:sz w:val="24"/>
          <w:szCs w:val="24"/>
        </w:rPr>
        <w:t xml:space="preserve">%) do </w:t>
      </w:r>
      <w:r w:rsidR="00264BD4" w:rsidRPr="00364F8A">
        <w:rPr>
          <w:rFonts w:ascii="Candara" w:eastAsia="Candara" w:hAnsi="Candara" w:cs="Candara"/>
          <w:sz w:val="24"/>
          <w:szCs w:val="24"/>
        </w:rPr>
        <w:t>Semiárido Brasileiro</w:t>
      </w:r>
      <w:r w:rsidRPr="00364F8A">
        <w:rPr>
          <w:rFonts w:ascii="Candara" w:eastAsia="Candara" w:hAnsi="Candara" w:cs="Candara"/>
          <w:sz w:val="24"/>
          <w:szCs w:val="24"/>
        </w:rPr>
        <w:t xml:space="preserve"> (</w:t>
      </w:r>
      <w:r w:rsidR="00CF759B" w:rsidRPr="00364F8A">
        <w:rPr>
          <w:rFonts w:ascii="Candara" w:eastAsia="Candara" w:hAnsi="Candara" w:cs="Candara"/>
          <w:sz w:val="24"/>
          <w:szCs w:val="24"/>
        </w:rPr>
        <w:t>56,85</w:t>
      </w:r>
      <w:r w:rsidRPr="00364F8A">
        <w:rPr>
          <w:rFonts w:ascii="Candara" w:eastAsia="Candara" w:hAnsi="Candara" w:cs="Candara"/>
          <w:sz w:val="24"/>
          <w:szCs w:val="24"/>
        </w:rPr>
        <w:t>%), do Nordeste (</w:t>
      </w:r>
      <w:r w:rsidR="00CF759B" w:rsidRPr="00364F8A">
        <w:rPr>
          <w:rFonts w:ascii="Candara" w:eastAsia="Candara" w:hAnsi="Candara" w:cs="Candara"/>
          <w:sz w:val="24"/>
          <w:szCs w:val="24"/>
        </w:rPr>
        <w:t>36,71</w:t>
      </w:r>
      <w:r w:rsidRPr="00364F8A">
        <w:rPr>
          <w:rFonts w:ascii="Candara" w:eastAsia="Candara" w:hAnsi="Candara" w:cs="Candara"/>
          <w:sz w:val="24"/>
          <w:szCs w:val="24"/>
        </w:rPr>
        <w:t>%) e do Brasil (</w:t>
      </w:r>
      <w:r w:rsidR="00CF759B" w:rsidRPr="00364F8A">
        <w:rPr>
          <w:rFonts w:ascii="Candara" w:eastAsia="Candara" w:hAnsi="Candara" w:cs="Candara"/>
          <w:sz w:val="24"/>
          <w:szCs w:val="24"/>
        </w:rPr>
        <w:t>25,37</w:t>
      </w:r>
      <w:r w:rsidRPr="00364F8A">
        <w:rPr>
          <w:rFonts w:ascii="Candara" w:eastAsia="Candara" w:hAnsi="Candara" w:cs="Candara"/>
          <w:sz w:val="24"/>
          <w:szCs w:val="24"/>
        </w:rPr>
        <w:t xml:space="preserve">%). Isso pode ser explicado pelas atividades nas fronteiras agrícolas e minerais, extrativas direcionadas ao mercado externo. Ainda que tratem com pouca profundidade o desenvolvimento econômico, o PIB e PIB </w:t>
      </w:r>
      <w:r w:rsidRPr="00364F8A">
        <w:rPr>
          <w:rFonts w:ascii="Candara" w:eastAsia="Candara" w:hAnsi="Candara" w:cs="Candara"/>
          <w:i/>
          <w:iCs/>
          <w:sz w:val="24"/>
          <w:szCs w:val="24"/>
        </w:rPr>
        <w:t>per capita</w:t>
      </w:r>
      <w:r w:rsidRPr="00364F8A">
        <w:rPr>
          <w:rFonts w:ascii="Candara" w:eastAsia="Candara" w:hAnsi="Candara" w:cs="Candara"/>
          <w:sz w:val="24"/>
          <w:szCs w:val="24"/>
        </w:rPr>
        <w:t xml:space="preserve"> mostram, de modo geral, uma evolução da economia da região semiárida.</w:t>
      </w:r>
    </w:p>
    <w:p w14:paraId="059904D4" w14:textId="464EC935" w:rsidR="001D33CC" w:rsidRPr="00364F8A" w:rsidRDefault="001D33CC" w:rsidP="001D33CC">
      <w:pPr>
        <w:widowControl w:val="0"/>
        <w:shd w:val="clear" w:color="auto" w:fill="FFFFFF"/>
        <w:spacing w:after="120" w:line="360" w:lineRule="auto"/>
        <w:ind w:firstLine="851"/>
        <w:jc w:val="both"/>
        <w:rPr>
          <w:rFonts w:ascii="Candara" w:eastAsia="Candara" w:hAnsi="Candara" w:cs="Candara"/>
          <w:b/>
          <w:bCs/>
          <w:sz w:val="24"/>
          <w:szCs w:val="24"/>
        </w:rPr>
      </w:pPr>
      <w:r w:rsidRPr="00364F8A">
        <w:rPr>
          <w:rFonts w:ascii="Candara" w:eastAsia="Candara" w:hAnsi="Candara" w:cs="Candara"/>
          <w:sz w:val="24"/>
          <w:szCs w:val="24"/>
        </w:rPr>
        <w:t xml:space="preserve">Observando o mercado de trabalho formal em anos selecionados, 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xml:space="preserve"> apresentou crescimento significativo no conjunto de empregos formais geradas. Conforme Tabela 2, sua participação no mercado de trabalho brasileiro passou de 5,07% em 2002, para 5,70% em 2010 e para 6,38% em 2019. Considerando o </w:t>
      </w:r>
      <w:r w:rsidR="00264BD4" w:rsidRPr="00364F8A">
        <w:rPr>
          <w:rFonts w:ascii="Candara" w:eastAsia="Candara" w:hAnsi="Candara" w:cs="Candara"/>
          <w:sz w:val="24"/>
          <w:szCs w:val="24"/>
        </w:rPr>
        <w:t>Semiárido Brasileiro</w:t>
      </w:r>
      <w:r w:rsidRPr="00364F8A">
        <w:rPr>
          <w:rFonts w:ascii="Candara" w:eastAsia="Candara" w:hAnsi="Candara" w:cs="Candara"/>
          <w:sz w:val="24"/>
          <w:szCs w:val="24"/>
        </w:rPr>
        <w:t xml:space="preserve">, a participação foi ainda maior (5,96%, 6,59% e 7,33%, respectivamente), destacando também as delimitações realizadas para </w:t>
      </w:r>
      <w:r w:rsidRPr="00364F8A">
        <w:rPr>
          <w:rFonts w:ascii="Candara" w:eastAsia="Candara" w:hAnsi="Candara" w:cs="Candara"/>
          <w:sz w:val="24"/>
          <w:szCs w:val="24"/>
        </w:rPr>
        <w:lastRenderedPageBreak/>
        <w:t xml:space="preserve">o recorte territorial em questão (2005, 2017 e 2021), elevando a quantidade de municípios integrantes, o que possa justificar tal aumento. Comparativamente ao Nordeste, 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xml:space="preserve"> elevou sua participação (29,92%, 31,38% e 34,87%, respectivamente), ainda que continue com menor participação ao comparar com restante do Nordeste, sobretudo a região litorânea (70,08%, 68,62% e 65,13%, respectivamente).</w:t>
      </w:r>
    </w:p>
    <w:p w14:paraId="5E844E7A" w14:textId="7BCF106D" w:rsidR="001D33CC" w:rsidRPr="00364F8A" w:rsidRDefault="001D33CC" w:rsidP="001D33CC">
      <w:pPr>
        <w:widowControl w:val="0"/>
        <w:shd w:val="clear" w:color="auto" w:fill="FFFFFF"/>
        <w:spacing w:after="0" w:line="240" w:lineRule="auto"/>
        <w:jc w:val="both"/>
        <w:rPr>
          <w:rFonts w:ascii="Candara" w:eastAsia="Candara" w:hAnsi="Candara" w:cs="Candara"/>
          <w:sz w:val="24"/>
          <w:szCs w:val="24"/>
        </w:rPr>
      </w:pPr>
      <w:r w:rsidRPr="00364F8A">
        <w:rPr>
          <w:rFonts w:ascii="Candara" w:eastAsia="Candara" w:hAnsi="Candara" w:cs="Candara"/>
          <w:b/>
          <w:bCs/>
          <w:sz w:val="24"/>
          <w:szCs w:val="24"/>
        </w:rPr>
        <w:t>Tabela 2</w:t>
      </w:r>
      <w:r w:rsidRPr="00364F8A">
        <w:rPr>
          <w:rFonts w:ascii="Candara" w:eastAsia="Candara" w:hAnsi="Candara" w:cs="Candara"/>
          <w:sz w:val="24"/>
          <w:szCs w:val="24"/>
        </w:rPr>
        <w:t xml:space="preserve"> – Empregos totais formais no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xml:space="preserve"> e Brasileiro, Nordeste e Brasil em anos selecionados</w:t>
      </w:r>
      <w:r w:rsidR="00EB5BC0" w:rsidRPr="00364F8A">
        <w:rPr>
          <w:rStyle w:val="Refdenotaderodap"/>
          <w:rFonts w:ascii="Candara" w:eastAsia="Candara" w:hAnsi="Candara" w:cs="Candara"/>
          <w:sz w:val="24"/>
          <w:szCs w:val="24"/>
        </w:rPr>
        <w:footnoteReference w:id="15"/>
      </w:r>
    </w:p>
    <w:tbl>
      <w:tblPr>
        <w:tblW w:w="5000" w:type="pct"/>
        <w:tblCellMar>
          <w:left w:w="70" w:type="dxa"/>
          <w:right w:w="70" w:type="dxa"/>
        </w:tblCellMar>
        <w:tblLook w:val="04A0" w:firstRow="1" w:lastRow="0" w:firstColumn="1" w:lastColumn="0" w:noHBand="0" w:noVBand="1"/>
      </w:tblPr>
      <w:tblGrid>
        <w:gridCol w:w="2165"/>
        <w:gridCol w:w="1128"/>
        <w:gridCol w:w="944"/>
        <w:gridCol w:w="1172"/>
        <w:gridCol w:w="981"/>
        <w:gridCol w:w="1133"/>
        <w:gridCol w:w="981"/>
      </w:tblGrid>
      <w:tr w:rsidR="00364F8A" w:rsidRPr="00364F8A" w14:paraId="348F026D" w14:textId="77777777" w:rsidTr="001D33CC">
        <w:trPr>
          <w:trHeight w:val="300"/>
        </w:trPr>
        <w:tc>
          <w:tcPr>
            <w:tcW w:w="1272" w:type="pct"/>
            <w:tcBorders>
              <w:top w:val="single" w:sz="4" w:space="0" w:color="auto"/>
              <w:left w:val="nil"/>
              <w:bottom w:val="single" w:sz="4" w:space="0" w:color="auto"/>
              <w:right w:val="nil"/>
            </w:tcBorders>
            <w:shd w:val="clear" w:color="auto" w:fill="auto"/>
            <w:noWrap/>
            <w:vAlign w:val="center"/>
            <w:hideMark/>
          </w:tcPr>
          <w:p w14:paraId="12A40C46" w14:textId="77777777" w:rsidR="001D33CC" w:rsidRPr="00364F8A" w:rsidRDefault="001D33CC" w:rsidP="00F72975">
            <w:pPr>
              <w:spacing w:after="0" w:line="240" w:lineRule="auto"/>
              <w:jc w:val="center"/>
              <w:rPr>
                <w:rFonts w:ascii="Candara" w:eastAsia="Times New Roman" w:hAnsi="Candara" w:cs="Times New Roman"/>
                <w:b/>
                <w:bCs/>
              </w:rPr>
            </w:pPr>
            <w:r w:rsidRPr="00364F8A">
              <w:rPr>
                <w:rFonts w:ascii="Candara" w:eastAsia="Times New Roman" w:hAnsi="Candara"/>
                <w:b/>
                <w:bCs/>
              </w:rPr>
              <w:t>Recorte territorial</w:t>
            </w:r>
          </w:p>
        </w:tc>
        <w:tc>
          <w:tcPr>
            <w:tcW w:w="663" w:type="pct"/>
            <w:tcBorders>
              <w:top w:val="single" w:sz="4" w:space="0" w:color="auto"/>
              <w:left w:val="nil"/>
              <w:bottom w:val="single" w:sz="4" w:space="0" w:color="auto"/>
              <w:right w:val="nil"/>
            </w:tcBorders>
            <w:shd w:val="clear" w:color="auto" w:fill="auto"/>
            <w:noWrap/>
            <w:vAlign w:val="center"/>
            <w:hideMark/>
          </w:tcPr>
          <w:p w14:paraId="3A778C88" w14:textId="77777777" w:rsidR="001D33CC" w:rsidRPr="00364F8A" w:rsidRDefault="001D33CC" w:rsidP="00F72975">
            <w:pPr>
              <w:spacing w:after="0" w:line="240" w:lineRule="auto"/>
              <w:jc w:val="center"/>
              <w:rPr>
                <w:rFonts w:ascii="Candara" w:eastAsia="Times New Roman" w:hAnsi="Candara"/>
                <w:b/>
                <w:bCs/>
              </w:rPr>
            </w:pPr>
            <w:r w:rsidRPr="00364F8A">
              <w:rPr>
                <w:rFonts w:ascii="Candara" w:eastAsia="Times New Roman" w:hAnsi="Candara"/>
                <w:b/>
                <w:bCs/>
              </w:rPr>
              <w:t>2002</w:t>
            </w:r>
          </w:p>
        </w:tc>
        <w:tc>
          <w:tcPr>
            <w:tcW w:w="555" w:type="pct"/>
            <w:tcBorders>
              <w:top w:val="single" w:sz="4" w:space="0" w:color="auto"/>
              <w:left w:val="nil"/>
              <w:bottom w:val="single" w:sz="4" w:space="0" w:color="auto"/>
              <w:right w:val="nil"/>
            </w:tcBorders>
            <w:shd w:val="clear" w:color="auto" w:fill="auto"/>
            <w:noWrap/>
            <w:vAlign w:val="center"/>
            <w:hideMark/>
          </w:tcPr>
          <w:p w14:paraId="1757129A" w14:textId="77777777" w:rsidR="001D33CC" w:rsidRPr="00364F8A" w:rsidRDefault="001D33CC" w:rsidP="00F72975">
            <w:pPr>
              <w:spacing w:after="0" w:line="240" w:lineRule="auto"/>
              <w:jc w:val="center"/>
              <w:rPr>
                <w:rFonts w:ascii="Candara" w:eastAsia="Times New Roman" w:hAnsi="Candara"/>
                <w:b/>
                <w:bCs/>
              </w:rPr>
            </w:pPr>
            <w:r w:rsidRPr="00364F8A">
              <w:rPr>
                <w:rFonts w:ascii="Candara" w:eastAsia="Times New Roman" w:hAnsi="Candara"/>
                <w:b/>
                <w:bCs/>
              </w:rPr>
              <w:t>%</w:t>
            </w:r>
          </w:p>
        </w:tc>
        <w:tc>
          <w:tcPr>
            <w:tcW w:w="689" w:type="pct"/>
            <w:tcBorders>
              <w:top w:val="single" w:sz="4" w:space="0" w:color="auto"/>
              <w:left w:val="nil"/>
              <w:bottom w:val="single" w:sz="4" w:space="0" w:color="auto"/>
              <w:right w:val="nil"/>
            </w:tcBorders>
            <w:shd w:val="clear" w:color="auto" w:fill="auto"/>
            <w:noWrap/>
            <w:vAlign w:val="center"/>
            <w:hideMark/>
          </w:tcPr>
          <w:p w14:paraId="02716595" w14:textId="77777777" w:rsidR="001D33CC" w:rsidRPr="00364F8A" w:rsidRDefault="001D33CC" w:rsidP="00F72975">
            <w:pPr>
              <w:spacing w:after="0" w:line="240" w:lineRule="auto"/>
              <w:jc w:val="center"/>
              <w:rPr>
                <w:rFonts w:ascii="Candara" w:eastAsia="Times New Roman" w:hAnsi="Candara"/>
                <w:b/>
                <w:bCs/>
              </w:rPr>
            </w:pPr>
            <w:r w:rsidRPr="00364F8A">
              <w:rPr>
                <w:rFonts w:ascii="Candara" w:eastAsia="Times New Roman" w:hAnsi="Candara"/>
                <w:b/>
                <w:bCs/>
              </w:rPr>
              <w:t>2010</w:t>
            </w:r>
          </w:p>
        </w:tc>
        <w:tc>
          <w:tcPr>
            <w:tcW w:w="577" w:type="pct"/>
            <w:tcBorders>
              <w:top w:val="single" w:sz="4" w:space="0" w:color="auto"/>
              <w:left w:val="nil"/>
              <w:bottom w:val="single" w:sz="4" w:space="0" w:color="auto"/>
              <w:right w:val="nil"/>
            </w:tcBorders>
            <w:shd w:val="clear" w:color="auto" w:fill="auto"/>
            <w:noWrap/>
            <w:vAlign w:val="center"/>
            <w:hideMark/>
          </w:tcPr>
          <w:p w14:paraId="5352AB1E" w14:textId="77777777" w:rsidR="001D33CC" w:rsidRPr="00364F8A" w:rsidRDefault="001D33CC" w:rsidP="00F72975">
            <w:pPr>
              <w:spacing w:after="0" w:line="240" w:lineRule="auto"/>
              <w:jc w:val="center"/>
              <w:rPr>
                <w:rFonts w:ascii="Candara" w:eastAsia="Times New Roman" w:hAnsi="Candara"/>
                <w:b/>
                <w:bCs/>
              </w:rPr>
            </w:pPr>
            <w:r w:rsidRPr="00364F8A">
              <w:rPr>
                <w:rFonts w:ascii="Candara" w:eastAsia="Times New Roman" w:hAnsi="Candara"/>
                <w:b/>
                <w:bCs/>
              </w:rPr>
              <w:t>%</w:t>
            </w:r>
          </w:p>
        </w:tc>
        <w:tc>
          <w:tcPr>
            <w:tcW w:w="666" w:type="pct"/>
            <w:tcBorders>
              <w:top w:val="single" w:sz="4" w:space="0" w:color="auto"/>
              <w:left w:val="nil"/>
              <w:bottom w:val="single" w:sz="4" w:space="0" w:color="auto"/>
              <w:right w:val="nil"/>
            </w:tcBorders>
            <w:shd w:val="clear" w:color="auto" w:fill="auto"/>
            <w:noWrap/>
            <w:vAlign w:val="center"/>
            <w:hideMark/>
          </w:tcPr>
          <w:p w14:paraId="257B7B43" w14:textId="77777777" w:rsidR="001D33CC" w:rsidRPr="00364F8A" w:rsidRDefault="001D33CC" w:rsidP="00F72975">
            <w:pPr>
              <w:spacing w:after="0" w:line="240" w:lineRule="auto"/>
              <w:jc w:val="center"/>
              <w:rPr>
                <w:rFonts w:ascii="Candara" w:eastAsia="Times New Roman" w:hAnsi="Candara"/>
                <w:b/>
                <w:bCs/>
              </w:rPr>
            </w:pPr>
            <w:r w:rsidRPr="00364F8A">
              <w:rPr>
                <w:rFonts w:ascii="Candara" w:eastAsia="Times New Roman" w:hAnsi="Candara"/>
                <w:b/>
                <w:bCs/>
              </w:rPr>
              <w:t>2019</w:t>
            </w:r>
          </w:p>
        </w:tc>
        <w:tc>
          <w:tcPr>
            <w:tcW w:w="577" w:type="pct"/>
            <w:tcBorders>
              <w:top w:val="single" w:sz="4" w:space="0" w:color="auto"/>
              <w:left w:val="nil"/>
              <w:bottom w:val="single" w:sz="4" w:space="0" w:color="auto"/>
              <w:right w:val="nil"/>
            </w:tcBorders>
            <w:shd w:val="clear" w:color="auto" w:fill="auto"/>
            <w:noWrap/>
            <w:vAlign w:val="center"/>
            <w:hideMark/>
          </w:tcPr>
          <w:p w14:paraId="0D349043" w14:textId="77777777" w:rsidR="001D33CC" w:rsidRPr="00364F8A" w:rsidRDefault="001D33CC" w:rsidP="00F72975">
            <w:pPr>
              <w:spacing w:after="0" w:line="240" w:lineRule="auto"/>
              <w:jc w:val="center"/>
              <w:rPr>
                <w:rFonts w:ascii="Candara" w:eastAsia="Times New Roman" w:hAnsi="Candara"/>
                <w:b/>
                <w:bCs/>
              </w:rPr>
            </w:pPr>
            <w:r w:rsidRPr="00364F8A">
              <w:rPr>
                <w:rFonts w:ascii="Candara" w:eastAsia="Times New Roman" w:hAnsi="Candara"/>
                <w:b/>
                <w:bCs/>
              </w:rPr>
              <w:t>%</w:t>
            </w:r>
          </w:p>
        </w:tc>
      </w:tr>
      <w:tr w:rsidR="00364F8A" w:rsidRPr="00364F8A" w14:paraId="1D975E3F" w14:textId="77777777" w:rsidTr="001D33CC">
        <w:trPr>
          <w:trHeight w:val="300"/>
        </w:trPr>
        <w:tc>
          <w:tcPr>
            <w:tcW w:w="1272" w:type="pct"/>
            <w:tcBorders>
              <w:top w:val="single" w:sz="4" w:space="0" w:color="auto"/>
              <w:left w:val="nil"/>
              <w:bottom w:val="nil"/>
              <w:right w:val="nil"/>
            </w:tcBorders>
            <w:shd w:val="clear" w:color="auto" w:fill="auto"/>
            <w:noWrap/>
            <w:vAlign w:val="center"/>
            <w:hideMark/>
          </w:tcPr>
          <w:p w14:paraId="6D5CF041" w14:textId="5282B8CE" w:rsidR="001D33CC" w:rsidRPr="00364F8A" w:rsidRDefault="005A56BB" w:rsidP="00F72975">
            <w:pPr>
              <w:spacing w:after="0" w:line="240" w:lineRule="auto"/>
              <w:jc w:val="center"/>
              <w:rPr>
                <w:rFonts w:ascii="Candara" w:eastAsia="Times New Roman" w:hAnsi="Candara"/>
              </w:rPr>
            </w:pPr>
            <w:r w:rsidRPr="00364F8A">
              <w:rPr>
                <w:rFonts w:ascii="Candara" w:eastAsia="Times New Roman" w:hAnsi="Candara"/>
              </w:rPr>
              <w:t>Semiárido Nordestino</w:t>
            </w:r>
          </w:p>
        </w:tc>
        <w:tc>
          <w:tcPr>
            <w:tcW w:w="663" w:type="pct"/>
            <w:tcBorders>
              <w:top w:val="single" w:sz="4" w:space="0" w:color="auto"/>
              <w:left w:val="nil"/>
              <w:bottom w:val="nil"/>
              <w:right w:val="nil"/>
            </w:tcBorders>
            <w:shd w:val="clear" w:color="auto" w:fill="auto"/>
            <w:noWrap/>
            <w:vAlign w:val="center"/>
            <w:hideMark/>
          </w:tcPr>
          <w:p w14:paraId="2179D398"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1.454.165</w:t>
            </w:r>
          </w:p>
        </w:tc>
        <w:tc>
          <w:tcPr>
            <w:tcW w:w="555" w:type="pct"/>
            <w:tcBorders>
              <w:top w:val="single" w:sz="4" w:space="0" w:color="auto"/>
              <w:left w:val="nil"/>
              <w:bottom w:val="nil"/>
              <w:right w:val="nil"/>
            </w:tcBorders>
            <w:shd w:val="clear" w:color="auto" w:fill="auto"/>
            <w:noWrap/>
            <w:vAlign w:val="center"/>
            <w:hideMark/>
          </w:tcPr>
          <w:p w14:paraId="59B729EF"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5,07</w:t>
            </w:r>
          </w:p>
        </w:tc>
        <w:tc>
          <w:tcPr>
            <w:tcW w:w="689" w:type="pct"/>
            <w:tcBorders>
              <w:top w:val="single" w:sz="4" w:space="0" w:color="auto"/>
              <w:left w:val="nil"/>
              <w:bottom w:val="nil"/>
              <w:right w:val="nil"/>
            </w:tcBorders>
            <w:shd w:val="clear" w:color="auto" w:fill="auto"/>
            <w:noWrap/>
            <w:vAlign w:val="center"/>
            <w:hideMark/>
          </w:tcPr>
          <w:p w14:paraId="62D0AD1C"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2.513.705</w:t>
            </w:r>
          </w:p>
        </w:tc>
        <w:tc>
          <w:tcPr>
            <w:tcW w:w="577" w:type="pct"/>
            <w:tcBorders>
              <w:top w:val="single" w:sz="4" w:space="0" w:color="auto"/>
              <w:left w:val="nil"/>
              <w:bottom w:val="nil"/>
              <w:right w:val="nil"/>
            </w:tcBorders>
            <w:shd w:val="clear" w:color="auto" w:fill="auto"/>
            <w:noWrap/>
            <w:vAlign w:val="center"/>
            <w:hideMark/>
          </w:tcPr>
          <w:p w14:paraId="7A8DEB9A"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5,70</w:t>
            </w:r>
          </w:p>
        </w:tc>
        <w:tc>
          <w:tcPr>
            <w:tcW w:w="666" w:type="pct"/>
            <w:tcBorders>
              <w:top w:val="single" w:sz="4" w:space="0" w:color="auto"/>
              <w:left w:val="nil"/>
              <w:bottom w:val="nil"/>
              <w:right w:val="nil"/>
            </w:tcBorders>
            <w:shd w:val="clear" w:color="auto" w:fill="auto"/>
            <w:noWrap/>
            <w:vAlign w:val="center"/>
            <w:hideMark/>
          </w:tcPr>
          <w:p w14:paraId="31946A62"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2.980.822</w:t>
            </w:r>
          </w:p>
        </w:tc>
        <w:tc>
          <w:tcPr>
            <w:tcW w:w="577" w:type="pct"/>
            <w:tcBorders>
              <w:top w:val="single" w:sz="4" w:space="0" w:color="auto"/>
              <w:left w:val="nil"/>
              <w:bottom w:val="nil"/>
              <w:right w:val="nil"/>
            </w:tcBorders>
            <w:shd w:val="clear" w:color="auto" w:fill="auto"/>
            <w:noWrap/>
            <w:vAlign w:val="center"/>
            <w:hideMark/>
          </w:tcPr>
          <w:p w14:paraId="25C1F9C2"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6,38</w:t>
            </w:r>
          </w:p>
        </w:tc>
      </w:tr>
      <w:tr w:rsidR="00364F8A" w:rsidRPr="00364F8A" w14:paraId="01A382BC" w14:textId="77777777" w:rsidTr="001D33CC">
        <w:trPr>
          <w:trHeight w:val="300"/>
        </w:trPr>
        <w:tc>
          <w:tcPr>
            <w:tcW w:w="1272" w:type="pct"/>
            <w:tcBorders>
              <w:top w:val="nil"/>
              <w:left w:val="nil"/>
              <w:bottom w:val="nil"/>
              <w:right w:val="nil"/>
            </w:tcBorders>
            <w:shd w:val="clear" w:color="auto" w:fill="auto"/>
            <w:noWrap/>
            <w:vAlign w:val="center"/>
            <w:hideMark/>
          </w:tcPr>
          <w:p w14:paraId="53075766"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Nordeste</w:t>
            </w:r>
          </w:p>
        </w:tc>
        <w:tc>
          <w:tcPr>
            <w:tcW w:w="663" w:type="pct"/>
            <w:tcBorders>
              <w:top w:val="nil"/>
              <w:left w:val="nil"/>
              <w:bottom w:val="nil"/>
              <w:right w:val="nil"/>
            </w:tcBorders>
            <w:shd w:val="clear" w:color="auto" w:fill="auto"/>
            <w:noWrap/>
            <w:vAlign w:val="center"/>
            <w:hideMark/>
          </w:tcPr>
          <w:p w14:paraId="5BB0CCF4"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4.859.397</w:t>
            </w:r>
          </w:p>
        </w:tc>
        <w:tc>
          <w:tcPr>
            <w:tcW w:w="555" w:type="pct"/>
            <w:tcBorders>
              <w:top w:val="nil"/>
              <w:left w:val="nil"/>
              <w:bottom w:val="nil"/>
              <w:right w:val="nil"/>
            </w:tcBorders>
            <w:shd w:val="clear" w:color="auto" w:fill="auto"/>
            <w:noWrap/>
            <w:vAlign w:val="center"/>
            <w:hideMark/>
          </w:tcPr>
          <w:p w14:paraId="28B391DF"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16,94</w:t>
            </w:r>
          </w:p>
        </w:tc>
        <w:tc>
          <w:tcPr>
            <w:tcW w:w="689" w:type="pct"/>
            <w:tcBorders>
              <w:top w:val="nil"/>
              <w:left w:val="nil"/>
              <w:bottom w:val="nil"/>
              <w:right w:val="nil"/>
            </w:tcBorders>
            <w:shd w:val="clear" w:color="auto" w:fill="auto"/>
            <w:noWrap/>
            <w:vAlign w:val="center"/>
            <w:hideMark/>
          </w:tcPr>
          <w:p w14:paraId="0BEFDAB4"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8.010.839</w:t>
            </w:r>
          </w:p>
        </w:tc>
        <w:tc>
          <w:tcPr>
            <w:tcW w:w="577" w:type="pct"/>
            <w:tcBorders>
              <w:top w:val="nil"/>
              <w:left w:val="nil"/>
              <w:bottom w:val="nil"/>
              <w:right w:val="nil"/>
            </w:tcBorders>
            <w:shd w:val="clear" w:color="auto" w:fill="auto"/>
            <w:noWrap/>
            <w:vAlign w:val="center"/>
            <w:hideMark/>
          </w:tcPr>
          <w:p w14:paraId="0BA5D1D5"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18,18</w:t>
            </w:r>
          </w:p>
        </w:tc>
        <w:tc>
          <w:tcPr>
            <w:tcW w:w="666" w:type="pct"/>
            <w:tcBorders>
              <w:top w:val="nil"/>
              <w:left w:val="nil"/>
              <w:bottom w:val="nil"/>
              <w:right w:val="nil"/>
            </w:tcBorders>
            <w:shd w:val="clear" w:color="auto" w:fill="auto"/>
            <w:noWrap/>
            <w:vAlign w:val="center"/>
            <w:hideMark/>
          </w:tcPr>
          <w:p w14:paraId="736F92D2"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8.548.407</w:t>
            </w:r>
          </w:p>
        </w:tc>
        <w:tc>
          <w:tcPr>
            <w:tcW w:w="577" w:type="pct"/>
            <w:tcBorders>
              <w:top w:val="nil"/>
              <w:left w:val="nil"/>
              <w:bottom w:val="nil"/>
              <w:right w:val="nil"/>
            </w:tcBorders>
            <w:shd w:val="clear" w:color="auto" w:fill="auto"/>
            <w:noWrap/>
            <w:vAlign w:val="center"/>
            <w:hideMark/>
          </w:tcPr>
          <w:p w14:paraId="1A607635"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18,30</w:t>
            </w:r>
          </w:p>
        </w:tc>
      </w:tr>
      <w:tr w:rsidR="00364F8A" w:rsidRPr="00364F8A" w14:paraId="4861B06B" w14:textId="77777777" w:rsidTr="001D33CC">
        <w:trPr>
          <w:trHeight w:val="300"/>
        </w:trPr>
        <w:tc>
          <w:tcPr>
            <w:tcW w:w="1272" w:type="pct"/>
            <w:tcBorders>
              <w:top w:val="nil"/>
              <w:left w:val="nil"/>
              <w:right w:val="nil"/>
            </w:tcBorders>
            <w:shd w:val="clear" w:color="auto" w:fill="auto"/>
            <w:noWrap/>
            <w:vAlign w:val="center"/>
            <w:hideMark/>
          </w:tcPr>
          <w:p w14:paraId="78DB119A" w14:textId="5CDB9C12" w:rsidR="001D33CC" w:rsidRPr="00364F8A" w:rsidRDefault="00264BD4" w:rsidP="00F72975">
            <w:pPr>
              <w:spacing w:after="0" w:line="240" w:lineRule="auto"/>
              <w:jc w:val="center"/>
              <w:rPr>
                <w:rFonts w:ascii="Candara" w:eastAsia="Times New Roman" w:hAnsi="Candara"/>
              </w:rPr>
            </w:pPr>
            <w:r w:rsidRPr="00364F8A">
              <w:rPr>
                <w:rFonts w:ascii="Candara" w:eastAsia="Times New Roman" w:hAnsi="Candara"/>
              </w:rPr>
              <w:t>Semiárido Brasileiro</w:t>
            </w:r>
          </w:p>
        </w:tc>
        <w:tc>
          <w:tcPr>
            <w:tcW w:w="663" w:type="pct"/>
            <w:tcBorders>
              <w:top w:val="nil"/>
              <w:left w:val="nil"/>
              <w:right w:val="nil"/>
            </w:tcBorders>
            <w:shd w:val="clear" w:color="auto" w:fill="auto"/>
            <w:noWrap/>
            <w:vAlign w:val="center"/>
            <w:hideMark/>
          </w:tcPr>
          <w:p w14:paraId="073F40B4"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1.710.306</w:t>
            </w:r>
          </w:p>
        </w:tc>
        <w:tc>
          <w:tcPr>
            <w:tcW w:w="555" w:type="pct"/>
            <w:tcBorders>
              <w:top w:val="nil"/>
              <w:left w:val="nil"/>
              <w:right w:val="nil"/>
            </w:tcBorders>
            <w:shd w:val="clear" w:color="auto" w:fill="auto"/>
            <w:noWrap/>
            <w:vAlign w:val="center"/>
            <w:hideMark/>
          </w:tcPr>
          <w:p w14:paraId="20A1ECDE"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5,96</w:t>
            </w:r>
          </w:p>
        </w:tc>
        <w:tc>
          <w:tcPr>
            <w:tcW w:w="689" w:type="pct"/>
            <w:tcBorders>
              <w:top w:val="nil"/>
              <w:left w:val="nil"/>
              <w:right w:val="nil"/>
            </w:tcBorders>
            <w:shd w:val="clear" w:color="auto" w:fill="auto"/>
            <w:noWrap/>
            <w:vAlign w:val="center"/>
            <w:hideMark/>
          </w:tcPr>
          <w:p w14:paraId="7F08D251"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2.903.872</w:t>
            </w:r>
          </w:p>
        </w:tc>
        <w:tc>
          <w:tcPr>
            <w:tcW w:w="577" w:type="pct"/>
            <w:tcBorders>
              <w:top w:val="nil"/>
              <w:left w:val="nil"/>
              <w:right w:val="nil"/>
            </w:tcBorders>
            <w:shd w:val="clear" w:color="auto" w:fill="auto"/>
            <w:noWrap/>
            <w:vAlign w:val="center"/>
            <w:hideMark/>
          </w:tcPr>
          <w:p w14:paraId="10796D2F"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6,59</w:t>
            </w:r>
          </w:p>
        </w:tc>
        <w:tc>
          <w:tcPr>
            <w:tcW w:w="666" w:type="pct"/>
            <w:tcBorders>
              <w:top w:val="nil"/>
              <w:left w:val="nil"/>
              <w:right w:val="nil"/>
            </w:tcBorders>
            <w:shd w:val="clear" w:color="auto" w:fill="auto"/>
            <w:noWrap/>
            <w:vAlign w:val="center"/>
            <w:hideMark/>
          </w:tcPr>
          <w:p w14:paraId="1D5E4C03"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3.423.789</w:t>
            </w:r>
          </w:p>
        </w:tc>
        <w:tc>
          <w:tcPr>
            <w:tcW w:w="577" w:type="pct"/>
            <w:tcBorders>
              <w:top w:val="nil"/>
              <w:left w:val="nil"/>
              <w:right w:val="nil"/>
            </w:tcBorders>
            <w:shd w:val="clear" w:color="auto" w:fill="auto"/>
            <w:noWrap/>
            <w:vAlign w:val="center"/>
            <w:hideMark/>
          </w:tcPr>
          <w:p w14:paraId="4596E1D0"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7,33</w:t>
            </w:r>
          </w:p>
        </w:tc>
      </w:tr>
      <w:tr w:rsidR="00364F8A" w:rsidRPr="00364F8A" w14:paraId="0A0F17DE" w14:textId="77777777" w:rsidTr="001D33CC">
        <w:trPr>
          <w:trHeight w:val="300"/>
        </w:trPr>
        <w:tc>
          <w:tcPr>
            <w:tcW w:w="1272" w:type="pct"/>
            <w:tcBorders>
              <w:top w:val="nil"/>
              <w:left w:val="nil"/>
              <w:bottom w:val="single" w:sz="4" w:space="0" w:color="auto"/>
              <w:right w:val="nil"/>
            </w:tcBorders>
            <w:shd w:val="clear" w:color="auto" w:fill="auto"/>
            <w:noWrap/>
            <w:vAlign w:val="center"/>
            <w:hideMark/>
          </w:tcPr>
          <w:p w14:paraId="66B9DA20"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Brasil</w:t>
            </w:r>
          </w:p>
        </w:tc>
        <w:tc>
          <w:tcPr>
            <w:tcW w:w="663" w:type="pct"/>
            <w:tcBorders>
              <w:top w:val="nil"/>
              <w:left w:val="nil"/>
              <w:bottom w:val="single" w:sz="4" w:space="0" w:color="auto"/>
              <w:right w:val="nil"/>
            </w:tcBorders>
            <w:shd w:val="clear" w:color="auto" w:fill="auto"/>
            <w:noWrap/>
            <w:vAlign w:val="center"/>
            <w:hideMark/>
          </w:tcPr>
          <w:p w14:paraId="02F1F4FD"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28.683.913</w:t>
            </w:r>
          </w:p>
        </w:tc>
        <w:tc>
          <w:tcPr>
            <w:tcW w:w="555" w:type="pct"/>
            <w:tcBorders>
              <w:top w:val="nil"/>
              <w:left w:val="nil"/>
              <w:bottom w:val="single" w:sz="4" w:space="0" w:color="auto"/>
              <w:right w:val="nil"/>
            </w:tcBorders>
            <w:shd w:val="clear" w:color="auto" w:fill="auto"/>
            <w:noWrap/>
            <w:vAlign w:val="center"/>
            <w:hideMark/>
          </w:tcPr>
          <w:p w14:paraId="17504EF3"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100,00</w:t>
            </w:r>
          </w:p>
        </w:tc>
        <w:tc>
          <w:tcPr>
            <w:tcW w:w="689" w:type="pct"/>
            <w:tcBorders>
              <w:top w:val="nil"/>
              <w:left w:val="nil"/>
              <w:bottom w:val="single" w:sz="4" w:space="0" w:color="auto"/>
              <w:right w:val="nil"/>
            </w:tcBorders>
            <w:shd w:val="clear" w:color="auto" w:fill="auto"/>
            <w:noWrap/>
            <w:vAlign w:val="center"/>
            <w:hideMark/>
          </w:tcPr>
          <w:p w14:paraId="7EF18D3A"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44.068.355</w:t>
            </w:r>
          </w:p>
        </w:tc>
        <w:tc>
          <w:tcPr>
            <w:tcW w:w="577" w:type="pct"/>
            <w:tcBorders>
              <w:top w:val="nil"/>
              <w:left w:val="nil"/>
              <w:bottom w:val="single" w:sz="4" w:space="0" w:color="auto"/>
              <w:right w:val="nil"/>
            </w:tcBorders>
            <w:shd w:val="clear" w:color="auto" w:fill="auto"/>
            <w:noWrap/>
            <w:vAlign w:val="center"/>
            <w:hideMark/>
          </w:tcPr>
          <w:p w14:paraId="13C3EFD2"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100,00</w:t>
            </w:r>
          </w:p>
        </w:tc>
        <w:tc>
          <w:tcPr>
            <w:tcW w:w="666" w:type="pct"/>
            <w:tcBorders>
              <w:top w:val="nil"/>
              <w:left w:val="nil"/>
              <w:bottom w:val="single" w:sz="4" w:space="0" w:color="auto"/>
              <w:right w:val="nil"/>
            </w:tcBorders>
            <w:shd w:val="clear" w:color="auto" w:fill="auto"/>
            <w:noWrap/>
            <w:vAlign w:val="center"/>
            <w:hideMark/>
          </w:tcPr>
          <w:p w14:paraId="5ED4079B"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46.716.492</w:t>
            </w:r>
          </w:p>
        </w:tc>
        <w:tc>
          <w:tcPr>
            <w:tcW w:w="577" w:type="pct"/>
            <w:tcBorders>
              <w:top w:val="nil"/>
              <w:left w:val="nil"/>
              <w:bottom w:val="single" w:sz="4" w:space="0" w:color="auto"/>
              <w:right w:val="nil"/>
            </w:tcBorders>
            <w:shd w:val="clear" w:color="auto" w:fill="auto"/>
            <w:noWrap/>
            <w:vAlign w:val="center"/>
            <w:hideMark/>
          </w:tcPr>
          <w:p w14:paraId="0734A79E"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100,00</w:t>
            </w:r>
          </w:p>
        </w:tc>
      </w:tr>
    </w:tbl>
    <w:p w14:paraId="37B7A486" w14:textId="77777777" w:rsidR="001D33CC" w:rsidRPr="00364F8A" w:rsidRDefault="001D33CC" w:rsidP="00200230">
      <w:pPr>
        <w:jc w:val="both"/>
        <w:rPr>
          <w:rFonts w:ascii="Candara" w:hAnsi="Candara"/>
          <w:sz w:val="20"/>
          <w:szCs w:val="20"/>
        </w:rPr>
      </w:pPr>
      <w:r w:rsidRPr="00364F8A">
        <w:rPr>
          <w:rFonts w:ascii="Candara" w:hAnsi="Candara"/>
          <w:b/>
          <w:bCs/>
          <w:sz w:val="20"/>
          <w:szCs w:val="20"/>
        </w:rPr>
        <w:t>Fonte:</w:t>
      </w:r>
      <w:r w:rsidRPr="00364F8A">
        <w:rPr>
          <w:rFonts w:ascii="Candara" w:hAnsi="Candara"/>
          <w:sz w:val="20"/>
          <w:szCs w:val="20"/>
        </w:rPr>
        <w:t xml:space="preserve"> RAIS/CAGED.</w:t>
      </w:r>
    </w:p>
    <w:p w14:paraId="1B2F6FA4" w14:textId="77777777" w:rsidR="001D33CC" w:rsidRPr="00364F8A" w:rsidRDefault="001D33CC" w:rsidP="001D33CC">
      <w:pPr>
        <w:spacing w:after="120" w:line="360" w:lineRule="auto"/>
        <w:ind w:firstLine="851"/>
        <w:jc w:val="both"/>
        <w:rPr>
          <w:rFonts w:ascii="Candara" w:hAnsi="Candara"/>
          <w:sz w:val="24"/>
          <w:szCs w:val="24"/>
        </w:rPr>
      </w:pPr>
      <w:r w:rsidRPr="00364F8A">
        <w:rPr>
          <w:rFonts w:ascii="Candara" w:hAnsi="Candara"/>
          <w:sz w:val="24"/>
          <w:szCs w:val="24"/>
        </w:rPr>
        <w:t xml:space="preserve">Considerando os grandes setores econômicos, o setor de Serviços foi o preponderante, com mais de 50% dos empregos gerados. Contudo, cabe frisar a queda do setor ao longo do período (variação de -2,37%) nos anos selecionados entre 2002 e 2010, com leve crescimento em 2019 (variação de -4,82% e 2,45%, respectivamente). Por outro lado, o Comércio elevou sua participação com variação de 4,98% (de 15,24% para 20,22%). Indústria e Construção Civil cresceram sua participação entre 2002 e 2010 (variação de 0,73% e 1,67%, respectivamente), mas reduziram em 2019 (variação de -2,61% e -1,56%, respectivamente), que pode ser explicado pela crise econômica e política brasileira a partir de 2015. A Agropecuária </w:t>
      </w:r>
      <w:r w:rsidRPr="00364F8A">
        <w:rPr>
          <w:rFonts w:ascii="Candara" w:hAnsi="Candara"/>
          <w:sz w:val="24"/>
          <w:szCs w:val="24"/>
        </w:rPr>
        <w:lastRenderedPageBreak/>
        <w:t>recuou sua participação entre 2002 e 2010 com leve crescimento entre 2010 e 2019 (variação de -0,91% e 0,06%, respectivamente).</w:t>
      </w:r>
    </w:p>
    <w:p w14:paraId="1C34C0AD" w14:textId="0CB00D8B" w:rsidR="001D33CC" w:rsidRPr="00364F8A" w:rsidRDefault="001D33CC" w:rsidP="001D33CC">
      <w:pPr>
        <w:spacing w:after="0" w:line="240" w:lineRule="auto"/>
        <w:jc w:val="both"/>
        <w:rPr>
          <w:rFonts w:ascii="Candara" w:hAnsi="Candara"/>
          <w:sz w:val="24"/>
          <w:szCs w:val="24"/>
        </w:rPr>
      </w:pPr>
      <w:r w:rsidRPr="00364F8A">
        <w:rPr>
          <w:rFonts w:ascii="Candara" w:hAnsi="Candara"/>
          <w:b/>
          <w:bCs/>
          <w:sz w:val="24"/>
          <w:szCs w:val="24"/>
        </w:rPr>
        <w:t>Tabela 3</w:t>
      </w:r>
      <w:r w:rsidRPr="00364F8A">
        <w:rPr>
          <w:rFonts w:ascii="Candara" w:hAnsi="Candara"/>
          <w:sz w:val="24"/>
          <w:szCs w:val="24"/>
        </w:rPr>
        <w:t xml:space="preserve"> – Empregos totais formais segundo grandes setores IBGE no </w:t>
      </w:r>
      <w:r w:rsidR="005A56BB" w:rsidRPr="00364F8A">
        <w:rPr>
          <w:rFonts w:ascii="Candara" w:hAnsi="Candara"/>
          <w:sz w:val="24"/>
          <w:szCs w:val="24"/>
        </w:rPr>
        <w:t>Semiárido Nordestino</w:t>
      </w:r>
      <w:r w:rsidRPr="00364F8A">
        <w:rPr>
          <w:rFonts w:ascii="Candara" w:hAnsi="Candara"/>
          <w:sz w:val="24"/>
          <w:szCs w:val="24"/>
        </w:rPr>
        <w:t xml:space="preserve"> em anos selecionados</w:t>
      </w:r>
    </w:p>
    <w:tbl>
      <w:tblPr>
        <w:tblW w:w="5000" w:type="pct"/>
        <w:tblCellMar>
          <w:left w:w="70" w:type="dxa"/>
          <w:right w:w="70" w:type="dxa"/>
        </w:tblCellMar>
        <w:tblLook w:val="04A0" w:firstRow="1" w:lastRow="0" w:firstColumn="1" w:lastColumn="0" w:noHBand="0" w:noVBand="1"/>
      </w:tblPr>
      <w:tblGrid>
        <w:gridCol w:w="2580"/>
        <w:gridCol w:w="1136"/>
        <w:gridCol w:w="828"/>
        <w:gridCol w:w="1221"/>
        <w:gridCol w:w="759"/>
        <w:gridCol w:w="1221"/>
        <w:gridCol w:w="759"/>
      </w:tblGrid>
      <w:tr w:rsidR="00364F8A" w:rsidRPr="00364F8A" w14:paraId="3D7634E9" w14:textId="77777777" w:rsidTr="00F72975">
        <w:trPr>
          <w:trHeight w:val="300"/>
        </w:trPr>
        <w:tc>
          <w:tcPr>
            <w:tcW w:w="1517" w:type="pct"/>
            <w:tcBorders>
              <w:top w:val="single" w:sz="4" w:space="0" w:color="auto"/>
              <w:left w:val="nil"/>
              <w:bottom w:val="single" w:sz="4" w:space="0" w:color="auto"/>
              <w:right w:val="nil"/>
            </w:tcBorders>
            <w:shd w:val="clear" w:color="auto" w:fill="auto"/>
            <w:noWrap/>
            <w:vAlign w:val="center"/>
            <w:hideMark/>
          </w:tcPr>
          <w:p w14:paraId="2ED06A5D" w14:textId="77777777" w:rsidR="001D33CC" w:rsidRPr="00364F8A" w:rsidRDefault="001D33CC" w:rsidP="00F72975">
            <w:pPr>
              <w:spacing w:after="0" w:line="240" w:lineRule="auto"/>
              <w:jc w:val="center"/>
              <w:rPr>
                <w:rFonts w:ascii="Candara" w:eastAsia="Times New Roman" w:hAnsi="Candara" w:cs="Times New Roman"/>
                <w:b/>
                <w:bCs/>
              </w:rPr>
            </w:pPr>
            <w:r w:rsidRPr="00364F8A">
              <w:rPr>
                <w:rFonts w:ascii="Candara" w:eastAsia="Times New Roman" w:hAnsi="Candara" w:cs="Times New Roman"/>
                <w:b/>
                <w:bCs/>
              </w:rPr>
              <w:t>Grandes Setores</w:t>
            </w:r>
          </w:p>
        </w:tc>
        <w:tc>
          <w:tcPr>
            <w:tcW w:w="668" w:type="pct"/>
            <w:tcBorders>
              <w:top w:val="single" w:sz="4" w:space="0" w:color="auto"/>
              <w:left w:val="nil"/>
              <w:bottom w:val="single" w:sz="4" w:space="0" w:color="auto"/>
              <w:right w:val="nil"/>
            </w:tcBorders>
            <w:shd w:val="clear" w:color="auto" w:fill="auto"/>
            <w:noWrap/>
            <w:vAlign w:val="center"/>
            <w:hideMark/>
          </w:tcPr>
          <w:p w14:paraId="0C8D507F" w14:textId="77777777" w:rsidR="001D33CC" w:rsidRPr="00364F8A" w:rsidRDefault="001D33CC" w:rsidP="00F72975">
            <w:pPr>
              <w:spacing w:after="0" w:line="240" w:lineRule="auto"/>
              <w:jc w:val="center"/>
              <w:rPr>
                <w:rFonts w:ascii="Candara" w:eastAsia="Times New Roman" w:hAnsi="Candara"/>
                <w:b/>
                <w:bCs/>
              </w:rPr>
            </w:pPr>
            <w:r w:rsidRPr="00364F8A">
              <w:rPr>
                <w:rFonts w:ascii="Candara" w:eastAsia="Times New Roman" w:hAnsi="Candara"/>
                <w:b/>
                <w:bCs/>
              </w:rPr>
              <w:t>2002</w:t>
            </w:r>
          </w:p>
        </w:tc>
        <w:tc>
          <w:tcPr>
            <w:tcW w:w="487" w:type="pct"/>
            <w:tcBorders>
              <w:top w:val="single" w:sz="4" w:space="0" w:color="auto"/>
              <w:left w:val="nil"/>
              <w:bottom w:val="single" w:sz="4" w:space="0" w:color="auto"/>
              <w:right w:val="nil"/>
            </w:tcBorders>
            <w:shd w:val="clear" w:color="auto" w:fill="auto"/>
            <w:noWrap/>
            <w:vAlign w:val="center"/>
            <w:hideMark/>
          </w:tcPr>
          <w:p w14:paraId="2455E265" w14:textId="77777777" w:rsidR="001D33CC" w:rsidRPr="00364F8A" w:rsidRDefault="001D33CC" w:rsidP="00F72975">
            <w:pPr>
              <w:spacing w:after="0" w:line="240" w:lineRule="auto"/>
              <w:jc w:val="center"/>
              <w:rPr>
                <w:rFonts w:ascii="Candara" w:eastAsia="Times New Roman" w:hAnsi="Candara"/>
                <w:b/>
                <w:bCs/>
              </w:rPr>
            </w:pPr>
            <w:r w:rsidRPr="00364F8A">
              <w:rPr>
                <w:rFonts w:ascii="Candara" w:eastAsia="Times New Roman" w:hAnsi="Candara"/>
                <w:b/>
                <w:bCs/>
              </w:rPr>
              <w:t>%</w:t>
            </w:r>
          </w:p>
        </w:tc>
        <w:tc>
          <w:tcPr>
            <w:tcW w:w="718" w:type="pct"/>
            <w:tcBorders>
              <w:top w:val="single" w:sz="4" w:space="0" w:color="auto"/>
              <w:left w:val="nil"/>
              <w:bottom w:val="single" w:sz="4" w:space="0" w:color="auto"/>
              <w:right w:val="nil"/>
            </w:tcBorders>
            <w:shd w:val="clear" w:color="auto" w:fill="auto"/>
            <w:noWrap/>
            <w:vAlign w:val="center"/>
            <w:hideMark/>
          </w:tcPr>
          <w:p w14:paraId="0DDAF065" w14:textId="77777777" w:rsidR="001D33CC" w:rsidRPr="00364F8A" w:rsidRDefault="001D33CC" w:rsidP="00F72975">
            <w:pPr>
              <w:spacing w:after="0" w:line="240" w:lineRule="auto"/>
              <w:jc w:val="center"/>
              <w:rPr>
                <w:rFonts w:ascii="Candara" w:eastAsia="Times New Roman" w:hAnsi="Candara"/>
                <w:b/>
                <w:bCs/>
              </w:rPr>
            </w:pPr>
            <w:r w:rsidRPr="00364F8A">
              <w:rPr>
                <w:rFonts w:ascii="Candara" w:eastAsia="Times New Roman" w:hAnsi="Candara"/>
                <w:b/>
                <w:bCs/>
              </w:rPr>
              <w:t>2010</w:t>
            </w:r>
          </w:p>
        </w:tc>
        <w:tc>
          <w:tcPr>
            <w:tcW w:w="446" w:type="pct"/>
            <w:tcBorders>
              <w:top w:val="single" w:sz="4" w:space="0" w:color="auto"/>
              <w:left w:val="nil"/>
              <w:bottom w:val="single" w:sz="4" w:space="0" w:color="auto"/>
              <w:right w:val="nil"/>
            </w:tcBorders>
            <w:shd w:val="clear" w:color="auto" w:fill="auto"/>
            <w:noWrap/>
            <w:vAlign w:val="center"/>
            <w:hideMark/>
          </w:tcPr>
          <w:p w14:paraId="234512E8" w14:textId="77777777" w:rsidR="001D33CC" w:rsidRPr="00364F8A" w:rsidRDefault="001D33CC" w:rsidP="00F72975">
            <w:pPr>
              <w:spacing w:after="0" w:line="240" w:lineRule="auto"/>
              <w:jc w:val="center"/>
              <w:rPr>
                <w:rFonts w:ascii="Candara" w:eastAsia="Times New Roman" w:hAnsi="Candara"/>
                <w:b/>
                <w:bCs/>
              </w:rPr>
            </w:pPr>
            <w:r w:rsidRPr="00364F8A">
              <w:rPr>
                <w:rFonts w:ascii="Candara" w:eastAsia="Times New Roman" w:hAnsi="Candara"/>
                <w:b/>
                <w:bCs/>
              </w:rPr>
              <w:t>%</w:t>
            </w:r>
          </w:p>
        </w:tc>
        <w:tc>
          <w:tcPr>
            <w:tcW w:w="718" w:type="pct"/>
            <w:tcBorders>
              <w:top w:val="single" w:sz="4" w:space="0" w:color="auto"/>
              <w:left w:val="nil"/>
              <w:bottom w:val="single" w:sz="4" w:space="0" w:color="auto"/>
              <w:right w:val="nil"/>
            </w:tcBorders>
            <w:shd w:val="clear" w:color="auto" w:fill="auto"/>
            <w:noWrap/>
            <w:vAlign w:val="center"/>
            <w:hideMark/>
          </w:tcPr>
          <w:p w14:paraId="2BF31B4F" w14:textId="77777777" w:rsidR="001D33CC" w:rsidRPr="00364F8A" w:rsidRDefault="001D33CC" w:rsidP="00F72975">
            <w:pPr>
              <w:spacing w:after="0" w:line="240" w:lineRule="auto"/>
              <w:jc w:val="center"/>
              <w:rPr>
                <w:rFonts w:ascii="Candara" w:eastAsia="Times New Roman" w:hAnsi="Candara"/>
                <w:b/>
                <w:bCs/>
              </w:rPr>
            </w:pPr>
            <w:r w:rsidRPr="00364F8A">
              <w:rPr>
                <w:rFonts w:ascii="Candara" w:eastAsia="Times New Roman" w:hAnsi="Candara"/>
                <w:b/>
                <w:bCs/>
              </w:rPr>
              <w:t>2019</w:t>
            </w:r>
          </w:p>
        </w:tc>
        <w:tc>
          <w:tcPr>
            <w:tcW w:w="446" w:type="pct"/>
            <w:tcBorders>
              <w:top w:val="single" w:sz="4" w:space="0" w:color="auto"/>
              <w:left w:val="nil"/>
              <w:bottom w:val="single" w:sz="4" w:space="0" w:color="auto"/>
              <w:right w:val="nil"/>
            </w:tcBorders>
            <w:shd w:val="clear" w:color="auto" w:fill="auto"/>
            <w:noWrap/>
            <w:vAlign w:val="center"/>
            <w:hideMark/>
          </w:tcPr>
          <w:p w14:paraId="286B750D" w14:textId="77777777" w:rsidR="001D33CC" w:rsidRPr="00364F8A" w:rsidRDefault="001D33CC" w:rsidP="00F72975">
            <w:pPr>
              <w:spacing w:after="0" w:line="240" w:lineRule="auto"/>
              <w:jc w:val="center"/>
              <w:rPr>
                <w:rFonts w:ascii="Candara" w:eastAsia="Times New Roman" w:hAnsi="Candara"/>
                <w:b/>
                <w:bCs/>
              </w:rPr>
            </w:pPr>
            <w:r w:rsidRPr="00364F8A">
              <w:rPr>
                <w:rFonts w:ascii="Candara" w:eastAsia="Times New Roman" w:hAnsi="Candara"/>
                <w:b/>
                <w:bCs/>
              </w:rPr>
              <w:t>%</w:t>
            </w:r>
          </w:p>
        </w:tc>
      </w:tr>
      <w:tr w:rsidR="00364F8A" w:rsidRPr="00364F8A" w14:paraId="7E8FB87F" w14:textId="77777777" w:rsidTr="00F72975">
        <w:trPr>
          <w:trHeight w:val="300"/>
        </w:trPr>
        <w:tc>
          <w:tcPr>
            <w:tcW w:w="1517" w:type="pct"/>
            <w:tcBorders>
              <w:top w:val="single" w:sz="4" w:space="0" w:color="auto"/>
              <w:left w:val="nil"/>
              <w:bottom w:val="nil"/>
              <w:right w:val="nil"/>
            </w:tcBorders>
            <w:shd w:val="clear" w:color="auto" w:fill="auto"/>
            <w:noWrap/>
            <w:vAlign w:val="center"/>
            <w:hideMark/>
          </w:tcPr>
          <w:p w14:paraId="7AD8A987"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1 - Indústria</w:t>
            </w:r>
          </w:p>
        </w:tc>
        <w:tc>
          <w:tcPr>
            <w:tcW w:w="668" w:type="pct"/>
            <w:tcBorders>
              <w:top w:val="single" w:sz="4" w:space="0" w:color="auto"/>
              <w:left w:val="nil"/>
              <w:bottom w:val="nil"/>
              <w:right w:val="nil"/>
            </w:tcBorders>
            <w:shd w:val="clear" w:color="auto" w:fill="auto"/>
            <w:noWrap/>
            <w:vAlign w:val="center"/>
            <w:hideMark/>
          </w:tcPr>
          <w:p w14:paraId="64ECACE8"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235.834</w:t>
            </w:r>
          </w:p>
        </w:tc>
        <w:tc>
          <w:tcPr>
            <w:tcW w:w="487" w:type="pct"/>
            <w:tcBorders>
              <w:top w:val="single" w:sz="4" w:space="0" w:color="auto"/>
              <w:left w:val="nil"/>
              <w:bottom w:val="nil"/>
              <w:right w:val="nil"/>
            </w:tcBorders>
            <w:shd w:val="clear" w:color="auto" w:fill="auto"/>
            <w:noWrap/>
            <w:vAlign w:val="center"/>
            <w:hideMark/>
          </w:tcPr>
          <w:p w14:paraId="66B22CB3"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16,22</w:t>
            </w:r>
          </w:p>
        </w:tc>
        <w:tc>
          <w:tcPr>
            <w:tcW w:w="718" w:type="pct"/>
            <w:tcBorders>
              <w:top w:val="single" w:sz="4" w:space="0" w:color="auto"/>
              <w:left w:val="nil"/>
              <w:bottom w:val="nil"/>
              <w:right w:val="nil"/>
            </w:tcBorders>
            <w:shd w:val="clear" w:color="auto" w:fill="auto"/>
            <w:noWrap/>
            <w:vAlign w:val="center"/>
            <w:hideMark/>
          </w:tcPr>
          <w:p w14:paraId="5C69C8DC"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426.027</w:t>
            </w:r>
          </w:p>
        </w:tc>
        <w:tc>
          <w:tcPr>
            <w:tcW w:w="446" w:type="pct"/>
            <w:tcBorders>
              <w:top w:val="single" w:sz="4" w:space="0" w:color="auto"/>
              <w:left w:val="nil"/>
              <w:bottom w:val="nil"/>
              <w:right w:val="nil"/>
            </w:tcBorders>
            <w:shd w:val="clear" w:color="auto" w:fill="auto"/>
            <w:noWrap/>
            <w:vAlign w:val="center"/>
            <w:hideMark/>
          </w:tcPr>
          <w:p w14:paraId="614B8719"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16,95</w:t>
            </w:r>
          </w:p>
        </w:tc>
        <w:tc>
          <w:tcPr>
            <w:tcW w:w="718" w:type="pct"/>
            <w:tcBorders>
              <w:top w:val="single" w:sz="4" w:space="0" w:color="auto"/>
              <w:left w:val="nil"/>
              <w:bottom w:val="nil"/>
              <w:right w:val="nil"/>
            </w:tcBorders>
            <w:shd w:val="clear" w:color="auto" w:fill="auto"/>
            <w:noWrap/>
            <w:vAlign w:val="center"/>
            <w:hideMark/>
          </w:tcPr>
          <w:p w14:paraId="298AA87E"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427.181</w:t>
            </w:r>
          </w:p>
        </w:tc>
        <w:tc>
          <w:tcPr>
            <w:tcW w:w="446" w:type="pct"/>
            <w:tcBorders>
              <w:top w:val="single" w:sz="4" w:space="0" w:color="auto"/>
              <w:left w:val="nil"/>
              <w:bottom w:val="nil"/>
              <w:right w:val="nil"/>
            </w:tcBorders>
            <w:shd w:val="clear" w:color="auto" w:fill="auto"/>
            <w:noWrap/>
            <w:vAlign w:val="center"/>
            <w:hideMark/>
          </w:tcPr>
          <w:p w14:paraId="476EBE84"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14,34</w:t>
            </w:r>
          </w:p>
        </w:tc>
      </w:tr>
      <w:tr w:rsidR="00364F8A" w:rsidRPr="00364F8A" w14:paraId="5A8A8029" w14:textId="77777777" w:rsidTr="00F72975">
        <w:trPr>
          <w:trHeight w:val="300"/>
        </w:trPr>
        <w:tc>
          <w:tcPr>
            <w:tcW w:w="1517" w:type="pct"/>
            <w:tcBorders>
              <w:top w:val="nil"/>
              <w:left w:val="nil"/>
              <w:bottom w:val="nil"/>
              <w:right w:val="nil"/>
            </w:tcBorders>
            <w:shd w:val="clear" w:color="auto" w:fill="auto"/>
            <w:noWrap/>
            <w:vAlign w:val="center"/>
            <w:hideMark/>
          </w:tcPr>
          <w:p w14:paraId="6AA5EB93"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2 - Construção Civil</w:t>
            </w:r>
          </w:p>
        </w:tc>
        <w:tc>
          <w:tcPr>
            <w:tcW w:w="668" w:type="pct"/>
            <w:tcBorders>
              <w:top w:val="nil"/>
              <w:left w:val="nil"/>
              <w:bottom w:val="nil"/>
              <w:right w:val="nil"/>
            </w:tcBorders>
            <w:shd w:val="clear" w:color="auto" w:fill="auto"/>
            <w:noWrap/>
            <w:vAlign w:val="center"/>
            <w:hideMark/>
          </w:tcPr>
          <w:p w14:paraId="7A4B67F3"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43.463</w:t>
            </w:r>
          </w:p>
        </w:tc>
        <w:tc>
          <w:tcPr>
            <w:tcW w:w="487" w:type="pct"/>
            <w:tcBorders>
              <w:top w:val="nil"/>
              <w:left w:val="nil"/>
              <w:bottom w:val="nil"/>
              <w:right w:val="nil"/>
            </w:tcBorders>
            <w:shd w:val="clear" w:color="auto" w:fill="auto"/>
            <w:noWrap/>
            <w:vAlign w:val="center"/>
            <w:hideMark/>
          </w:tcPr>
          <w:p w14:paraId="39DFD7A7"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2,99</w:t>
            </w:r>
          </w:p>
        </w:tc>
        <w:tc>
          <w:tcPr>
            <w:tcW w:w="718" w:type="pct"/>
            <w:tcBorders>
              <w:top w:val="nil"/>
              <w:left w:val="nil"/>
              <w:bottom w:val="nil"/>
              <w:right w:val="nil"/>
            </w:tcBorders>
            <w:shd w:val="clear" w:color="auto" w:fill="auto"/>
            <w:noWrap/>
            <w:vAlign w:val="center"/>
            <w:hideMark/>
          </w:tcPr>
          <w:p w14:paraId="5B60FD9B"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117.069</w:t>
            </w:r>
          </w:p>
        </w:tc>
        <w:tc>
          <w:tcPr>
            <w:tcW w:w="446" w:type="pct"/>
            <w:tcBorders>
              <w:top w:val="nil"/>
              <w:left w:val="nil"/>
              <w:bottom w:val="nil"/>
              <w:right w:val="nil"/>
            </w:tcBorders>
            <w:shd w:val="clear" w:color="auto" w:fill="auto"/>
            <w:noWrap/>
            <w:vAlign w:val="center"/>
            <w:hideMark/>
          </w:tcPr>
          <w:p w14:paraId="32EDF847"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4,66</w:t>
            </w:r>
          </w:p>
        </w:tc>
        <w:tc>
          <w:tcPr>
            <w:tcW w:w="718" w:type="pct"/>
            <w:tcBorders>
              <w:top w:val="nil"/>
              <w:left w:val="nil"/>
              <w:bottom w:val="nil"/>
              <w:right w:val="nil"/>
            </w:tcBorders>
            <w:shd w:val="clear" w:color="auto" w:fill="auto"/>
            <w:noWrap/>
            <w:vAlign w:val="center"/>
            <w:hideMark/>
          </w:tcPr>
          <w:p w14:paraId="6E5A94E1"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92.384</w:t>
            </w:r>
          </w:p>
        </w:tc>
        <w:tc>
          <w:tcPr>
            <w:tcW w:w="446" w:type="pct"/>
            <w:tcBorders>
              <w:top w:val="nil"/>
              <w:left w:val="nil"/>
              <w:bottom w:val="nil"/>
              <w:right w:val="nil"/>
            </w:tcBorders>
            <w:shd w:val="clear" w:color="auto" w:fill="auto"/>
            <w:noWrap/>
            <w:vAlign w:val="center"/>
            <w:hideMark/>
          </w:tcPr>
          <w:p w14:paraId="240E7AD2"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3,10</w:t>
            </w:r>
          </w:p>
        </w:tc>
      </w:tr>
      <w:tr w:rsidR="00364F8A" w:rsidRPr="00364F8A" w14:paraId="3A01F639" w14:textId="77777777" w:rsidTr="00F72975">
        <w:trPr>
          <w:trHeight w:val="300"/>
        </w:trPr>
        <w:tc>
          <w:tcPr>
            <w:tcW w:w="1517" w:type="pct"/>
            <w:tcBorders>
              <w:top w:val="nil"/>
              <w:left w:val="nil"/>
              <w:bottom w:val="nil"/>
              <w:right w:val="nil"/>
            </w:tcBorders>
            <w:shd w:val="clear" w:color="auto" w:fill="auto"/>
            <w:noWrap/>
            <w:vAlign w:val="center"/>
            <w:hideMark/>
          </w:tcPr>
          <w:p w14:paraId="0E6395BD"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3 - Comércio</w:t>
            </w:r>
          </w:p>
        </w:tc>
        <w:tc>
          <w:tcPr>
            <w:tcW w:w="668" w:type="pct"/>
            <w:tcBorders>
              <w:top w:val="nil"/>
              <w:left w:val="nil"/>
              <w:bottom w:val="nil"/>
              <w:right w:val="nil"/>
            </w:tcBorders>
            <w:shd w:val="clear" w:color="auto" w:fill="auto"/>
            <w:noWrap/>
            <w:vAlign w:val="center"/>
            <w:hideMark/>
          </w:tcPr>
          <w:p w14:paraId="1D743C45"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221.523</w:t>
            </w:r>
          </w:p>
        </w:tc>
        <w:tc>
          <w:tcPr>
            <w:tcW w:w="487" w:type="pct"/>
            <w:tcBorders>
              <w:top w:val="nil"/>
              <w:left w:val="nil"/>
              <w:bottom w:val="nil"/>
              <w:right w:val="nil"/>
            </w:tcBorders>
            <w:shd w:val="clear" w:color="auto" w:fill="auto"/>
            <w:noWrap/>
            <w:vAlign w:val="center"/>
            <w:hideMark/>
          </w:tcPr>
          <w:p w14:paraId="0F38D6EC"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15,24</w:t>
            </w:r>
          </w:p>
        </w:tc>
        <w:tc>
          <w:tcPr>
            <w:tcW w:w="718" w:type="pct"/>
            <w:tcBorders>
              <w:top w:val="nil"/>
              <w:left w:val="nil"/>
              <w:bottom w:val="nil"/>
              <w:right w:val="nil"/>
            </w:tcBorders>
            <w:shd w:val="clear" w:color="auto" w:fill="auto"/>
            <w:noWrap/>
            <w:vAlign w:val="center"/>
            <w:hideMark/>
          </w:tcPr>
          <w:p w14:paraId="1299C386"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466.559</w:t>
            </w:r>
          </w:p>
        </w:tc>
        <w:tc>
          <w:tcPr>
            <w:tcW w:w="446" w:type="pct"/>
            <w:tcBorders>
              <w:top w:val="nil"/>
              <w:left w:val="nil"/>
              <w:bottom w:val="nil"/>
              <w:right w:val="nil"/>
            </w:tcBorders>
            <w:shd w:val="clear" w:color="auto" w:fill="auto"/>
            <w:noWrap/>
            <w:vAlign w:val="center"/>
            <w:hideMark/>
          </w:tcPr>
          <w:p w14:paraId="2FEEB077"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18,56</w:t>
            </w:r>
          </w:p>
        </w:tc>
        <w:tc>
          <w:tcPr>
            <w:tcW w:w="718" w:type="pct"/>
            <w:tcBorders>
              <w:top w:val="nil"/>
              <w:left w:val="nil"/>
              <w:bottom w:val="nil"/>
              <w:right w:val="nil"/>
            </w:tcBorders>
            <w:shd w:val="clear" w:color="auto" w:fill="auto"/>
            <w:noWrap/>
            <w:vAlign w:val="center"/>
            <w:hideMark/>
          </w:tcPr>
          <w:p w14:paraId="72F49553"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602.637</w:t>
            </w:r>
          </w:p>
        </w:tc>
        <w:tc>
          <w:tcPr>
            <w:tcW w:w="446" w:type="pct"/>
            <w:tcBorders>
              <w:top w:val="nil"/>
              <w:left w:val="nil"/>
              <w:bottom w:val="nil"/>
              <w:right w:val="nil"/>
            </w:tcBorders>
            <w:shd w:val="clear" w:color="auto" w:fill="auto"/>
            <w:noWrap/>
            <w:vAlign w:val="center"/>
            <w:hideMark/>
          </w:tcPr>
          <w:p w14:paraId="2C119806"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20,22</w:t>
            </w:r>
          </w:p>
        </w:tc>
      </w:tr>
      <w:tr w:rsidR="00364F8A" w:rsidRPr="00364F8A" w14:paraId="66F9BDB6" w14:textId="77777777" w:rsidTr="00F72975">
        <w:trPr>
          <w:trHeight w:val="300"/>
        </w:trPr>
        <w:tc>
          <w:tcPr>
            <w:tcW w:w="1517" w:type="pct"/>
            <w:tcBorders>
              <w:top w:val="nil"/>
              <w:left w:val="nil"/>
              <w:right w:val="nil"/>
            </w:tcBorders>
            <w:shd w:val="clear" w:color="auto" w:fill="auto"/>
            <w:noWrap/>
            <w:vAlign w:val="center"/>
            <w:hideMark/>
          </w:tcPr>
          <w:p w14:paraId="784FAC97"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4 - Serviços</w:t>
            </w:r>
          </w:p>
        </w:tc>
        <w:tc>
          <w:tcPr>
            <w:tcW w:w="668" w:type="pct"/>
            <w:tcBorders>
              <w:top w:val="nil"/>
              <w:left w:val="nil"/>
              <w:right w:val="nil"/>
            </w:tcBorders>
            <w:shd w:val="clear" w:color="auto" w:fill="auto"/>
            <w:noWrap/>
            <w:vAlign w:val="center"/>
            <w:hideMark/>
          </w:tcPr>
          <w:p w14:paraId="239D0C6D"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877.275</w:t>
            </w:r>
          </w:p>
        </w:tc>
        <w:tc>
          <w:tcPr>
            <w:tcW w:w="487" w:type="pct"/>
            <w:tcBorders>
              <w:top w:val="nil"/>
              <w:left w:val="nil"/>
              <w:right w:val="nil"/>
            </w:tcBorders>
            <w:shd w:val="clear" w:color="auto" w:fill="auto"/>
            <w:noWrap/>
            <w:vAlign w:val="center"/>
            <w:hideMark/>
          </w:tcPr>
          <w:p w14:paraId="5AF276E8"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60,34</w:t>
            </w:r>
          </w:p>
        </w:tc>
        <w:tc>
          <w:tcPr>
            <w:tcW w:w="718" w:type="pct"/>
            <w:tcBorders>
              <w:top w:val="nil"/>
              <w:left w:val="nil"/>
              <w:right w:val="nil"/>
            </w:tcBorders>
            <w:shd w:val="clear" w:color="auto" w:fill="auto"/>
            <w:noWrap/>
            <w:vAlign w:val="center"/>
            <w:hideMark/>
          </w:tcPr>
          <w:p w14:paraId="22C87CCC"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1.395.267</w:t>
            </w:r>
          </w:p>
        </w:tc>
        <w:tc>
          <w:tcPr>
            <w:tcW w:w="446" w:type="pct"/>
            <w:tcBorders>
              <w:top w:val="nil"/>
              <w:left w:val="nil"/>
              <w:right w:val="nil"/>
            </w:tcBorders>
            <w:shd w:val="clear" w:color="auto" w:fill="auto"/>
            <w:noWrap/>
            <w:vAlign w:val="center"/>
            <w:hideMark/>
          </w:tcPr>
          <w:p w14:paraId="006861C6"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55,52</w:t>
            </w:r>
          </w:p>
        </w:tc>
        <w:tc>
          <w:tcPr>
            <w:tcW w:w="718" w:type="pct"/>
            <w:tcBorders>
              <w:top w:val="nil"/>
              <w:left w:val="nil"/>
              <w:right w:val="nil"/>
            </w:tcBorders>
            <w:shd w:val="clear" w:color="auto" w:fill="auto"/>
            <w:noWrap/>
            <w:vAlign w:val="center"/>
            <w:hideMark/>
          </w:tcPr>
          <w:p w14:paraId="3F7B9D3B"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1.727.536</w:t>
            </w:r>
          </w:p>
        </w:tc>
        <w:tc>
          <w:tcPr>
            <w:tcW w:w="446" w:type="pct"/>
            <w:tcBorders>
              <w:top w:val="nil"/>
              <w:left w:val="nil"/>
              <w:right w:val="nil"/>
            </w:tcBorders>
            <w:shd w:val="clear" w:color="auto" w:fill="auto"/>
            <w:noWrap/>
            <w:vAlign w:val="center"/>
            <w:hideMark/>
          </w:tcPr>
          <w:p w14:paraId="044BB209"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57,97</w:t>
            </w:r>
          </w:p>
        </w:tc>
      </w:tr>
      <w:tr w:rsidR="00364F8A" w:rsidRPr="00364F8A" w14:paraId="666E55D1" w14:textId="77777777" w:rsidTr="00F72975">
        <w:trPr>
          <w:trHeight w:val="300"/>
        </w:trPr>
        <w:tc>
          <w:tcPr>
            <w:tcW w:w="1517" w:type="pct"/>
            <w:tcBorders>
              <w:top w:val="nil"/>
              <w:left w:val="nil"/>
              <w:bottom w:val="single" w:sz="4" w:space="0" w:color="auto"/>
              <w:right w:val="nil"/>
            </w:tcBorders>
            <w:shd w:val="clear" w:color="auto" w:fill="auto"/>
            <w:noWrap/>
            <w:vAlign w:val="center"/>
            <w:hideMark/>
          </w:tcPr>
          <w:p w14:paraId="15EFE309"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5 - Agropecuária</w:t>
            </w:r>
          </w:p>
        </w:tc>
        <w:tc>
          <w:tcPr>
            <w:tcW w:w="668" w:type="pct"/>
            <w:tcBorders>
              <w:top w:val="nil"/>
              <w:left w:val="nil"/>
              <w:bottom w:val="single" w:sz="4" w:space="0" w:color="auto"/>
              <w:right w:val="nil"/>
            </w:tcBorders>
            <w:shd w:val="clear" w:color="auto" w:fill="auto"/>
            <w:noWrap/>
            <w:vAlign w:val="center"/>
            <w:hideMark/>
          </w:tcPr>
          <w:p w14:paraId="2EE583AC"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75.841</w:t>
            </w:r>
          </w:p>
        </w:tc>
        <w:tc>
          <w:tcPr>
            <w:tcW w:w="487" w:type="pct"/>
            <w:tcBorders>
              <w:top w:val="nil"/>
              <w:left w:val="nil"/>
              <w:bottom w:val="single" w:sz="4" w:space="0" w:color="auto"/>
              <w:right w:val="nil"/>
            </w:tcBorders>
            <w:shd w:val="clear" w:color="auto" w:fill="auto"/>
            <w:noWrap/>
            <w:vAlign w:val="center"/>
            <w:hideMark/>
          </w:tcPr>
          <w:p w14:paraId="35F92830"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5,22</w:t>
            </w:r>
          </w:p>
        </w:tc>
        <w:tc>
          <w:tcPr>
            <w:tcW w:w="718" w:type="pct"/>
            <w:tcBorders>
              <w:top w:val="nil"/>
              <w:left w:val="nil"/>
              <w:bottom w:val="single" w:sz="4" w:space="0" w:color="auto"/>
              <w:right w:val="nil"/>
            </w:tcBorders>
            <w:shd w:val="clear" w:color="auto" w:fill="auto"/>
            <w:noWrap/>
            <w:vAlign w:val="center"/>
            <w:hideMark/>
          </w:tcPr>
          <w:p w14:paraId="328796F3"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108.367</w:t>
            </w:r>
          </w:p>
        </w:tc>
        <w:tc>
          <w:tcPr>
            <w:tcW w:w="446" w:type="pct"/>
            <w:tcBorders>
              <w:top w:val="nil"/>
              <w:left w:val="nil"/>
              <w:bottom w:val="single" w:sz="4" w:space="0" w:color="auto"/>
              <w:right w:val="nil"/>
            </w:tcBorders>
            <w:shd w:val="clear" w:color="auto" w:fill="auto"/>
            <w:noWrap/>
            <w:vAlign w:val="center"/>
            <w:hideMark/>
          </w:tcPr>
          <w:p w14:paraId="16B6B621"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4,31</w:t>
            </w:r>
          </w:p>
        </w:tc>
        <w:tc>
          <w:tcPr>
            <w:tcW w:w="718" w:type="pct"/>
            <w:tcBorders>
              <w:top w:val="nil"/>
              <w:left w:val="nil"/>
              <w:bottom w:val="single" w:sz="4" w:space="0" w:color="auto"/>
              <w:right w:val="nil"/>
            </w:tcBorders>
            <w:shd w:val="clear" w:color="auto" w:fill="auto"/>
            <w:noWrap/>
            <w:vAlign w:val="center"/>
            <w:hideMark/>
          </w:tcPr>
          <w:p w14:paraId="7A75DF42"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130.194</w:t>
            </w:r>
          </w:p>
        </w:tc>
        <w:tc>
          <w:tcPr>
            <w:tcW w:w="446" w:type="pct"/>
            <w:tcBorders>
              <w:top w:val="nil"/>
              <w:left w:val="nil"/>
              <w:bottom w:val="single" w:sz="4" w:space="0" w:color="auto"/>
              <w:right w:val="nil"/>
            </w:tcBorders>
            <w:shd w:val="clear" w:color="auto" w:fill="auto"/>
            <w:noWrap/>
            <w:vAlign w:val="center"/>
            <w:hideMark/>
          </w:tcPr>
          <w:p w14:paraId="1702EDED" w14:textId="77777777" w:rsidR="001D33CC" w:rsidRPr="00364F8A" w:rsidRDefault="001D33CC" w:rsidP="00F72975">
            <w:pPr>
              <w:spacing w:after="0" w:line="240" w:lineRule="auto"/>
              <w:jc w:val="center"/>
              <w:rPr>
                <w:rFonts w:ascii="Candara" w:eastAsia="Times New Roman" w:hAnsi="Candara"/>
              </w:rPr>
            </w:pPr>
            <w:r w:rsidRPr="00364F8A">
              <w:rPr>
                <w:rFonts w:ascii="Candara" w:eastAsia="Times New Roman" w:hAnsi="Candara"/>
              </w:rPr>
              <w:t>4,37</w:t>
            </w:r>
          </w:p>
        </w:tc>
      </w:tr>
    </w:tbl>
    <w:p w14:paraId="31DF2006" w14:textId="77777777" w:rsidR="001D33CC" w:rsidRPr="00364F8A" w:rsidRDefault="001D33CC" w:rsidP="00FE164F">
      <w:pPr>
        <w:jc w:val="both"/>
        <w:rPr>
          <w:rFonts w:ascii="Candara" w:hAnsi="Candara"/>
          <w:sz w:val="20"/>
          <w:szCs w:val="20"/>
        </w:rPr>
      </w:pPr>
      <w:r w:rsidRPr="00364F8A">
        <w:rPr>
          <w:rFonts w:ascii="Candara" w:hAnsi="Candara"/>
          <w:b/>
          <w:bCs/>
          <w:sz w:val="20"/>
          <w:szCs w:val="20"/>
        </w:rPr>
        <w:t>Fonte:</w:t>
      </w:r>
      <w:r w:rsidRPr="00364F8A">
        <w:rPr>
          <w:rFonts w:ascii="Candara" w:hAnsi="Candara"/>
          <w:sz w:val="20"/>
          <w:szCs w:val="20"/>
        </w:rPr>
        <w:t xml:space="preserve"> RAIS/CAGED.</w:t>
      </w:r>
    </w:p>
    <w:p w14:paraId="272876FA" w14:textId="0C9F58F5" w:rsidR="001D33CC" w:rsidRPr="00364F8A" w:rsidRDefault="001D33CC" w:rsidP="003920BD">
      <w:pPr>
        <w:spacing w:after="120" w:line="360" w:lineRule="auto"/>
        <w:ind w:firstLine="851"/>
        <w:jc w:val="both"/>
        <w:rPr>
          <w:rFonts w:ascii="Candara" w:hAnsi="Candara"/>
          <w:sz w:val="24"/>
          <w:szCs w:val="24"/>
        </w:rPr>
      </w:pPr>
      <w:r w:rsidRPr="00364F8A">
        <w:rPr>
          <w:rFonts w:ascii="Candara" w:hAnsi="Candara"/>
          <w:sz w:val="24"/>
          <w:szCs w:val="24"/>
        </w:rPr>
        <w:t xml:space="preserve">Em suma, os setores que mais empregaram no </w:t>
      </w:r>
      <w:r w:rsidR="005A56BB" w:rsidRPr="00364F8A">
        <w:rPr>
          <w:rFonts w:ascii="Candara" w:hAnsi="Candara"/>
          <w:sz w:val="24"/>
          <w:szCs w:val="24"/>
        </w:rPr>
        <w:t>Semiárido Nordestino</w:t>
      </w:r>
      <w:r w:rsidRPr="00364F8A">
        <w:rPr>
          <w:rFonts w:ascii="Candara" w:hAnsi="Candara"/>
          <w:sz w:val="24"/>
          <w:szCs w:val="24"/>
        </w:rPr>
        <w:t xml:space="preserve"> foram Serviços e Comércio, seguidos pela Indústria (com queda de participação). Construção Civil e Agropecuária tiveram baixa participação agravada pela queda percentual ao longo do período analisado.</w:t>
      </w:r>
    </w:p>
    <w:p w14:paraId="4DEACE1C" w14:textId="13492744" w:rsidR="007E6B9E" w:rsidRPr="00364F8A" w:rsidRDefault="007E6B9E" w:rsidP="007E6B9E">
      <w:pPr>
        <w:widowControl w:val="0"/>
        <w:shd w:val="clear" w:color="auto" w:fill="FFFFFF"/>
        <w:spacing w:after="120" w:line="360" w:lineRule="auto"/>
        <w:ind w:firstLine="851"/>
        <w:jc w:val="both"/>
        <w:rPr>
          <w:rFonts w:ascii="Candara" w:hAnsi="Candara"/>
          <w:sz w:val="24"/>
          <w:szCs w:val="24"/>
        </w:rPr>
      </w:pPr>
      <w:r w:rsidRPr="00364F8A">
        <w:rPr>
          <w:rFonts w:ascii="Candara" w:hAnsi="Candara"/>
          <w:sz w:val="24"/>
          <w:szCs w:val="24"/>
        </w:rPr>
        <w:t xml:space="preserve">Por fim, a análise dos recursos do FNE. A área do FNE compreende 2.074 municípios dos estados do Nordeste e do Norte de Minas Gerais e do Espírito Santo. O fundo é o principal instrumento financeiro </w:t>
      </w:r>
      <w:r w:rsidRPr="00364F8A">
        <w:rPr>
          <w:rFonts w:ascii="Candara" w:hAnsi="Candara" w:hint="cs"/>
          <w:sz w:val="24"/>
          <w:szCs w:val="24"/>
        </w:rPr>
        <w:t xml:space="preserve">da Política Nacional de Desenvolvimento Regional (PNDR) para a </w:t>
      </w:r>
      <w:r w:rsidRPr="00364F8A">
        <w:rPr>
          <w:rFonts w:ascii="Candara" w:hAnsi="Candara"/>
          <w:sz w:val="24"/>
          <w:szCs w:val="24"/>
        </w:rPr>
        <w:t xml:space="preserve">região </w:t>
      </w:r>
      <w:r w:rsidRPr="00364F8A">
        <w:rPr>
          <w:rFonts w:ascii="Candara" w:hAnsi="Candara" w:hint="cs"/>
          <w:sz w:val="24"/>
          <w:szCs w:val="24"/>
        </w:rPr>
        <w:t>e um dos pilares do Plano Regional de Desenvolvimento do Nordeste (PRDNE).</w:t>
      </w:r>
      <w:r w:rsidRPr="00364F8A">
        <w:rPr>
          <w:rFonts w:ascii="Candara" w:hAnsi="Candara"/>
          <w:sz w:val="24"/>
          <w:szCs w:val="24"/>
        </w:rPr>
        <w:t xml:space="preserve"> O Gráfico 2 mostra o comportamento ao longo de 20 anos (2000/19) dos recursos do FNE destinados à sua área total de atuação, ao Semiárido Brasileiro e ao Semiárido Nordestino.</w:t>
      </w:r>
    </w:p>
    <w:p w14:paraId="43F1F079" w14:textId="77777777" w:rsidR="007E6B9E" w:rsidRPr="00364F8A" w:rsidRDefault="007E6B9E" w:rsidP="007E6B9E">
      <w:pPr>
        <w:widowControl w:val="0"/>
        <w:shd w:val="clear" w:color="auto" w:fill="FFFFFF"/>
        <w:spacing w:after="0" w:line="240" w:lineRule="auto"/>
        <w:jc w:val="center"/>
        <w:rPr>
          <w:rFonts w:ascii="Candara" w:hAnsi="Candara"/>
          <w:sz w:val="24"/>
          <w:szCs w:val="24"/>
        </w:rPr>
      </w:pPr>
      <w:r w:rsidRPr="00364F8A">
        <w:rPr>
          <w:rFonts w:ascii="Candara" w:hAnsi="Candara"/>
          <w:b/>
          <w:bCs/>
          <w:sz w:val="24"/>
          <w:szCs w:val="24"/>
        </w:rPr>
        <w:t>Gráfico 2</w:t>
      </w:r>
      <w:r w:rsidRPr="00364F8A">
        <w:rPr>
          <w:rFonts w:ascii="Candara" w:hAnsi="Candara"/>
          <w:sz w:val="24"/>
          <w:szCs w:val="24"/>
        </w:rPr>
        <w:t xml:space="preserve"> – Recursos para a área de atuação do FNE, Semiáridos Brasileiro e Nordestino – 2000/19</w:t>
      </w:r>
    </w:p>
    <w:p w14:paraId="2F5AA474" w14:textId="2F6D0A53" w:rsidR="007E6B9E" w:rsidRPr="00364F8A" w:rsidRDefault="007E6B9E" w:rsidP="007E6B9E">
      <w:pPr>
        <w:widowControl w:val="0"/>
        <w:shd w:val="clear" w:color="auto" w:fill="FFFFFF"/>
        <w:spacing w:after="0" w:line="240" w:lineRule="auto"/>
        <w:jc w:val="center"/>
        <w:rPr>
          <w:rFonts w:ascii="Candara" w:hAnsi="Candara"/>
          <w:sz w:val="24"/>
          <w:szCs w:val="24"/>
        </w:rPr>
      </w:pPr>
      <w:r w:rsidRPr="00364F8A">
        <w:rPr>
          <w:rFonts w:ascii="Times New Roman" w:hAnsi="Times New Roman" w:cs="Times New Roman"/>
          <w:noProof/>
          <w:sz w:val="24"/>
          <w:szCs w:val="24"/>
        </w:rPr>
        <w:lastRenderedPageBreak/>
        <w:drawing>
          <wp:inline distT="0" distB="0" distL="0" distR="0" wp14:anchorId="0531D990" wp14:editId="1186333F">
            <wp:extent cx="5302800" cy="3438000"/>
            <wp:effectExtent l="0" t="0" r="12700" b="10160"/>
            <wp:docPr id="410491953" name="Gráfico 1">
              <a:extLst xmlns:a="http://schemas.openxmlformats.org/drawingml/2006/main">
                <a:ext uri="{FF2B5EF4-FFF2-40B4-BE49-F238E27FC236}">
                  <a16:creationId xmlns:a16="http://schemas.microsoft.com/office/drawing/2014/main" id="{C203694C-8FEF-41AA-6177-1D8673292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BE3BF5" w14:textId="77777777" w:rsidR="007E6B9E" w:rsidRPr="00364F8A" w:rsidRDefault="007E6B9E" w:rsidP="007E6B9E">
      <w:pPr>
        <w:widowControl w:val="0"/>
        <w:shd w:val="clear" w:color="auto" w:fill="FFFFFF"/>
        <w:spacing w:after="0" w:line="240" w:lineRule="auto"/>
        <w:jc w:val="center"/>
        <w:rPr>
          <w:rFonts w:ascii="Candara" w:hAnsi="Candara"/>
          <w:sz w:val="20"/>
          <w:szCs w:val="20"/>
        </w:rPr>
      </w:pPr>
      <w:r w:rsidRPr="00364F8A">
        <w:rPr>
          <w:rFonts w:ascii="Candara" w:hAnsi="Candara"/>
          <w:b/>
          <w:bCs/>
          <w:sz w:val="20"/>
          <w:szCs w:val="20"/>
        </w:rPr>
        <w:t>Fonte</w:t>
      </w:r>
      <w:r w:rsidRPr="00364F8A">
        <w:rPr>
          <w:rFonts w:ascii="Candara" w:hAnsi="Candara"/>
          <w:sz w:val="20"/>
          <w:szCs w:val="20"/>
        </w:rPr>
        <w:t>: BNB.</w:t>
      </w:r>
    </w:p>
    <w:p w14:paraId="52778F51" w14:textId="574CBFAB" w:rsidR="007E6B9E" w:rsidRPr="00364F8A" w:rsidRDefault="00A319D2" w:rsidP="007E6B9E">
      <w:pPr>
        <w:widowControl w:val="0"/>
        <w:shd w:val="clear" w:color="auto" w:fill="FFFFFF"/>
        <w:spacing w:after="120" w:line="360" w:lineRule="auto"/>
        <w:jc w:val="center"/>
        <w:rPr>
          <w:rFonts w:ascii="Candara" w:hAnsi="Candara"/>
          <w:sz w:val="20"/>
          <w:szCs w:val="20"/>
        </w:rPr>
      </w:pPr>
      <w:r w:rsidRPr="00364F8A">
        <w:rPr>
          <w:rFonts w:ascii="Candara" w:hAnsi="Candara"/>
          <w:b/>
          <w:bCs/>
          <w:sz w:val="20"/>
          <w:szCs w:val="20"/>
        </w:rPr>
        <w:t>Obs.</w:t>
      </w:r>
      <w:r w:rsidRPr="00364F8A">
        <w:rPr>
          <w:rFonts w:ascii="Candara" w:hAnsi="Candara"/>
          <w:sz w:val="20"/>
          <w:szCs w:val="20"/>
        </w:rPr>
        <w:t xml:space="preserve">: </w:t>
      </w:r>
      <w:r w:rsidR="007E6B9E" w:rsidRPr="00364F8A">
        <w:rPr>
          <w:rFonts w:ascii="Candara" w:hAnsi="Candara"/>
          <w:sz w:val="20"/>
          <w:szCs w:val="20"/>
        </w:rPr>
        <w:t>Valores deflacionados</w:t>
      </w:r>
      <w:r w:rsidR="00582030" w:rsidRPr="00364F8A">
        <w:rPr>
          <w:rFonts w:ascii="Candara" w:hAnsi="Candara"/>
          <w:sz w:val="20"/>
          <w:szCs w:val="20"/>
        </w:rPr>
        <w:t xml:space="preserve"> pelo IGP</w:t>
      </w:r>
      <w:r w:rsidR="007E6B9E" w:rsidRPr="00364F8A">
        <w:rPr>
          <w:rFonts w:ascii="Candara" w:hAnsi="Candara"/>
          <w:sz w:val="20"/>
          <w:szCs w:val="20"/>
        </w:rPr>
        <w:t xml:space="preserve"> (ano base: 2019).</w:t>
      </w:r>
    </w:p>
    <w:p w14:paraId="70F2EE6D" w14:textId="749BF91B" w:rsidR="007E6B9E" w:rsidRPr="00364F8A" w:rsidRDefault="007E6B9E" w:rsidP="007E6B9E">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O volume de recursos acumulados do FNE durante o período foi cerca de R$ 273 bilhões, sendo destinados cerca de 55% (R$ 150 bilhões) e 51% (R$ 136 bilhões) para os Semiáridos Brasileiro e Nordestino, respectivamente. Um volume considerável para a região. 2018 foi o ano em que houve maior disponibilidade de recursos no FNE (R$ 35 bilhões), do qual cerca de 59% foram para o Semiárido Brasileiro e 52% foram para o Semiárido Nordestino. Considerando a lei pela qual foi criada, 50% dos recursos do FNE são destinados para a região semiárida, </w:t>
      </w:r>
      <w:r w:rsidR="00133C22" w:rsidRPr="00364F8A">
        <w:rPr>
          <w:rFonts w:ascii="Candara" w:eastAsia="Candara" w:hAnsi="Candara" w:cs="Candara"/>
          <w:sz w:val="24"/>
          <w:szCs w:val="24"/>
        </w:rPr>
        <w:t xml:space="preserve">e </w:t>
      </w:r>
      <w:r w:rsidRPr="00364F8A">
        <w:rPr>
          <w:rFonts w:ascii="Candara" w:eastAsia="Candara" w:hAnsi="Candara" w:cs="Candara"/>
          <w:sz w:val="24"/>
          <w:szCs w:val="24"/>
        </w:rPr>
        <w:t>em alguns anos essa destinação não foi concretizada (2001, 2003/05, 2007, 2009 e 2014).</w:t>
      </w:r>
    </w:p>
    <w:p w14:paraId="32B1B77F" w14:textId="1EB06AC2" w:rsidR="007E6B9E" w:rsidRPr="00364F8A" w:rsidRDefault="007E6B9E" w:rsidP="007E6B9E">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Considerando o porte das empresas, na área do FNE, o que mais tomou recursos foi a grande empresa (2003/05, 2007/10 e 2018/19), seguido pelas pequenas </w:t>
      </w:r>
      <w:r w:rsidRPr="00364F8A">
        <w:rPr>
          <w:rFonts w:ascii="Candara" w:eastAsia="Candara" w:hAnsi="Candara" w:cs="Candara"/>
          <w:sz w:val="24"/>
          <w:szCs w:val="24"/>
        </w:rPr>
        <w:lastRenderedPageBreak/>
        <w:t>e médias (2011/17) e micro (2000/02 e 2006). No período, as pequenas e médias empresas receberam mais recursos (R$ 51 bilhões), seguido pelas grandes empresas (R$ 46 bilhões) e microempresas (R$ 39 bilhões). No geral, foram atendidas 106.300 empresas (63% do total do FNE) no Semiárido Nordestino, sendo 73.315 microempresas (69%), 31.155 pequenas e médias empresas (29%) e 1.656 grandes empresas (1,6%).</w:t>
      </w:r>
    </w:p>
    <w:p w14:paraId="66D94C31" w14:textId="77777777" w:rsidR="007E6B9E" w:rsidRPr="00364F8A" w:rsidRDefault="007E6B9E" w:rsidP="007E6B9E">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Quanto aos setores, a Agropecuária foi a mais beneficiada concentrando a maior parte dos recursos até 2017 (variando entre 39%, em 2015, e 92%, em 2000). Ao todo foram cerca de R$ 65 bilhões, diante do avanço das fronteiras agrícolas na região semiárida. A Infraestrutura não teve grande participação até 2018, quando superou a Agropecuária e passou a ser setor mais beneficiado pelos recursos, chegando a mais de 50% do total em 2018 e 2019 (no total foram cerca de R$ 29 bilhões). Comércio e Serviços, no geral, foi o terceiro setor mais beneficiado, com R$ 25 bilhões ao longo do período, elevando sua participação A indústria foi a menos beneficiada no período, com um volume de recursos aproximadamente de R$ 17 bilhões. A partir de 2012, este setor começou a reduzir sua participação, corolário da crise econômica e política que foi acentuada a partir de 2015. Em relação aos recursos destinados à área do FNE, a Agropecuária no Semiárido Nordestino corresponde a 61%, Comércio e Serviços foram 39%, Indústria 34% e Infraestrutura 56%. Este último pode ter relação com as obras da Transnordestina e da Transposição do Rio São Francisco e, sobretudo, com as obras de energias renováveis em especial a eólica.</w:t>
      </w:r>
    </w:p>
    <w:p w14:paraId="394CD176" w14:textId="77777777" w:rsidR="007E6B9E" w:rsidRPr="00364F8A" w:rsidRDefault="007E6B9E" w:rsidP="007E6B9E">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Por fim, quanto a finalidade do recurso, parcela significativa do total do Semiárido Nordestino ao longo do período, R$ 90 bilhões (67%), foi destinado a investimentos. Cerca de R$ 34 bilhões (25%) foram destinados para Custeio/Capital de </w:t>
      </w:r>
      <w:r w:rsidRPr="00364F8A">
        <w:rPr>
          <w:rFonts w:ascii="Candara" w:eastAsia="Candara" w:hAnsi="Candara" w:cs="Candara"/>
          <w:sz w:val="24"/>
          <w:szCs w:val="24"/>
        </w:rPr>
        <w:lastRenderedPageBreak/>
        <w:t>Giro. Cerca de R$ 3 bilhões foram para comercialização (2%). Em comparação com os recursos totais do FNE, o investimento no Semiárido Nordestino representou cerca de 48%. Custeio/Capital de Giro correspondeu a cerca de 57% e Comercialização a cerca 60%.</w:t>
      </w:r>
    </w:p>
    <w:p w14:paraId="14A9105A" w14:textId="6DF2087F" w:rsidR="007E6B9E" w:rsidRPr="00364F8A" w:rsidRDefault="007E6B9E" w:rsidP="007E6B9E">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Em suma, observa-se um volume considerável de recursos do FNE para o Semiárido Nordestino, destinados sobretudo para a Agropecuária considerando o avanço da produção de </w:t>
      </w:r>
      <w:r w:rsidRPr="00364F8A">
        <w:rPr>
          <w:rFonts w:ascii="Candara" w:eastAsia="Candara" w:hAnsi="Candara" w:cs="Candara"/>
          <w:i/>
          <w:iCs/>
          <w:sz w:val="24"/>
          <w:szCs w:val="24"/>
        </w:rPr>
        <w:t>commodities</w:t>
      </w:r>
      <w:r w:rsidRPr="00364F8A">
        <w:rPr>
          <w:rFonts w:ascii="Candara" w:eastAsia="Candara" w:hAnsi="Candara" w:cs="Candara"/>
          <w:sz w:val="24"/>
          <w:szCs w:val="24"/>
        </w:rPr>
        <w:t xml:space="preserve"> para exportação e expansão contínua da fronteira agrícola, tendo como principal finalidade os investimentos destinados ao recorte territorial em questão, tendo como principais beneficiários as microempresas em quantidade, pois em volume de recursos, as pequenas e médias e as grandes empresas tiveram mais acesso.</w:t>
      </w:r>
    </w:p>
    <w:p w14:paraId="1C325262" w14:textId="0F688183" w:rsidR="009F4404" w:rsidRPr="00364F8A" w:rsidRDefault="007E6B9E" w:rsidP="003920BD">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Ademais</w:t>
      </w:r>
      <w:r w:rsidR="009F4404" w:rsidRPr="00364F8A">
        <w:rPr>
          <w:rFonts w:ascii="Candara" w:eastAsia="Candara" w:hAnsi="Candara" w:cs="Candara"/>
          <w:sz w:val="24"/>
          <w:szCs w:val="24"/>
        </w:rPr>
        <w:t>, cabe destacar alguns aspectos sobre a inserção da economia nordestina e, por consequência do semiárido, no</w:t>
      </w:r>
      <w:r w:rsidR="00A94C9F" w:rsidRPr="00364F8A">
        <w:rPr>
          <w:rFonts w:ascii="Candara" w:eastAsia="Candara" w:hAnsi="Candara" w:cs="Candara"/>
          <w:sz w:val="24"/>
          <w:szCs w:val="24"/>
        </w:rPr>
        <w:t xml:space="preserve"> Padrão de Reprodução do Capital Exportador de Especialização Produtiva (PRCEEP)</w:t>
      </w:r>
      <w:r w:rsidR="00A94C9F" w:rsidRPr="00364F8A">
        <w:rPr>
          <w:rStyle w:val="Refdenotaderodap"/>
          <w:rFonts w:ascii="Candara" w:eastAsia="Candara" w:hAnsi="Candara" w:cs="Candara"/>
          <w:sz w:val="24"/>
          <w:szCs w:val="24"/>
        </w:rPr>
        <w:footnoteReference w:id="16"/>
      </w:r>
      <w:r w:rsidR="009F4404" w:rsidRPr="00364F8A">
        <w:rPr>
          <w:rFonts w:ascii="Candara" w:eastAsia="Candara" w:hAnsi="Candara" w:cs="Candara"/>
          <w:sz w:val="24"/>
          <w:szCs w:val="24"/>
        </w:rPr>
        <w:t>. Revestido de um crescimento de sua heterogeneidade, diversidade e complexidade (</w:t>
      </w:r>
      <w:r w:rsidR="00872CEC" w:rsidRPr="00364F8A">
        <w:rPr>
          <w:rFonts w:ascii="Candara" w:eastAsia="Candara" w:hAnsi="Candara" w:cs="Candara"/>
          <w:sz w:val="24"/>
          <w:szCs w:val="24"/>
        </w:rPr>
        <w:t>Araújo, 1995, 2000</w:t>
      </w:r>
      <w:r w:rsidR="009F4404" w:rsidRPr="00364F8A">
        <w:rPr>
          <w:rFonts w:ascii="Candara" w:eastAsia="Candara" w:hAnsi="Candara" w:cs="Candara"/>
          <w:sz w:val="24"/>
          <w:szCs w:val="24"/>
        </w:rPr>
        <w:t>), a macrorregião Nordeste é marcada por uma maior diferenciação do espaço intrarregional (</w:t>
      </w:r>
      <w:r w:rsidR="00872CEC" w:rsidRPr="00364F8A">
        <w:rPr>
          <w:rFonts w:ascii="Candara" w:eastAsia="Candara" w:hAnsi="Candara" w:cs="Candara"/>
          <w:sz w:val="24"/>
          <w:szCs w:val="24"/>
        </w:rPr>
        <w:t>Macedo; Porto</w:t>
      </w:r>
      <w:r w:rsidR="009F4404" w:rsidRPr="00364F8A">
        <w:rPr>
          <w:rFonts w:ascii="Candara" w:eastAsia="Candara" w:hAnsi="Candara" w:cs="Candara"/>
          <w:sz w:val="24"/>
          <w:szCs w:val="24"/>
        </w:rPr>
        <w:t>, 2018), com a presença de focos modernos e estruturas tradicionais que acabam por criar divers</w:t>
      </w:r>
      <w:r w:rsidR="00F670F1" w:rsidRPr="00364F8A">
        <w:rPr>
          <w:rFonts w:ascii="Candara" w:eastAsia="Candara" w:hAnsi="Candara" w:cs="Candara"/>
          <w:sz w:val="24"/>
          <w:szCs w:val="24"/>
        </w:rPr>
        <w:t>a</w:t>
      </w:r>
      <w:r w:rsidR="009F4404" w:rsidRPr="00364F8A">
        <w:rPr>
          <w:rFonts w:ascii="Candara" w:eastAsia="Candara" w:hAnsi="Candara" w:cs="Candara"/>
          <w:sz w:val="24"/>
          <w:szCs w:val="24"/>
        </w:rPr>
        <w:t>s trajetórias na dinâmica econômica.</w:t>
      </w:r>
    </w:p>
    <w:p w14:paraId="518F438E" w14:textId="0BEAC13C" w:rsidR="009F4404" w:rsidRPr="00364F8A" w:rsidRDefault="009F4404"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Destaque para as cidades ‘médias’ – e pequenas, centralidades econômicas </w:t>
      </w:r>
      <w:r w:rsidRPr="00364F8A">
        <w:rPr>
          <w:rFonts w:ascii="Candara" w:eastAsia="Candara" w:hAnsi="Candara" w:cs="Candara"/>
          <w:sz w:val="24"/>
          <w:szCs w:val="24"/>
        </w:rPr>
        <w:lastRenderedPageBreak/>
        <w:t xml:space="preserve">no Semiárido que despontaram como ‘ilhas de dinamismo’ na região. Todavia, ao observar a rede urbana do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há poucas relações horizontais, denotando uma incipiente articulação intrarregional balizadas em redes de cooperação e complementação produtiva (</w:t>
      </w:r>
      <w:r w:rsidR="00872CEC" w:rsidRPr="00364F8A">
        <w:rPr>
          <w:rFonts w:ascii="Candara" w:eastAsia="Candara" w:hAnsi="Candara" w:cs="Candara"/>
          <w:sz w:val="24"/>
          <w:szCs w:val="24"/>
        </w:rPr>
        <w:t>Alves</w:t>
      </w:r>
      <w:r w:rsidRPr="00364F8A">
        <w:rPr>
          <w:rFonts w:ascii="Candara" w:eastAsia="Candara" w:hAnsi="Candara" w:cs="Candara"/>
          <w:sz w:val="24"/>
          <w:szCs w:val="24"/>
        </w:rPr>
        <w:t xml:space="preserve">, 2017). </w:t>
      </w:r>
    </w:p>
    <w:p w14:paraId="001F8325" w14:textId="77777777" w:rsidR="009F4404" w:rsidRPr="00364F8A" w:rsidRDefault="009F4404"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De modo geral, cidades médias e pequenas porte passaram a ser mais atrativas para determinados segmentos sociais, mas sem as devidas ferramentas e capacitação para serem território dinamizadores de desenvolvimento na região. Ou seja, diante de uma conformação regional subdesenvolvida corolário do movimento histórico e social de ocupação do Nordeste, a rede urbana que surge condiciona determinados pontos do território a despontarem na rede, mas com capacidades de gerar dinâmicas urbano-regionais bem limitadas.</w:t>
      </w:r>
    </w:p>
    <w:p w14:paraId="53F6CCC6" w14:textId="5765EA12" w:rsidR="009F4404" w:rsidRPr="00364F8A" w:rsidRDefault="009F4404"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Ainda que grande parte da dinâmica da macrorregião Nordeste esteja no litoral, cabe destacar os arranjos urbanos não metropolitanos distribuídos pelo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xml:space="preserve"> que desempenham importantes funções de intermediação, provenientes dos serviços prestados e conexões urbano-regionais – ainda pouco – estabelecidas. A dinâmica urbano-regional dessa região gerou diversas ilhas de dinamismo, polarizadas por cidades intermediadoras, em que as relações urbano-rural-regional se confundem pelo caráter difuso e extensivo do território com uma variedade de investimentos ao longo da região semiárida: fruticultura irrigada em Petrolina-PE/Juazeiro-BA, Mossoró-RN e Vale do Jaguaribe-CE; atividades industriais em Feira de Santana-BA e Sobral-CE; polo tecnológico em Campina Grande-PB; infraestrutura hidrelétrica em Paulo Afonso-BA; serviços especializados em Juazeiro do Norte-CE e Caruaru-PE, e atividades agropecuárias em Vitória da Conquista-BA e Arapiraca-AL (</w:t>
      </w:r>
      <w:r w:rsidR="00872CEC" w:rsidRPr="00364F8A">
        <w:rPr>
          <w:rFonts w:ascii="Candara" w:eastAsia="Candara" w:hAnsi="Candara" w:cs="Candara"/>
          <w:sz w:val="24"/>
          <w:szCs w:val="24"/>
        </w:rPr>
        <w:t>Porto</w:t>
      </w:r>
      <w:r w:rsidRPr="00364F8A">
        <w:rPr>
          <w:rFonts w:ascii="Candara" w:eastAsia="Candara" w:hAnsi="Candara" w:cs="Candara"/>
          <w:sz w:val="24"/>
          <w:szCs w:val="24"/>
        </w:rPr>
        <w:t xml:space="preserve">, 2023), cidades com níveis de influência significativos no </w:t>
      </w:r>
      <w:r w:rsidRPr="00364F8A">
        <w:rPr>
          <w:rFonts w:ascii="Candara" w:eastAsia="Candara" w:hAnsi="Candara" w:cs="Candara"/>
          <w:sz w:val="24"/>
          <w:szCs w:val="24"/>
        </w:rPr>
        <w:lastRenderedPageBreak/>
        <w:t>contexto da rede urbana do Semiárido (IBGE, 2020).</w:t>
      </w:r>
    </w:p>
    <w:p w14:paraId="3E1AB9D3" w14:textId="77777777" w:rsidR="009F4404" w:rsidRPr="00364F8A" w:rsidRDefault="009F4404"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Essas cidades apresentam dinamismo diferenciado na região semiárida, porém, com baixa articulação urbano-regional, diante de suas limitações no que concerne o desenvolvimento regional. Isso é também resultado das políticas regionais fomentadas sem a devida prioridade há uma definitiva integração produtiva.</w:t>
      </w:r>
    </w:p>
    <w:p w14:paraId="2257991D" w14:textId="34666D59" w:rsidR="009F4404" w:rsidRPr="00364F8A" w:rsidRDefault="009F4404"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Diante dos estímulos à competitividade, engendrou-se arranjos urbanos que pouco interagem entre si, gerando maiores rebatimentos sobre o território. Em que pese a ideia de políticas regionais implícitas e explicitas</w:t>
      </w:r>
      <w:r w:rsidRPr="00364F8A">
        <w:rPr>
          <w:rFonts w:ascii="Candara" w:eastAsia="Candara" w:hAnsi="Candara" w:cs="Candara"/>
          <w:sz w:val="24"/>
          <w:szCs w:val="24"/>
          <w:vertAlign w:val="superscript"/>
        </w:rPr>
        <w:footnoteReference w:id="17"/>
      </w:r>
      <w:r w:rsidRPr="00364F8A">
        <w:rPr>
          <w:rFonts w:ascii="Candara" w:eastAsia="Candara" w:hAnsi="Candara" w:cs="Candara"/>
          <w:sz w:val="24"/>
          <w:szCs w:val="24"/>
        </w:rPr>
        <w:t>, o que se deve ter em mente é que políticas regionais tiveram sua parcela no estímulo ao desenvolvimento, contudo não foram suficientes ou não tiveram o devido delineamento – como o caso da PNDR I e II (</w:t>
      </w:r>
      <w:r w:rsidR="00872CEC" w:rsidRPr="00364F8A">
        <w:rPr>
          <w:rFonts w:ascii="Candara" w:eastAsia="Candara" w:hAnsi="Candara" w:cs="Candara"/>
          <w:sz w:val="24"/>
          <w:szCs w:val="24"/>
        </w:rPr>
        <w:t xml:space="preserve">Alves, 2017; Porto, </w:t>
      </w:r>
      <w:r w:rsidRPr="00364F8A">
        <w:rPr>
          <w:rFonts w:ascii="Candara" w:eastAsia="Candara" w:hAnsi="Candara" w:cs="Candara"/>
          <w:sz w:val="24"/>
          <w:szCs w:val="24"/>
        </w:rPr>
        <w:t>2023).</w:t>
      </w:r>
    </w:p>
    <w:p w14:paraId="1599AFA0" w14:textId="6970D320" w:rsidR="009F4404" w:rsidRPr="00364F8A" w:rsidRDefault="009F4404"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Portanto, o que se observa é uma rede urbana, antes rarefeita, mais dinâmica</w:t>
      </w:r>
      <w:r w:rsidR="00F670F1" w:rsidRPr="00364F8A">
        <w:rPr>
          <w:rFonts w:ascii="Candara" w:eastAsia="Candara" w:hAnsi="Candara" w:cs="Candara"/>
          <w:sz w:val="24"/>
          <w:szCs w:val="24"/>
        </w:rPr>
        <w:t>.</w:t>
      </w:r>
      <w:r w:rsidRPr="00364F8A">
        <w:rPr>
          <w:rFonts w:ascii="Candara" w:eastAsia="Candara" w:hAnsi="Candara" w:cs="Candara"/>
          <w:sz w:val="24"/>
          <w:szCs w:val="24"/>
        </w:rPr>
        <w:t xml:space="preserve"> Todavia, as relações intrarregionais são poucos exploradas, tendo nas relações inter-regional e supranacional maior articulação. Outro ponto se dá pela polarização da cidade-polo sobre sua área de influência. A questão está em que nessa relação entre cidade e região, há drenagem exacerbada dos recursos por aquela, mas que é possível observar uma expansão da área de polarização (</w:t>
      </w:r>
      <w:r w:rsidR="00872CEC" w:rsidRPr="00364F8A">
        <w:rPr>
          <w:rFonts w:ascii="Candara" w:eastAsia="Candara" w:hAnsi="Candara" w:cs="Candara"/>
          <w:sz w:val="24"/>
          <w:szCs w:val="24"/>
        </w:rPr>
        <w:t>Alves, 2017; Porto, 2023</w:t>
      </w:r>
      <w:r w:rsidRPr="00364F8A">
        <w:rPr>
          <w:rFonts w:ascii="Candara" w:eastAsia="Candara" w:hAnsi="Candara" w:cs="Candara"/>
          <w:sz w:val="24"/>
          <w:szCs w:val="24"/>
        </w:rPr>
        <w:t>).</w:t>
      </w:r>
    </w:p>
    <w:p w14:paraId="10C6026F" w14:textId="77777777" w:rsidR="009F4404" w:rsidRPr="00364F8A" w:rsidRDefault="009F4404" w:rsidP="001828C2">
      <w:pPr>
        <w:spacing w:after="120" w:line="360" w:lineRule="auto"/>
        <w:jc w:val="both"/>
        <w:rPr>
          <w:rFonts w:ascii="Candara" w:eastAsia="Candara" w:hAnsi="Candara" w:cs="Candara"/>
          <w:sz w:val="28"/>
          <w:szCs w:val="28"/>
        </w:rPr>
      </w:pPr>
    </w:p>
    <w:p w14:paraId="06F887B5" w14:textId="41353A4E" w:rsidR="009F4404" w:rsidRPr="00364F8A" w:rsidRDefault="007B7D73" w:rsidP="009F4404">
      <w:pPr>
        <w:spacing w:after="120" w:line="360" w:lineRule="auto"/>
        <w:ind w:firstLine="851"/>
        <w:jc w:val="both"/>
        <w:rPr>
          <w:rFonts w:ascii="Candara" w:eastAsia="Candara" w:hAnsi="Candara" w:cs="Candara"/>
          <w:sz w:val="28"/>
          <w:szCs w:val="28"/>
        </w:rPr>
      </w:pPr>
      <w:r w:rsidRPr="00364F8A">
        <w:rPr>
          <w:rFonts w:ascii="Candara" w:eastAsia="Candara" w:hAnsi="Candara" w:cs="Candara"/>
          <w:sz w:val="28"/>
          <w:szCs w:val="28"/>
        </w:rPr>
        <w:lastRenderedPageBreak/>
        <w:t>4</w:t>
      </w:r>
      <w:r w:rsidR="009F4404" w:rsidRPr="00364F8A">
        <w:rPr>
          <w:rFonts w:ascii="Candara" w:eastAsia="Candara" w:hAnsi="Candara" w:cs="Candara"/>
          <w:sz w:val="28"/>
          <w:szCs w:val="28"/>
        </w:rPr>
        <w:t xml:space="preserve"> Considerações Finais</w:t>
      </w:r>
    </w:p>
    <w:p w14:paraId="2A3E0600" w14:textId="77777777" w:rsidR="009F4404" w:rsidRPr="00364F8A" w:rsidRDefault="009F4404"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A rede urbana consiste em um elemento importante para compreender a dinâmica urbano-regional de determinado território, refletindo as interações econômicas, sociais e políticas entre os centros urbanos e suas áreas de influência. Olhando para a economia brasileira, as transformações pós-1980 e a forma como o capital financeiro se inseriu engendraram mudanças substanciais na organização do território e de sua inserção na lógica do mercado internacional.</w:t>
      </w:r>
    </w:p>
    <w:p w14:paraId="287903B9" w14:textId="4FD12A3F" w:rsidR="009F4404" w:rsidRPr="00364F8A" w:rsidRDefault="009F4404"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Arranjos não metropolitanos passaram a ser atrativos pela nova lógica de reprodução do capital e pelos estímulos as teorias de desenvolvimento local, dando as cidades um protagonismo significativo. Dentro desse contexto estão as cidades médias e pequenas, sobretudo as </w:t>
      </w:r>
      <w:r w:rsidR="00A94C9F" w:rsidRPr="00364F8A">
        <w:rPr>
          <w:rFonts w:ascii="Candara" w:eastAsia="Candara" w:hAnsi="Candara" w:cs="Candara"/>
          <w:sz w:val="24"/>
          <w:szCs w:val="24"/>
        </w:rPr>
        <w:t>primeiras, a</w:t>
      </w:r>
      <w:r w:rsidRPr="00364F8A">
        <w:rPr>
          <w:rFonts w:ascii="Candara" w:eastAsia="Candara" w:hAnsi="Candara" w:cs="Candara"/>
          <w:sz w:val="24"/>
          <w:szCs w:val="24"/>
        </w:rPr>
        <w:t xml:space="preserve"> partir de funções de intermediação com certos pontos da região gerando dinâmicas urbano-regionais, ainda que limitadas, através das atividades intensivas em recursos naturais, pelo PRCEEP, sob a hegemonia do capital financeiro.</w:t>
      </w:r>
    </w:p>
    <w:p w14:paraId="459092E5" w14:textId="66FC98C4" w:rsidR="009F4404" w:rsidRPr="00364F8A" w:rsidRDefault="00282622" w:rsidP="001828C2">
      <w:pPr>
        <w:widowControl w:val="0"/>
        <w:shd w:val="clear" w:color="auto" w:fill="FFFFFF"/>
        <w:spacing w:after="120" w:line="360" w:lineRule="auto"/>
        <w:ind w:firstLine="851"/>
        <w:jc w:val="both"/>
        <w:rPr>
          <w:rFonts w:ascii="Candara" w:eastAsia="Candara" w:hAnsi="Candara" w:cs="Candara"/>
          <w:sz w:val="24"/>
          <w:szCs w:val="24"/>
        </w:rPr>
      </w:pPr>
      <w:bookmarkStart w:id="8" w:name="_Hlk162460811"/>
      <w:r w:rsidRPr="00364F8A">
        <w:rPr>
          <w:rFonts w:ascii="Candara" w:eastAsia="Candara" w:hAnsi="Candara" w:cs="Candara"/>
          <w:sz w:val="24"/>
          <w:szCs w:val="24"/>
        </w:rPr>
        <w:t>M</w:t>
      </w:r>
      <w:r w:rsidR="009F4404" w:rsidRPr="00364F8A">
        <w:rPr>
          <w:rFonts w:ascii="Candara" w:eastAsia="Candara" w:hAnsi="Candara" w:cs="Candara"/>
          <w:sz w:val="24"/>
          <w:szCs w:val="24"/>
        </w:rPr>
        <w:t xml:space="preserve">ais dinâmica e complexa, a rede urbana do </w:t>
      </w:r>
      <w:r w:rsidR="005A56BB" w:rsidRPr="00364F8A">
        <w:rPr>
          <w:rFonts w:ascii="Candara" w:eastAsia="Candara" w:hAnsi="Candara" w:cs="Candara"/>
          <w:sz w:val="24"/>
          <w:szCs w:val="24"/>
        </w:rPr>
        <w:t>Semiárido Nordestino</w:t>
      </w:r>
      <w:r w:rsidR="009F4404" w:rsidRPr="00364F8A">
        <w:rPr>
          <w:rFonts w:ascii="Candara" w:eastAsia="Candara" w:hAnsi="Candara" w:cs="Candara"/>
          <w:sz w:val="24"/>
          <w:szCs w:val="24"/>
        </w:rPr>
        <w:t xml:space="preserve"> no século XXI revelou um panorama de cidades médias e pequenas assumindo papeis de destaque na dinâmica regional. Apesar disso, a incipiente articulação intrarregional e a dependência de políticas públicas centralizadas destacam a necessidade de fortalecer a cooperação e a complementação produtiva entre os municípios, o que limita o potencial de desenvolvimento regional.</w:t>
      </w:r>
    </w:p>
    <w:bookmarkEnd w:id="8"/>
    <w:p w14:paraId="566027FE" w14:textId="77777777" w:rsidR="009F4404" w:rsidRPr="00364F8A" w:rsidRDefault="009F4404"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Nesse sentido, </w:t>
      </w:r>
      <w:bookmarkStart w:id="9" w:name="_Hlk162460924"/>
      <w:r w:rsidRPr="00364F8A">
        <w:rPr>
          <w:rFonts w:ascii="Candara" w:eastAsia="Candara" w:hAnsi="Candara" w:cs="Candara"/>
          <w:sz w:val="24"/>
          <w:szCs w:val="24"/>
        </w:rPr>
        <w:t xml:space="preserve">a PNDR se mostra fundamental, desde que seja alicerçada em uma abordagem multiescalar, capaz de articular ações locais, regionais e nacionais e promova a cooperação e complementação produtiva entre os diversos territórios. </w:t>
      </w:r>
      <w:r w:rsidRPr="00364F8A">
        <w:rPr>
          <w:rFonts w:ascii="Candara" w:eastAsia="Candara" w:hAnsi="Candara" w:cs="Candara"/>
          <w:sz w:val="24"/>
          <w:szCs w:val="24"/>
        </w:rPr>
        <w:lastRenderedPageBreak/>
        <w:t>Além disso, é essencial repensar o papel dos FCF, especialmente o FNE, para garantir que os recursos sejam direcionados de forma eficaz e estratégica para o desenvolvimento regional sustentável.</w:t>
      </w:r>
    </w:p>
    <w:bookmarkEnd w:id="9"/>
    <w:p w14:paraId="41EB1C15" w14:textId="2B957185" w:rsidR="009F4404" w:rsidRPr="00364F8A" w:rsidRDefault="009F4404"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Em suma, a análise da dinâmica urbano-regional do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xml:space="preserve"> no século XXI aponta para um cenário de transformação e potencialidades, mas também de desafios e desigualdades a serem superados. Com políticas adequadas e uma visão integrada e participativa, é possível promover um desenvolvimento mais equitativo e sustentável, garantindo o bem-estar e a qualidade de vida para toda a população da região.</w:t>
      </w:r>
    </w:p>
    <w:p w14:paraId="632291AA" w14:textId="31B8963E" w:rsidR="00843810" w:rsidRPr="00364F8A" w:rsidRDefault="009F4404" w:rsidP="001828C2">
      <w:pPr>
        <w:widowControl w:val="0"/>
        <w:shd w:val="clear" w:color="auto" w:fill="FFFFFF"/>
        <w:spacing w:after="120" w:line="360" w:lineRule="auto"/>
        <w:ind w:firstLine="851"/>
        <w:jc w:val="both"/>
        <w:rPr>
          <w:rFonts w:ascii="Candara" w:eastAsia="Candara" w:hAnsi="Candara" w:cs="Candara"/>
          <w:sz w:val="24"/>
          <w:szCs w:val="24"/>
        </w:rPr>
      </w:pPr>
      <w:r w:rsidRPr="00364F8A">
        <w:rPr>
          <w:rFonts w:ascii="Candara" w:eastAsia="Candara" w:hAnsi="Candara" w:cs="Candara"/>
          <w:sz w:val="24"/>
          <w:szCs w:val="24"/>
        </w:rPr>
        <w:t xml:space="preserve">Pensando em avançar na compreensão da dinâmica urbano-regional do </w:t>
      </w:r>
      <w:r w:rsidR="005A56BB" w:rsidRPr="00364F8A">
        <w:rPr>
          <w:rFonts w:ascii="Candara" w:eastAsia="Candara" w:hAnsi="Candara" w:cs="Candara"/>
          <w:sz w:val="24"/>
          <w:szCs w:val="24"/>
        </w:rPr>
        <w:t>Semiárido Nordestino</w:t>
      </w:r>
      <w:r w:rsidRPr="00364F8A">
        <w:rPr>
          <w:rFonts w:ascii="Candara" w:eastAsia="Candara" w:hAnsi="Candara" w:cs="Candara"/>
          <w:sz w:val="24"/>
          <w:szCs w:val="24"/>
        </w:rPr>
        <w:t>, é importante e necessário ampliar a análise para além de indicadores mais tradicionais, como o PIB</w:t>
      </w:r>
      <w:r w:rsidR="00B54AC2" w:rsidRPr="00364F8A">
        <w:rPr>
          <w:rFonts w:ascii="Candara" w:eastAsia="Candara" w:hAnsi="Candara" w:cs="Candara"/>
          <w:sz w:val="24"/>
          <w:szCs w:val="24"/>
        </w:rPr>
        <w:t xml:space="preserve">, </w:t>
      </w:r>
      <w:r w:rsidRPr="00364F8A">
        <w:rPr>
          <w:rFonts w:ascii="Candara" w:eastAsia="Candara" w:hAnsi="Candara" w:cs="Candara"/>
          <w:sz w:val="24"/>
          <w:szCs w:val="24"/>
        </w:rPr>
        <w:t>a população,</w:t>
      </w:r>
      <w:r w:rsidR="00B54AC2" w:rsidRPr="00364F8A">
        <w:rPr>
          <w:rFonts w:ascii="Candara" w:eastAsia="Candara" w:hAnsi="Candara" w:cs="Candara"/>
          <w:sz w:val="24"/>
          <w:szCs w:val="24"/>
        </w:rPr>
        <w:t xml:space="preserve"> o mercado de trabalho formal,</w:t>
      </w:r>
      <w:r w:rsidR="00282622" w:rsidRPr="00364F8A">
        <w:rPr>
          <w:rFonts w:ascii="Candara" w:eastAsia="Candara" w:hAnsi="Candara" w:cs="Candara"/>
          <w:sz w:val="24"/>
          <w:szCs w:val="24"/>
        </w:rPr>
        <w:t xml:space="preserve"> entre outros,</w:t>
      </w:r>
      <w:r w:rsidR="00B54AC2" w:rsidRPr="00364F8A">
        <w:rPr>
          <w:rFonts w:ascii="Candara" w:eastAsia="Candara" w:hAnsi="Candara" w:cs="Candara"/>
          <w:sz w:val="24"/>
          <w:szCs w:val="24"/>
        </w:rPr>
        <w:t xml:space="preserve"> </w:t>
      </w:r>
      <w:r w:rsidRPr="00364F8A">
        <w:rPr>
          <w:rFonts w:ascii="Candara" w:eastAsia="Candara" w:hAnsi="Candara" w:cs="Candara"/>
          <w:sz w:val="24"/>
          <w:szCs w:val="24"/>
        </w:rPr>
        <w:t>para melhor captar a dinâmica urbano-regional da região semiárida.</w:t>
      </w:r>
    </w:p>
    <w:p w14:paraId="3121C31C" w14:textId="77777777" w:rsidR="001828C2" w:rsidRPr="00917807" w:rsidRDefault="001828C2" w:rsidP="001828C2">
      <w:pPr>
        <w:spacing w:after="120" w:line="360" w:lineRule="auto"/>
        <w:jc w:val="both"/>
        <w:rPr>
          <w:rFonts w:ascii="Candara" w:eastAsia="Candara" w:hAnsi="Candara" w:cs="Candara"/>
          <w:sz w:val="24"/>
          <w:szCs w:val="24"/>
        </w:rPr>
      </w:pPr>
    </w:p>
    <w:p w14:paraId="7603B0FA" w14:textId="184884F7" w:rsidR="001828C2" w:rsidRPr="00364F8A" w:rsidRDefault="001828C2" w:rsidP="001828C2">
      <w:pPr>
        <w:spacing w:after="120" w:line="360" w:lineRule="auto"/>
        <w:ind w:firstLine="851"/>
        <w:jc w:val="both"/>
        <w:rPr>
          <w:rFonts w:ascii="Candara" w:eastAsia="Candara" w:hAnsi="Candara" w:cs="Candara"/>
          <w:sz w:val="28"/>
          <w:szCs w:val="28"/>
        </w:rPr>
      </w:pPr>
      <w:r w:rsidRPr="00364F8A">
        <w:rPr>
          <w:rFonts w:ascii="Candara" w:eastAsia="Candara" w:hAnsi="Candara" w:cs="Candara"/>
          <w:sz w:val="28"/>
          <w:szCs w:val="28"/>
        </w:rPr>
        <w:t>Referências</w:t>
      </w:r>
    </w:p>
    <w:p w14:paraId="1745D74B"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AB’SÁBER, A. N. </w:t>
      </w:r>
      <w:r w:rsidRPr="00364F8A">
        <w:rPr>
          <w:rFonts w:ascii="Candara" w:eastAsia="Candara" w:hAnsi="Candara" w:cs="Candara"/>
          <w:i/>
          <w:iCs/>
          <w:sz w:val="24"/>
          <w:szCs w:val="24"/>
        </w:rPr>
        <w:t>Os domínios de natureza no Brasil</w:t>
      </w:r>
      <w:r w:rsidRPr="00364F8A">
        <w:rPr>
          <w:rFonts w:ascii="Candara" w:eastAsia="Candara" w:hAnsi="Candara" w:cs="Candara"/>
          <w:sz w:val="24"/>
          <w:szCs w:val="24"/>
        </w:rPr>
        <w:t>: potencialidades paisagísticas. São Paulo: Ateliê Editorial, 2003.</w:t>
      </w:r>
    </w:p>
    <w:p w14:paraId="6D611C94"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ALMEIDA, M. A. </w:t>
      </w:r>
      <w:r w:rsidRPr="00364F8A">
        <w:rPr>
          <w:rFonts w:ascii="Candara" w:eastAsia="Candara" w:hAnsi="Candara" w:cs="Candara"/>
          <w:i/>
          <w:iCs/>
          <w:sz w:val="24"/>
          <w:szCs w:val="24"/>
        </w:rPr>
        <w:t>et al.</w:t>
      </w:r>
      <w:r w:rsidRPr="00364F8A">
        <w:rPr>
          <w:rFonts w:ascii="Candara" w:eastAsia="Candara" w:hAnsi="Candara" w:cs="Candara"/>
          <w:sz w:val="24"/>
          <w:szCs w:val="24"/>
        </w:rPr>
        <w:t xml:space="preserve"> </w:t>
      </w:r>
      <w:r w:rsidRPr="00364F8A">
        <w:rPr>
          <w:rFonts w:ascii="Candara" w:eastAsia="Candara" w:hAnsi="Candara" w:cs="Candara"/>
          <w:i/>
          <w:iCs/>
          <w:sz w:val="24"/>
          <w:szCs w:val="24"/>
        </w:rPr>
        <w:t xml:space="preserve">Substituição da captação dos dados do CAGED pelo eSocial: </w:t>
      </w:r>
      <w:r w:rsidRPr="00364F8A">
        <w:rPr>
          <w:rFonts w:ascii="Candara" w:eastAsia="Candara" w:hAnsi="Candara" w:cs="Candara"/>
          <w:sz w:val="24"/>
          <w:szCs w:val="24"/>
        </w:rPr>
        <w:t>implicações para as estatísticas do emprego formal. Nota Técnica 69, Instituto de Pesquisa Econômica Aplicada (Ipea), 2020.</w:t>
      </w:r>
    </w:p>
    <w:p w14:paraId="41925848"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ALVES, A. M. </w:t>
      </w:r>
      <w:r w:rsidRPr="00364F8A">
        <w:rPr>
          <w:rFonts w:ascii="Candara" w:eastAsia="Candara" w:hAnsi="Candara" w:cs="Candara"/>
          <w:i/>
          <w:iCs/>
          <w:sz w:val="24"/>
          <w:szCs w:val="24"/>
        </w:rPr>
        <w:t>Políticas de desenvolvimento regional e rede de cidades no Semiárido</w:t>
      </w:r>
      <w:r w:rsidRPr="00364F8A">
        <w:rPr>
          <w:rFonts w:ascii="Candara" w:eastAsia="Candara" w:hAnsi="Candara" w:cs="Candara"/>
          <w:sz w:val="24"/>
          <w:szCs w:val="24"/>
        </w:rPr>
        <w:t>: concentração, polarização e fragmentação. 288 p. Tese (Doutorado em Geografia) – Programa de Pós-Graduação em Geografia, UnB, Brasília, 2017.</w:t>
      </w:r>
    </w:p>
    <w:p w14:paraId="2651A3CA"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lastRenderedPageBreak/>
        <w:t xml:space="preserve">ARAÚJO, T. B. </w:t>
      </w:r>
      <w:r w:rsidRPr="00364F8A">
        <w:rPr>
          <w:rFonts w:ascii="Candara" w:eastAsia="Candara" w:hAnsi="Candara" w:cs="Candara"/>
          <w:i/>
          <w:iCs/>
          <w:sz w:val="24"/>
          <w:szCs w:val="24"/>
        </w:rPr>
        <w:t>Ensaios sobre o Desenvolvimento Regional Brasileiro</w:t>
      </w:r>
      <w:r w:rsidRPr="00364F8A">
        <w:rPr>
          <w:rFonts w:ascii="Candara" w:eastAsia="Candara" w:hAnsi="Candara" w:cs="Candara"/>
          <w:sz w:val="24"/>
          <w:szCs w:val="24"/>
        </w:rPr>
        <w:t>: heranças e urgências. Rio de Janeiro (RJ): Revan, 2000.</w:t>
      </w:r>
    </w:p>
    <w:p w14:paraId="250549DC" w14:textId="14E353A2" w:rsidR="00B71AF9" w:rsidRPr="00364F8A" w:rsidRDefault="00917807" w:rsidP="00364F8A">
      <w:pPr>
        <w:pBdr>
          <w:top w:val="nil"/>
          <w:left w:val="nil"/>
          <w:bottom w:val="nil"/>
          <w:right w:val="nil"/>
          <w:between w:val="nil"/>
        </w:pBdr>
        <w:spacing w:after="120" w:line="240" w:lineRule="auto"/>
        <w:jc w:val="both"/>
        <w:rPr>
          <w:rFonts w:ascii="Candara" w:eastAsia="Candara" w:hAnsi="Candara" w:cs="Candara"/>
          <w:sz w:val="24"/>
          <w:szCs w:val="24"/>
        </w:rPr>
      </w:pPr>
      <w:r>
        <w:rPr>
          <w:rFonts w:ascii="Candara" w:eastAsia="Candara" w:hAnsi="Candara" w:cs="Candara"/>
          <w:sz w:val="24"/>
          <w:szCs w:val="24"/>
        </w:rPr>
        <w:t>______</w:t>
      </w:r>
      <w:r w:rsidR="00B71AF9" w:rsidRPr="00364F8A">
        <w:rPr>
          <w:rFonts w:ascii="Candara" w:eastAsia="Candara" w:hAnsi="Candara" w:cs="Candara"/>
          <w:sz w:val="24"/>
          <w:szCs w:val="24"/>
        </w:rPr>
        <w:t xml:space="preserve">. Nordeste, Nordeste: que Nordeste? In: AFFONSO, R. B. A.; SILVA, P. B. (ORG). </w:t>
      </w:r>
      <w:r w:rsidR="00B71AF9" w:rsidRPr="00364F8A">
        <w:rPr>
          <w:rFonts w:ascii="Candara" w:eastAsia="Candara" w:hAnsi="Candara" w:cs="Candara"/>
          <w:i/>
          <w:iCs/>
          <w:sz w:val="24"/>
          <w:szCs w:val="24"/>
        </w:rPr>
        <w:t>A Federação em Perspectiva</w:t>
      </w:r>
      <w:r w:rsidR="00B71AF9" w:rsidRPr="00364F8A">
        <w:rPr>
          <w:rFonts w:ascii="Candara" w:eastAsia="Candara" w:hAnsi="Candara" w:cs="Candara"/>
          <w:sz w:val="24"/>
          <w:szCs w:val="24"/>
        </w:rPr>
        <w:t xml:space="preserve">. São Paulo (SP): FUNDAP, 1995. </w:t>
      </w:r>
    </w:p>
    <w:p w14:paraId="56EF4FB7"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ASA – Articulação Semiárido Brasileiro. </w:t>
      </w:r>
      <w:r w:rsidRPr="00364F8A">
        <w:rPr>
          <w:rFonts w:ascii="Candara" w:eastAsia="Candara" w:hAnsi="Candara" w:cs="Candara"/>
          <w:i/>
          <w:iCs/>
          <w:sz w:val="24"/>
          <w:szCs w:val="24"/>
        </w:rPr>
        <w:t>História</w:t>
      </w:r>
      <w:r w:rsidRPr="00364F8A">
        <w:rPr>
          <w:rFonts w:ascii="Candara" w:eastAsia="Candara" w:hAnsi="Candara" w:cs="Candara"/>
          <w:sz w:val="24"/>
          <w:szCs w:val="24"/>
        </w:rPr>
        <w:t>. Disponível em: https://www.asabrasil.org.br/sobre-nos/historia. Acesso em 20 fev. 2024.</w:t>
      </w:r>
    </w:p>
    <w:p w14:paraId="35D214AB"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ASSOCIAÇÃO CAATINGA. </w:t>
      </w:r>
      <w:r w:rsidRPr="00364F8A">
        <w:rPr>
          <w:rFonts w:ascii="Candara" w:eastAsia="Candara" w:hAnsi="Candara" w:cs="Candara"/>
          <w:i/>
          <w:iCs/>
          <w:sz w:val="24"/>
          <w:szCs w:val="24"/>
        </w:rPr>
        <w:t>Conheça e conserve a Caatinga</w:t>
      </w:r>
      <w:r w:rsidRPr="00364F8A">
        <w:rPr>
          <w:rFonts w:ascii="Candara" w:eastAsia="Candara" w:hAnsi="Candara" w:cs="Candara"/>
          <w:sz w:val="24"/>
          <w:szCs w:val="24"/>
        </w:rPr>
        <w:t>: a floresta que é a cara do Brasil. Associação Caatinga. 2018. Disponível em: https://www.acaatinga.org.br/wp-content/uploads/livro-conheca-e-conserve-a-caatinga_-no-clima-da-caatinga.pdf. Acesso em 26 fev. 2024.</w:t>
      </w:r>
    </w:p>
    <w:p w14:paraId="576FC141"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BNB – BANCO DO NORDESTE DO BRASIL. Relatórios do FNE. Disponível em: https://bnb.gov.br/etene/relatorios-fne. Acesso em: 30 jan. 2024. </w:t>
      </w:r>
    </w:p>
    <w:p w14:paraId="7555D259" w14:textId="478B03D8" w:rsidR="00B71AF9" w:rsidRPr="00364F8A" w:rsidRDefault="00917807" w:rsidP="00364F8A">
      <w:pPr>
        <w:pBdr>
          <w:top w:val="nil"/>
          <w:left w:val="nil"/>
          <w:bottom w:val="nil"/>
          <w:right w:val="nil"/>
          <w:between w:val="nil"/>
        </w:pBdr>
        <w:spacing w:after="120" w:line="240" w:lineRule="auto"/>
        <w:jc w:val="both"/>
        <w:rPr>
          <w:rFonts w:ascii="Candara" w:eastAsia="Candara" w:hAnsi="Candara" w:cs="Candara"/>
          <w:sz w:val="24"/>
          <w:szCs w:val="24"/>
        </w:rPr>
      </w:pPr>
      <w:r>
        <w:rPr>
          <w:rFonts w:ascii="Candara" w:eastAsia="Candara" w:hAnsi="Candara" w:cs="Candara"/>
          <w:sz w:val="24"/>
          <w:szCs w:val="24"/>
        </w:rPr>
        <w:t>______</w:t>
      </w:r>
      <w:r w:rsidR="00B71AF9" w:rsidRPr="00364F8A">
        <w:rPr>
          <w:rFonts w:ascii="Candara" w:eastAsia="Candara" w:hAnsi="Candara" w:cs="Candara"/>
          <w:sz w:val="24"/>
          <w:szCs w:val="24"/>
        </w:rPr>
        <w:t xml:space="preserve">. </w:t>
      </w:r>
      <w:r w:rsidR="00B71AF9" w:rsidRPr="00364F8A">
        <w:rPr>
          <w:rFonts w:ascii="Candara" w:eastAsia="Candara" w:hAnsi="Candara" w:cs="Candara"/>
          <w:bCs/>
          <w:i/>
          <w:iCs/>
          <w:sz w:val="24"/>
          <w:szCs w:val="24"/>
        </w:rPr>
        <w:t>Nordeste 2022</w:t>
      </w:r>
      <w:r w:rsidR="00B71AF9" w:rsidRPr="00364F8A">
        <w:rPr>
          <w:rFonts w:ascii="Candara" w:eastAsia="Candara" w:hAnsi="Candara" w:cs="Candara"/>
          <w:sz w:val="24"/>
          <w:szCs w:val="24"/>
        </w:rPr>
        <w:t>: estudos prospectivos. Fortaleza: BNB, 2014.</w:t>
      </w:r>
    </w:p>
    <w:p w14:paraId="78738435"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BRASIL. </w:t>
      </w:r>
      <w:r w:rsidRPr="00364F8A">
        <w:rPr>
          <w:rFonts w:ascii="Candara" w:eastAsia="Candara" w:hAnsi="Candara" w:cs="Candara"/>
          <w:i/>
          <w:iCs/>
          <w:sz w:val="24"/>
          <w:szCs w:val="24"/>
        </w:rPr>
        <w:t>Lei nº 7.827, de 27 setembro de 1989</w:t>
      </w:r>
      <w:r w:rsidRPr="00364F8A">
        <w:rPr>
          <w:rFonts w:ascii="Candara" w:eastAsia="Candara" w:hAnsi="Candara" w:cs="Candara"/>
          <w:sz w:val="24"/>
          <w:szCs w:val="24"/>
        </w:rPr>
        <w:t xml:space="preserve">. Regulamenta o art. 159, inciso I, alínea c, da Constituição Federal, institui o Fundo Constitucional de Financiamento do Norte - FNO, o Fundo Constitucional de Financiamento do Nordeste - FNE e o Fundo Constitucional de Financiamento do Centro-Oeste - FCO, e dá outras providências. Disponível em: </w:t>
      </w:r>
      <w:hyperlink r:id="rId11" w:anchor=":~:text=LEI%20N%C2%BA%207.827%2C%20DE%2027%20DE%20SETEMBRO%20DE%201989&amp;text=159%2C%20inciso%20I%2C%20al%C3%ADnea%20c,FCO%2C%20e%20d%C3%A1%20outras%20provid%C3%AAncias" w:history="1">
        <w:r w:rsidRPr="00364F8A">
          <w:rPr>
            <w:rFonts w:ascii="Candara" w:hAnsi="Candara"/>
            <w:sz w:val="24"/>
            <w:szCs w:val="24"/>
          </w:rPr>
          <w:t>https://www.planalto.gov.br/ccivil_03/leis/l7827.htm#:~:text=LEI%20N%C2%BA%207.827%2C%20DE%2027%20DE%20SETEMBRO%20DE%201989&amp;text=159%2C%20inciso%20I%2C%20al%C3%ADnea%20c,FCO%2C%20e%20d%C3%A1%20outras%20provid%C3%AAncias</w:t>
        </w:r>
      </w:hyperlink>
      <w:r w:rsidRPr="00364F8A">
        <w:rPr>
          <w:rFonts w:ascii="Candara" w:eastAsia="Candara" w:hAnsi="Candara" w:cs="Candara"/>
          <w:sz w:val="24"/>
          <w:szCs w:val="24"/>
        </w:rPr>
        <w:t>. Acesso em 25 fev. 2024.</w:t>
      </w:r>
    </w:p>
    <w:p w14:paraId="02A3EA68"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CANO, W. Novas determinações sobre as questões regional e urbana após 1980. </w:t>
      </w:r>
      <w:r w:rsidRPr="00364F8A">
        <w:rPr>
          <w:rFonts w:ascii="Candara" w:eastAsia="Candara" w:hAnsi="Candara" w:cs="Candara"/>
          <w:bCs/>
          <w:i/>
          <w:iCs/>
          <w:sz w:val="24"/>
          <w:szCs w:val="24"/>
        </w:rPr>
        <w:t>Revista Brasileira de Estudos Urbanos e Regionais</w:t>
      </w:r>
      <w:r w:rsidRPr="00364F8A">
        <w:rPr>
          <w:rFonts w:ascii="Candara" w:eastAsia="Candara" w:hAnsi="Candara" w:cs="Candara"/>
          <w:sz w:val="24"/>
          <w:szCs w:val="24"/>
        </w:rPr>
        <w:t>, </w:t>
      </w:r>
      <w:r w:rsidRPr="00364F8A">
        <w:rPr>
          <w:rFonts w:ascii="Candara" w:eastAsia="Candara" w:hAnsi="Candara" w:cs="Candara"/>
          <w:iCs/>
          <w:sz w:val="24"/>
          <w:szCs w:val="24"/>
        </w:rPr>
        <w:t>13</w:t>
      </w:r>
      <w:r w:rsidRPr="00364F8A">
        <w:rPr>
          <w:rFonts w:ascii="Candara" w:eastAsia="Candara" w:hAnsi="Candara" w:cs="Candara"/>
          <w:sz w:val="24"/>
          <w:szCs w:val="24"/>
        </w:rPr>
        <w:t>(2), p. 27-53, 2011.</w:t>
      </w:r>
    </w:p>
    <w:p w14:paraId="656442B7"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CARVALHO, C. P. de O. O Desenvolvimento da Região Nordeste nos Anos Pós-Sudene (2000-2016). </w:t>
      </w:r>
      <w:r w:rsidRPr="00364F8A">
        <w:rPr>
          <w:rFonts w:ascii="Candara" w:eastAsia="Candara" w:hAnsi="Candara" w:cs="Candara"/>
          <w:bCs/>
          <w:i/>
          <w:iCs/>
          <w:sz w:val="24"/>
          <w:szCs w:val="24"/>
        </w:rPr>
        <w:t>Revista Paranaense de Desenvolvimento</w:t>
      </w:r>
      <w:r w:rsidRPr="00364F8A">
        <w:rPr>
          <w:rFonts w:ascii="Candara" w:eastAsia="Candara" w:hAnsi="Candara" w:cs="Candara"/>
          <w:sz w:val="24"/>
          <w:szCs w:val="24"/>
        </w:rPr>
        <w:t>, v. 39, nº 134, p.21-36, 2018.</w:t>
      </w:r>
    </w:p>
    <w:p w14:paraId="52604365" w14:textId="36F4C19E" w:rsidR="00B71AF9" w:rsidRPr="00364F8A" w:rsidRDefault="00917807" w:rsidP="00364F8A">
      <w:pPr>
        <w:pBdr>
          <w:top w:val="nil"/>
          <w:left w:val="nil"/>
          <w:bottom w:val="nil"/>
          <w:right w:val="nil"/>
          <w:between w:val="nil"/>
        </w:pBdr>
        <w:spacing w:after="120" w:line="240" w:lineRule="auto"/>
        <w:jc w:val="both"/>
        <w:rPr>
          <w:rFonts w:ascii="Candara" w:eastAsia="Candara" w:hAnsi="Candara" w:cs="Candara"/>
          <w:sz w:val="24"/>
          <w:szCs w:val="24"/>
        </w:rPr>
      </w:pPr>
      <w:r>
        <w:rPr>
          <w:rFonts w:ascii="Candara" w:eastAsia="Candara" w:hAnsi="Candara" w:cs="Candara"/>
          <w:sz w:val="24"/>
          <w:szCs w:val="24"/>
        </w:rPr>
        <w:t>______</w:t>
      </w:r>
      <w:r w:rsidR="00B71AF9" w:rsidRPr="00364F8A">
        <w:rPr>
          <w:rFonts w:ascii="Candara" w:eastAsia="Candara" w:hAnsi="Candara" w:cs="Candara"/>
          <w:sz w:val="24"/>
          <w:szCs w:val="24"/>
        </w:rPr>
        <w:t xml:space="preserve">. O novo padrão de crescimento no Nordeste Semiárido. </w:t>
      </w:r>
      <w:r w:rsidR="00B71AF9" w:rsidRPr="00364F8A">
        <w:rPr>
          <w:rFonts w:ascii="Candara" w:eastAsia="Candara" w:hAnsi="Candara" w:cs="Candara"/>
          <w:bCs/>
          <w:i/>
          <w:iCs/>
          <w:sz w:val="24"/>
          <w:szCs w:val="24"/>
        </w:rPr>
        <w:t>Revista Econômica do Nordeste</w:t>
      </w:r>
      <w:r w:rsidR="00B71AF9" w:rsidRPr="00364F8A">
        <w:rPr>
          <w:rFonts w:ascii="Candara" w:eastAsia="Candara" w:hAnsi="Candara" w:cs="Candara"/>
          <w:sz w:val="24"/>
          <w:szCs w:val="24"/>
        </w:rPr>
        <w:t>, v. 45, nº 3, p. 160-184, 2014.</w:t>
      </w:r>
    </w:p>
    <w:p w14:paraId="52064D29"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CARVALHO, O. de. </w:t>
      </w:r>
      <w:r w:rsidRPr="00364F8A">
        <w:rPr>
          <w:rFonts w:ascii="Candara" w:eastAsia="Candara" w:hAnsi="Candara" w:cs="Candara"/>
          <w:i/>
          <w:iCs/>
          <w:sz w:val="24"/>
          <w:szCs w:val="24"/>
        </w:rPr>
        <w:t>O bioma caatinga e outros territórios frágeis do Nordeste</w:t>
      </w:r>
      <w:r w:rsidRPr="00364F8A">
        <w:rPr>
          <w:rFonts w:ascii="Candara" w:eastAsia="Candara" w:hAnsi="Candara" w:cs="Candara"/>
          <w:sz w:val="24"/>
          <w:szCs w:val="24"/>
        </w:rPr>
        <w:t>: progressos e desafios. Ponta Grossa-PR: Atena, 2023.</w:t>
      </w:r>
    </w:p>
    <w:p w14:paraId="56CB0512"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bCs/>
          <w:sz w:val="24"/>
          <w:szCs w:val="24"/>
        </w:rPr>
      </w:pPr>
      <w:r w:rsidRPr="00364F8A">
        <w:rPr>
          <w:rFonts w:ascii="Candara" w:eastAsia="Candara" w:hAnsi="Candara" w:cs="Candara"/>
          <w:bCs/>
          <w:sz w:val="24"/>
          <w:szCs w:val="24"/>
        </w:rPr>
        <w:lastRenderedPageBreak/>
        <w:t xml:space="preserve">CAVALCANTI JUNIOR, C. A. A. </w:t>
      </w:r>
      <w:r w:rsidRPr="00364F8A">
        <w:rPr>
          <w:rFonts w:ascii="Candara" w:eastAsia="Candara" w:hAnsi="Candara" w:cs="Candara"/>
          <w:i/>
          <w:iCs/>
          <w:sz w:val="24"/>
          <w:szCs w:val="24"/>
        </w:rPr>
        <w:t>A economia da região Nordeste do Brasil</w:t>
      </w:r>
      <w:r w:rsidRPr="00364F8A">
        <w:rPr>
          <w:rFonts w:ascii="Candara" w:eastAsia="Candara" w:hAnsi="Candara" w:cs="Candara"/>
          <w:bCs/>
          <w:sz w:val="24"/>
          <w:szCs w:val="24"/>
        </w:rPr>
        <w:t>: transformações recentes e o setor de serviços. 167 p. Tese (Doutorado em Economia) - Pós-Graduação em Economia, UFPE, Recife, 2022.</w:t>
      </w:r>
    </w:p>
    <w:p w14:paraId="458E61F3"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CONTI, I. L.; SCHROEDER, E. O. </w:t>
      </w:r>
      <w:r w:rsidRPr="00364F8A">
        <w:rPr>
          <w:rFonts w:ascii="Candara" w:eastAsia="Candara" w:hAnsi="Candara" w:cs="Candara"/>
          <w:bCs/>
          <w:i/>
          <w:iCs/>
          <w:sz w:val="24"/>
          <w:szCs w:val="24"/>
        </w:rPr>
        <w:t>Convivência com o Semiárido Brasileiro</w:t>
      </w:r>
      <w:r w:rsidRPr="00364F8A">
        <w:rPr>
          <w:rFonts w:ascii="Candara" w:eastAsia="Candara" w:hAnsi="Candara" w:cs="Candara"/>
          <w:sz w:val="24"/>
          <w:szCs w:val="24"/>
        </w:rPr>
        <w:t>: autonomia e protagonismo social. Brasília: Editora IABS, 2013.</w:t>
      </w:r>
    </w:p>
    <w:p w14:paraId="02507C06"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CORRÊA, R. L. Rede urbana: reflexões, hipóteses e questionamentos sobre um tema negligenciado. </w:t>
      </w:r>
      <w:r w:rsidRPr="00364F8A">
        <w:rPr>
          <w:rFonts w:ascii="Candara" w:eastAsia="Candara" w:hAnsi="Candara" w:cs="Candara"/>
          <w:bCs/>
          <w:i/>
          <w:iCs/>
          <w:sz w:val="24"/>
          <w:szCs w:val="24"/>
        </w:rPr>
        <w:t>Cidades</w:t>
      </w:r>
      <w:r w:rsidRPr="00364F8A">
        <w:rPr>
          <w:rFonts w:ascii="Candara" w:eastAsia="Candara" w:hAnsi="Candara" w:cs="Candara"/>
          <w:sz w:val="24"/>
          <w:szCs w:val="24"/>
        </w:rPr>
        <w:t>, v. 1, nº 1, p. 65-78, 2004.</w:t>
      </w:r>
    </w:p>
    <w:p w14:paraId="64B2B65D" w14:textId="068E1137" w:rsidR="00B71AF9" w:rsidRPr="00364F8A" w:rsidRDefault="00917807" w:rsidP="00364F8A">
      <w:pPr>
        <w:pBdr>
          <w:top w:val="nil"/>
          <w:left w:val="nil"/>
          <w:bottom w:val="nil"/>
          <w:right w:val="nil"/>
          <w:between w:val="nil"/>
        </w:pBdr>
        <w:spacing w:after="120" w:line="240" w:lineRule="auto"/>
        <w:jc w:val="both"/>
        <w:rPr>
          <w:rFonts w:ascii="Candara" w:eastAsia="Candara" w:hAnsi="Candara" w:cs="Candara"/>
          <w:sz w:val="24"/>
          <w:szCs w:val="24"/>
        </w:rPr>
      </w:pPr>
      <w:r>
        <w:rPr>
          <w:rFonts w:ascii="Candara" w:eastAsia="Candara" w:hAnsi="Candara" w:cs="Candara"/>
          <w:sz w:val="24"/>
          <w:szCs w:val="24"/>
        </w:rPr>
        <w:t>______</w:t>
      </w:r>
      <w:r w:rsidR="00B71AF9" w:rsidRPr="00364F8A">
        <w:rPr>
          <w:rFonts w:ascii="Candara" w:eastAsia="Candara" w:hAnsi="Candara" w:cs="Candara"/>
          <w:sz w:val="24"/>
          <w:szCs w:val="24"/>
        </w:rPr>
        <w:t xml:space="preserve">. </w:t>
      </w:r>
      <w:r w:rsidR="00B71AF9" w:rsidRPr="00364F8A">
        <w:rPr>
          <w:rFonts w:ascii="Candara" w:eastAsia="Candara" w:hAnsi="Candara" w:cs="Candara"/>
          <w:bCs/>
          <w:i/>
          <w:iCs/>
          <w:sz w:val="24"/>
          <w:szCs w:val="24"/>
        </w:rPr>
        <w:t>A rede urbana</w:t>
      </w:r>
      <w:r w:rsidR="00B71AF9" w:rsidRPr="00364F8A">
        <w:rPr>
          <w:rFonts w:ascii="Candara" w:eastAsia="Candara" w:hAnsi="Candara" w:cs="Candara"/>
          <w:sz w:val="24"/>
          <w:szCs w:val="24"/>
        </w:rPr>
        <w:t>. São Paulo: Editora Ática, 1989.</w:t>
      </w:r>
    </w:p>
    <w:p w14:paraId="370AF2DE"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bCs/>
          <w:sz w:val="24"/>
          <w:szCs w:val="24"/>
        </w:rPr>
      </w:pPr>
      <w:r w:rsidRPr="00364F8A">
        <w:rPr>
          <w:rFonts w:ascii="Candara" w:eastAsia="Candara" w:hAnsi="Candara" w:cs="Candara"/>
          <w:bCs/>
          <w:sz w:val="24"/>
          <w:szCs w:val="24"/>
        </w:rPr>
        <w:t xml:space="preserve">FUSCO, W. </w:t>
      </w:r>
      <w:r w:rsidRPr="00364F8A">
        <w:rPr>
          <w:rFonts w:ascii="Candara" w:eastAsia="Candara" w:hAnsi="Candara" w:cs="Candara"/>
          <w:bCs/>
          <w:i/>
          <w:iCs/>
          <w:sz w:val="24"/>
          <w:szCs w:val="24"/>
        </w:rPr>
        <w:t>Dinâmica Migratória no Nordeste brasileiro</w:t>
      </w:r>
      <w:r w:rsidRPr="00364F8A">
        <w:rPr>
          <w:rFonts w:ascii="Candara" w:eastAsia="Candara" w:hAnsi="Candara" w:cs="Candara"/>
          <w:bCs/>
          <w:sz w:val="24"/>
          <w:szCs w:val="24"/>
        </w:rPr>
        <w:t>: mudanças e continuidades. BRASA XII, 2014. Disponível em: https://www.researchgate.net/publication/320710992_Dinamica_Migratoria_no_Nordeste_brasileiro_mudancas_e_continuidades. Acesso em 15 fev. 2024.</w:t>
      </w:r>
    </w:p>
    <w:p w14:paraId="3A13FA67"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GUIMARÃES NETO, Leonardo. Trajetória econômica de uma região periférica. </w:t>
      </w:r>
      <w:r w:rsidRPr="00364F8A">
        <w:rPr>
          <w:rFonts w:ascii="Candara" w:eastAsia="Candara" w:hAnsi="Candara" w:cs="Candara"/>
          <w:bCs/>
          <w:i/>
          <w:iCs/>
          <w:sz w:val="24"/>
          <w:szCs w:val="24"/>
        </w:rPr>
        <w:t>Estudos Avançados</w:t>
      </w:r>
      <w:r w:rsidRPr="00364F8A">
        <w:rPr>
          <w:rFonts w:ascii="Candara" w:eastAsia="Candara" w:hAnsi="Candara" w:cs="Candara"/>
          <w:sz w:val="24"/>
          <w:szCs w:val="24"/>
        </w:rPr>
        <w:t>, v. 11, nº 29, p. 37-54, 1997.</w:t>
      </w:r>
    </w:p>
    <w:p w14:paraId="56CBD62F" w14:textId="3F59F7AA" w:rsidR="00364F8A" w:rsidRPr="00364F8A" w:rsidRDefault="00364F8A"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IBGE</w:t>
      </w:r>
      <w:r w:rsidR="00917807">
        <w:rPr>
          <w:rFonts w:ascii="Candara" w:eastAsia="Candara" w:hAnsi="Candara" w:cs="Candara"/>
          <w:sz w:val="24"/>
          <w:szCs w:val="24"/>
        </w:rPr>
        <w:t xml:space="preserve"> – Instituto Brasileiro de Geografia e Estatística</w:t>
      </w:r>
      <w:r w:rsidRPr="00364F8A">
        <w:rPr>
          <w:rFonts w:ascii="Candara" w:eastAsia="Candara" w:hAnsi="Candara" w:cs="Candara"/>
          <w:sz w:val="24"/>
          <w:szCs w:val="24"/>
        </w:rPr>
        <w:t xml:space="preserve">. Sistema IBGE de Recuperação Automática (SIDRA). </w:t>
      </w:r>
      <w:r w:rsidRPr="00364F8A">
        <w:rPr>
          <w:rFonts w:ascii="Candara" w:eastAsia="Candara" w:hAnsi="Candara" w:cs="Candara"/>
          <w:i/>
          <w:iCs/>
          <w:sz w:val="24"/>
          <w:szCs w:val="24"/>
        </w:rPr>
        <w:t>Censo Demográfico de 2022</w:t>
      </w:r>
      <w:r w:rsidRPr="00364F8A">
        <w:rPr>
          <w:rFonts w:ascii="Candara" w:eastAsia="Candara" w:hAnsi="Candara" w:cs="Candara"/>
          <w:sz w:val="24"/>
          <w:szCs w:val="24"/>
        </w:rPr>
        <w:t>. Disponível em: https://sidra.ibge.gov.br/home/ipca15/brasil. Acesso em 16 fev. 2024.</w:t>
      </w:r>
    </w:p>
    <w:p w14:paraId="2B7A0D66" w14:textId="436B2EFE" w:rsidR="00B71AF9" w:rsidRPr="00364F8A" w:rsidRDefault="00917807" w:rsidP="00364F8A">
      <w:pPr>
        <w:pBdr>
          <w:top w:val="nil"/>
          <w:left w:val="nil"/>
          <w:bottom w:val="nil"/>
          <w:right w:val="nil"/>
          <w:between w:val="nil"/>
        </w:pBdr>
        <w:spacing w:after="120" w:line="240" w:lineRule="auto"/>
        <w:jc w:val="both"/>
        <w:rPr>
          <w:rFonts w:ascii="Candara" w:eastAsia="Candara" w:hAnsi="Candara" w:cs="Candara"/>
          <w:sz w:val="24"/>
          <w:szCs w:val="24"/>
        </w:rPr>
      </w:pPr>
      <w:r>
        <w:rPr>
          <w:rFonts w:ascii="Candara" w:eastAsia="Candara" w:hAnsi="Candara" w:cs="Candara"/>
          <w:sz w:val="24"/>
          <w:szCs w:val="24"/>
        </w:rPr>
        <w:t>______</w:t>
      </w:r>
      <w:r w:rsidR="00B71AF9" w:rsidRPr="00364F8A">
        <w:rPr>
          <w:rFonts w:ascii="Candara" w:eastAsia="Candara" w:hAnsi="Candara" w:cs="Candara"/>
          <w:sz w:val="24"/>
          <w:szCs w:val="24"/>
        </w:rPr>
        <w:t xml:space="preserve">. </w:t>
      </w:r>
      <w:r w:rsidR="00B71AF9" w:rsidRPr="00364F8A">
        <w:rPr>
          <w:rFonts w:ascii="Candara" w:eastAsia="Candara" w:hAnsi="Candara" w:cs="Candara"/>
          <w:i/>
          <w:iCs/>
          <w:sz w:val="24"/>
          <w:szCs w:val="24"/>
        </w:rPr>
        <w:t>Sistema de Contas Nacionais – PIB dos municípios</w:t>
      </w:r>
      <w:r w:rsidR="00B71AF9" w:rsidRPr="00364F8A">
        <w:rPr>
          <w:rFonts w:ascii="Candara" w:eastAsia="Candara" w:hAnsi="Candara" w:cs="Candara"/>
          <w:sz w:val="24"/>
          <w:szCs w:val="24"/>
        </w:rPr>
        <w:t>. 2021. Disponível em: https://www.ibge.gov.br/estatisticas/economicas/contas-nacionais/9088-produto-interno-bruto-dos-municipios.html?=&amp;t=series-historicas. Acesso em 16 fev. 2024.</w:t>
      </w:r>
    </w:p>
    <w:p w14:paraId="0E2F27ED" w14:textId="1B038CEA" w:rsidR="00B71AF9" w:rsidRPr="00364F8A" w:rsidRDefault="00917807" w:rsidP="00364F8A">
      <w:pPr>
        <w:pBdr>
          <w:top w:val="nil"/>
          <w:left w:val="nil"/>
          <w:bottom w:val="nil"/>
          <w:right w:val="nil"/>
          <w:between w:val="nil"/>
        </w:pBdr>
        <w:spacing w:after="120" w:line="240" w:lineRule="auto"/>
        <w:jc w:val="both"/>
        <w:rPr>
          <w:rFonts w:ascii="Candara" w:eastAsia="Candara" w:hAnsi="Candara" w:cs="Candara"/>
          <w:sz w:val="24"/>
          <w:szCs w:val="24"/>
        </w:rPr>
      </w:pPr>
      <w:r>
        <w:rPr>
          <w:rFonts w:ascii="Candara" w:eastAsia="Candara" w:hAnsi="Candara" w:cs="Candara"/>
          <w:sz w:val="24"/>
          <w:szCs w:val="24"/>
        </w:rPr>
        <w:t>______</w:t>
      </w:r>
      <w:r w:rsidR="00B71AF9" w:rsidRPr="00364F8A">
        <w:rPr>
          <w:rFonts w:ascii="Candara" w:eastAsia="Candara" w:hAnsi="Candara" w:cs="Candara"/>
          <w:sz w:val="24"/>
          <w:szCs w:val="24"/>
        </w:rPr>
        <w:t xml:space="preserve">. </w:t>
      </w:r>
      <w:r w:rsidR="00B71AF9" w:rsidRPr="00364F8A">
        <w:rPr>
          <w:rFonts w:ascii="Candara" w:eastAsia="Candara" w:hAnsi="Candara" w:cs="Candara"/>
          <w:i/>
          <w:iCs/>
          <w:sz w:val="24"/>
          <w:szCs w:val="24"/>
        </w:rPr>
        <w:t>Regiões de influência das cidades 2018.</w:t>
      </w:r>
      <w:r w:rsidR="00B71AF9" w:rsidRPr="00364F8A">
        <w:rPr>
          <w:rFonts w:ascii="Candara" w:eastAsia="Candara" w:hAnsi="Candara" w:cs="Candara"/>
          <w:sz w:val="24"/>
          <w:szCs w:val="24"/>
        </w:rPr>
        <w:t xml:space="preserve"> Coordenação de Geografia. Rio de Janeiro: IBGE, 2020.</w:t>
      </w:r>
    </w:p>
    <w:p w14:paraId="421B5E61" w14:textId="7721AB3A" w:rsidR="00B71AF9" w:rsidRPr="00364F8A" w:rsidRDefault="00917807" w:rsidP="00364F8A">
      <w:pPr>
        <w:pBdr>
          <w:top w:val="nil"/>
          <w:left w:val="nil"/>
          <w:bottom w:val="nil"/>
          <w:right w:val="nil"/>
          <w:between w:val="nil"/>
        </w:pBdr>
        <w:spacing w:after="120" w:line="240" w:lineRule="auto"/>
        <w:jc w:val="both"/>
        <w:rPr>
          <w:rFonts w:ascii="Candara" w:eastAsia="Candara" w:hAnsi="Candara" w:cs="Candara"/>
          <w:sz w:val="24"/>
          <w:szCs w:val="24"/>
        </w:rPr>
      </w:pPr>
      <w:r>
        <w:rPr>
          <w:rFonts w:ascii="Candara" w:eastAsia="Candara" w:hAnsi="Candara" w:cs="Candara"/>
          <w:sz w:val="24"/>
          <w:szCs w:val="24"/>
        </w:rPr>
        <w:t>______</w:t>
      </w:r>
      <w:r w:rsidR="00B71AF9" w:rsidRPr="00364F8A">
        <w:rPr>
          <w:rFonts w:ascii="Candara" w:eastAsia="Candara" w:hAnsi="Candara" w:cs="Candara"/>
          <w:sz w:val="24"/>
          <w:szCs w:val="24"/>
        </w:rPr>
        <w:t xml:space="preserve">. </w:t>
      </w:r>
      <w:r w:rsidR="00B71AF9" w:rsidRPr="00364F8A">
        <w:rPr>
          <w:rFonts w:ascii="Candara" w:eastAsia="Candara" w:hAnsi="Candara" w:cs="Candara"/>
          <w:i/>
          <w:iCs/>
          <w:sz w:val="24"/>
          <w:szCs w:val="24"/>
        </w:rPr>
        <w:t>Biomas e sistema costeiro-marinho do Brasil</w:t>
      </w:r>
      <w:r w:rsidR="00B71AF9" w:rsidRPr="00364F8A">
        <w:rPr>
          <w:rFonts w:ascii="Candara" w:eastAsia="Candara" w:hAnsi="Candara" w:cs="Candara"/>
          <w:sz w:val="24"/>
          <w:szCs w:val="24"/>
        </w:rPr>
        <w:t>. Séries relatórios metodológicos, v. 45. Coordenação de Recursos Naturais e Estudos Ambientais. Rio de Janeiro: IBGE, 2019.</w:t>
      </w:r>
    </w:p>
    <w:p w14:paraId="2F007A51"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INSA – Instituto Nacional do Semiárido. </w:t>
      </w:r>
      <w:r w:rsidRPr="00364F8A">
        <w:rPr>
          <w:rFonts w:ascii="Candara" w:eastAsia="Candara" w:hAnsi="Candara" w:cs="Candara"/>
          <w:i/>
          <w:iCs/>
          <w:sz w:val="24"/>
          <w:szCs w:val="24"/>
        </w:rPr>
        <w:t>Mapa de delimitação do Semiárido Brasileiro</w:t>
      </w:r>
      <w:r w:rsidRPr="00364F8A">
        <w:rPr>
          <w:rFonts w:ascii="Candara" w:eastAsia="Candara" w:hAnsi="Candara" w:cs="Candara"/>
          <w:sz w:val="24"/>
          <w:szCs w:val="24"/>
        </w:rPr>
        <w:t xml:space="preserve">. 2024. Disponível em: </w:t>
      </w:r>
      <w:hyperlink r:id="rId12" w:history="1">
        <w:r w:rsidRPr="00364F8A">
          <w:rPr>
            <w:rStyle w:val="Hyperlink"/>
            <w:rFonts w:ascii="Candara" w:eastAsia="Candara" w:hAnsi="Candara" w:cs="Candara"/>
            <w:color w:val="auto"/>
            <w:sz w:val="24"/>
            <w:szCs w:val="24"/>
            <w:u w:val="none"/>
          </w:rPr>
          <w:t>https://www.gov.br/insa/pt-br/centrais-de-conteudo/mapas/mapas-em-pdf/delimitacao-do-semiarido-brasileiro-2024.pdf/view</w:t>
        </w:r>
      </w:hyperlink>
      <w:r w:rsidRPr="00364F8A">
        <w:rPr>
          <w:rFonts w:ascii="Candara" w:eastAsia="Candara" w:hAnsi="Candara" w:cs="Candara"/>
          <w:sz w:val="24"/>
          <w:szCs w:val="24"/>
        </w:rPr>
        <w:t>. Acesso em 20 fev. 2024.</w:t>
      </w:r>
    </w:p>
    <w:p w14:paraId="40614F6A"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LIMOEIRO, D. </w:t>
      </w:r>
      <w:r w:rsidRPr="00364F8A">
        <w:rPr>
          <w:rFonts w:ascii="Candara" w:eastAsia="Candara" w:hAnsi="Candara" w:cs="Candara"/>
          <w:bCs/>
          <w:i/>
          <w:iCs/>
          <w:sz w:val="24"/>
          <w:szCs w:val="24"/>
        </w:rPr>
        <w:t>Além das transferências de renda</w:t>
      </w:r>
      <w:r w:rsidRPr="00364F8A">
        <w:rPr>
          <w:rFonts w:ascii="Candara" w:eastAsia="Candara" w:hAnsi="Candara" w:cs="Candara"/>
          <w:sz w:val="24"/>
          <w:szCs w:val="24"/>
        </w:rPr>
        <w:t>: o declínio da desigualdade regional no Brasil na década de 2000. Brasília: UNB, 2014.</w:t>
      </w:r>
    </w:p>
    <w:p w14:paraId="7030751D"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lastRenderedPageBreak/>
        <w:t xml:space="preserve">LOPES, G.; MACEDO, F. C.; MONTEIRO NETO, A. Propostas recentes de mudanças dos Fundos Constitucionais de Financiamento: em curso a desfiguração progressiva da Política Nacional de Desenvolvimento Regional (PNDR). </w:t>
      </w:r>
      <w:r w:rsidRPr="00364F8A">
        <w:rPr>
          <w:rFonts w:ascii="Candara" w:eastAsia="Candara" w:hAnsi="Candara" w:cs="Candara"/>
          <w:bCs/>
          <w:i/>
          <w:iCs/>
          <w:sz w:val="24"/>
          <w:szCs w:val="24"/>
        </w:rPr>
        <w:t>Revista Brasileira de Gestão e Desenvolvimento Regional</w:t>
      </w:r>
      <w:r w:rsidRPr="00364F8A">
        <w:rPr>
          <w:rFonts w:ascii="Candara" w:eastAsia="Candara" w:hAnsi="Candara" w:cs="Candara"/>
          <w:sz w:val="24"/>
          <w:szCs w:val="24"/>
        </w:rPr>
        <w:t>, v. 17, nº 3, p. 411-423, 2021.</w:t>
      </w:r>
    </w:p>
    <w:p w14:paraId="0E09D10D"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MACEDO, F. C. de. </w:t>
      </w:r>
      <w:r w:rsidRPr="00364F8A">
        <w:rPr>
          <w:rFonts w:ascii="Candara" w:eastAsia="Candara" w:hAnsi="Candara" w:cs="Candara"/>
          <w:i/>
          <w:iCs/>
          <w:sz w:val="24"/>
          <w:szCs w:val="24"/>
        </w:rPr>
        <w:t>Desenvolvimento regional no Brasil no século XXI</w:t>
      </w:r>
      <w:r w:rsidRPr="00364F8A">
        <w:rPr>
          <w:rFonts w:ascii="Candara" w:eastAsia="Candara" w:hAnsi="Candara" w:cs="Candara"/>
          <w:sz w:val="24"/>
          <w:szCs w:val="24"/>
        </w:rPr>
        <w:t>. Campina Grande: EDUEPB, 2023.</w:t>
      </w:r>
    </w:p>
    <w:p w14:paraId="29A58869" w14:textId="02CEE3D8" w:rsidR="00B71AF9" w:rsidRPr="00364F8A" w:rsidRDefault="00917807" w:rsidP="00364F8A">
      <w:pPr>
        <w:pBdr>
          <w:top w:val="nil"/>
          <w:left w:val="nil"/>
          <w:bottom w:val="nil"/>
          <w:right w:val="nil"/>
          <w:between w:val="nil"/>
        </w:pBdr>
        <w:spacing w:after="120" w:line="240" w:lineRule="auto"/>
        <w:jc w:val="both"/>
        <w:rPr>
          <w:rFonts w:ascii="Candara" w:eastAsia="Candara" w:hAnsi="Candara" w:cs="Candara"/>
          <w:sz w:val="24"/>
          <w:szCs w:val="24"/>
        </w:rPr>
      </w:pPr>
      <w:r>
        <w:rPr>
          <w:rFonts w:ascii="Candara" w:eastAsia="Candara" w:hAnsi="Candara" w:cs="Candara"/>
          <w:sz w:val="24"/>
          <w:szCs w:val="24"/>
        </w:rPr>
        <w:t>______</w:t>
      </w:r>
      <w:r w:rsidR="00B71AF9" w:rsidRPr="00364F8A">
        <w:rPr>
          <w:rFonts w:ascii="Candara" w:eastAsia="Candara" w:hAnsi="Candara" w:cs="Candara"/>
          <w:sz w:val="24"/>
          <w:szCs w:val="24"/>
        </w:rPr>
        <w:t xml:space="preserve">; COELHO, V. L. P. A </w:t>
      </w:r>
      <w:r w:rsidR="005E3456" w:rsidRPr="00364F8A">
        <w:rPr>
          <w:rFonts w:ascii="Candara" w:eastAsia="Candara" w:hAnsi="Candara" w:cs="Candara"/>
          <w:sz w:val="24"/>
          <w:szCs w:val="24"/>
        </w:rPr>
        <w:t xml:space="preserve">Política Nacional </w:t>
      </w:r>
      <w:r w:rsidR="00B71AF9" w:rsidRPr="00364F8A">
        <w:rPr>
          <w:rFonts w:ascii="Candara" w:eastAsia="Candara" w:hAnsi="Candara" w:cs="Candara"/>
          <w:sz w:val="24"/>
          <w:szCs w:val="24"/>
        </w:rPr>
        <w:t xml:space="preserve">de Desenvolvimento </w:t>
      </w:r>
      <w:r w:rsidR="005E3456" w:rsidRPr="00364F8A">
        <w:rPr>
          <w:rFonts w:ascii="Candara" w:eastAsia="Candara" w:hAnsi="Candara" w:cs="Candara"/>
          <w:sz w:val="24"/>
          <w:szCs w:val="24"/>
        </w:rPr>
        <w:t xml:space="preserve">Regional </w:t>
      </w:r>
      <w:r w:rsidR="00B71AF9" w:rsidRPr="00364F8A">
        <w:rPr>
          <w:rFonts w:ascii="Candara" w:eastAsia="Candara" w:hAnsi="Candara" w:cs="Candara"/>
          <w:sz w:val="24"/>
          <w:szCs w:val="24"/>
        </w:rPr>
        <w:t xml:space="preserve">e o papel dos Fundos Constitucionais de Financiamento. </w:t>
      </w:r>
      <w:r w:rsidR="00B71AF9" w:rsidRPr="00364F8A">
        <w:rPr>
          <w:rFonts w:ascii="Candara" w:eastAsia="Candara" w:hAnsi="Candara" w:cs="Candara"/>
          <w:bCs/>
          <w:i/>
          <w:iCs/>
          <w:sz w:val="24"/>
          <w:szCs w:val="24"/>
        </w:rPr>
        <w:t>REDES</w:t>
      </w:r>
      <w:r w:rsidR="00B71AF9" w:rsidRPr="00364F8A">
        <w:rPr>
          <w:rFonts w:ascii="Candara" w:eastAsia="Candara" w:hAnsi="Candara" w:cs="Candara"/>
          <w:sz w:val="24"/>
          <w:szCs w:val="24"/>
        </w:rPr>
        <w:t>, v. 20, nº 3, p. 464-486, 2015.</w:t>
      </w:r>
    </w:p>
    <w:p w14:paraId="4E6EEFD2" w14:textId="2F7411CF" w:rsidR="00B71AF9" w:rsidRPr="00364F8A" w:rsidRDefault="00917807" w:rsidP="00364F8A">
      <w:pPr>
        <w:pBdr>
          <w:top w:val="nil"/>
          <w:left w:val="nil"/>
          <w:bottom w:val="nil"/>
          <w:right w:val="nil"/>
          <w:between w:val="nil"/>
        </w:pBdr>
        <w:spacing w:after="120" w:line="240" w:lineRule="auto"/>
        <w:jc w:val="both"/>
        <w:rPr>
          <w:rFonts w:ascii="Candara" w:eastAsia="Candara" w:hAnsi="Candara" w:cs="Candara"/>
          <w:sz w:val="24"/>
          <w:szCs w:val="24"/>
        </w:rPr>
      </w:pPr>
      <w:r>
        <w:rPr>
          <w:rFonts w:ascii="Candara" w:eastAsia="Candara" w:hAnsi="Candara" w:cs="Candara"/>
          <w:sz w:val="24"/>
          <w:szCs w:val="24"/>
        </w:rPr>
        <w:t>______</w:t>
      </w:r>
      <w:r w:rsidR="00B71AF9" w:rsidRPr="00364F8A">
        <w:rPr>
          <w:rFonts w:ascii="Candara" w:eastAsia="Candara" w:hAnsi="Candara" w:cs="Candara"/>
          <w:sz w:val="24"/>
          <w:szCs w:val="24"/>
        </w:rPr>
        <w:t xml:space="preserve">; PORTO, L. R. Proposta de atualização das tipologias da PNDR: nota metodológica e mapas de referência. </w:t>
      </w:r>
      <w:r w:rsidR="00B71AF9" w:rsidRPr="00364F8A">
        <w:rPr>
          <w:rFonts w:ascii="Candara" w:eastAsia="Candara" w:hAnsi="Candara" w:cs="Candara"/>
          <w:i/>
          <w:iCs/>
          <w:sz w:val="24"/>
          <w:szCs w:val="24"/>
        </w:rPr>
        <w:t>Texto para Discussão nº 2.414</w:t>
      </w:r>
      <w:r w:rsidR="00B71AF9" w:rsidRPr="00364F8A">
        <w:rPr>
          <w:rFonts w:ascii="Candara" w:eastAsia="Candara" w:hAnsi="Candara" w:cs="Candara"/>
          <w:sz w:val="24"/>
          <w:szCs w:val="24"/>
        </w:rPr>
        <w:t>, Rio de Janeiro (RJ): IPEA, 2018.</w:t>
      </w:r>
    </w:p>
    <w:p w14:paraId="10F336AA" w14:textId="782C33F5"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MARTELLO, A.; GERBELLI, L. G. G1 Economia. </w:t>
      </w:r>
      <w:r w:rsidRPr="00364F8A">
        <w:rPr>
          <w:rFonts w:ascii="Candara" w:eastAsia="Candara" w:hAnsi="Candara" w:cs="Candara"/>
          <w:i/>
          <w:iCs/>
          <w:sz w:val="24"/>
          <w:szCs w:val="24"/>
        </w:rPr>
        <w:t>Série histórica do emprego formal não pode ser comparada com novo Caged, dizem analistas</w:t>
      </w:r>
      <w:r w:rsidRPr="00364F8A">
        <w:rPr>
          <w:rFonts w:ascii="Candara" w:eastAsia="Candara" w:hAnsi="Candara" w:cs="Candara"/>
          <w:sz w:val="24"/>
          <w:szCs w:val="24"/>
        </w:rPr>
        <w:t xml:space="preserve">, 2021. Disponível em: </w:t>
      </w:r>
      <w:hyperlink r:id="rId13" w:history="1">
        <w:r w:rsidRPr="00364F8A">
          <w:rPr>
            <w:rStyle w:val="Hyperlink"/>
            <w:rFonts w:ascii="Candara" w:eastAsia="Candara" w:hAnsi="Candara" w:cs="Candara"/>
            <w:color w:val="auto"/>
            <w:sz w:val="24"/>
            <w:szCs w:val="24"/>
            <w:u w:val="none"/>
          </w:rPr>
          <w:t>https://g1.globo.com/economia/noticia/2021/04/28/serie-historica-do-emprego-formal-nao-pode-ser-comparada-com-novo-caged-dizem-analistas.ghtml</w:t>
        </w:r>
      </w:hyperlink>
      <w:r w:rsidRPr="00364F8A">
        <w:rPr>
          <w:rFonts w:ascii="Candara" w:eastAsia="Candara" w:hAnsi="Candara" w:cs="Candara"/>
          <w:sz w:val="24"/>
          <w:szCs w:val="24"/>
        </w:rPr>
        <w:t>.</w:t>
      </w:r>
      <w:r w:rsidR="005E3456">
        <w:rPr>
          <w:rFonts w:ascii="Candara" w:eastAsia="Candara" w:hAnsi="Candara" w:cs="Candara"/>
          <w:sz w:val="24"/>
          <w:szCs w:val="24"/>
        </w:rPr>
        <w:t xml:space="preserve"> </w:t>
      </w:r>
      <w:r w:rsidRPr="00364F8A">
        <w:rPr>
          <w:rFonts w:ascii="Candara" w:eastAsia="Candara" w:hAnsi="Candara" w:cs="Candara"/>
          <w:sz w:val="24"/>
          <w:szCs w:val="24"/>
        </w:rPr>
        <w:t>Acesso em: 15 fev. 2024.</w:t>
      </w:r>
    </w:p>
    <w:p w14:paraId="5D84D665"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MDR – Ministério do Desenvolvimento Regional. </w:t>
      </w:r>
      <w:r w:rsidRPr="00364F8A">
        <w:rPr>
          <w:rFonts w:ascii="Candara" w:eastAsia="Candara" w:hAnsi="Candara" w:cs="Candara"/>
          <w:i/>
          <w:iCs/>
          <w:sz w:val="24"/>
          <w:szCs w:val="24"/>
        </w:rPr>
        <w:t>Resolução CONDEL/SUDENE nº 176, de 3 de janeiro de 2024</w:t>
      </w:r>
      <w:r w:rsidRPr="00364F8A">
        <w:rPr>
          <w:rFonts w:ascii="Candara" w:eastAsia="Candara" w:hAnsi="Candara" w:cs="Candara"/>
          <w:sz w:val="24"/>
          <w:szCs w:val="24"/>
        </w:rPr>
        <w:t>. Disponível em: https://www.gov.br/sudene/pt-br/acesso-a-informacao/legislacao/hierarquia/resolucoes-condel/resolucao-condel-sudene-no-176-de-3-de-janeiro-de-2024. Acesso em 20 mar. 2024.</w:t>
      </w:r>
    </w:p>
    <w:p w14:paraId="4C21DB33"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bCs/>
          <w:sz w:val="24"/>
          <w:szCs w:val="24"/>
        </w:rPr>
      </w:pPr>
      <w:r w:rsidRPr="00364F8A">
        <w:rPr>
          <w:rFonts w:ascii="Candara" w:eastAsia="Candara" w:hAnsi="Candara" w:cs="Candara"/>
          <w:bCs/>
          <w:sz w:val="24"/>
          <w:szCs w:val="24"/>
        </w:rPr>
        <w:t xml:space="preserve">NUNES, E. de S.; SILVA, J. G. da; QUEIROZ, S. N. de. Migração inter-regional no Brasil: o que há de novo? </w:t>
      </w:r>
      <w:r w:rsidRPr="00364F8A">
        <w:rPr>
          <w:rFonts w:ascii="Candara" w:eastAsia="Candara" w:hAnsi="Candara" w:cs="Candara"/>
          <w:bCs/>
          <w:i/>
          <w:iCs/>
          <w:sz w:val="24"/>
          <w:szCs w:val="24"/>
        </w:rPr>
        <w:t>Revista de Desenvolvimento Econômico</w:t>
      </w:r>
      <w:r w:rsidRPr="00364F8A">
        <w:rPr>
          <w:rFonts w:ascii="Candara" w:eastAsia="Candara" w:hAnsi="Candara" w:cs="Candara"/>
          <w:bCs/>
          <w:sz w:val="24"/>
          <w:szCs w:val="24"/>
        </w:rPr>
        <w:t>, ano XIX, v. 2, n. 37, p. 388-407, 2017.</w:t>
      </w:r>
    </w:p>
    <w:p w14:paraId="49E30CB1"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PORTO, L. P. </w:t>
      </w:r>
      <w:r w:rsidRPr="00364F8A">
        <w:rPr>
          <w:rFonts w:ascii="Candara" w:eastAsia="Candara" w:hAnsi="Candara" w:cs="Candara"/>
          <w:bCs/>
          <w:i/>
          <w:iCs/>
          <w:sz w:val="24"/>
          <w:szCs w:val="24"/>
        </w:rPr>
        <w:t>A dinâmica urbano-regional do Nordeste brasileiro pós-1990</w:t>
      </w:r>
      <w:r w:rsidRPr="00364F8A">
        <w:rPr>
          <w:rFonts w:ascii="Candara" w:eastAsia="Candara" w:hAnsi="Candara" w:cs="Candara"/>
          <w:sz w:val="24"/>
          <w:szCs w:val="24"/>
        </w:rPr>
        <w:t>: interdependência entre as redes de cidades e a estrutura produtiva. 257 p. Tese (Doutorado em Desenvolvimento Econômico) – Instituto de Economia, Unicamp, Campinas, 2023.</w:t>
      </w:r>
    </w:p>
    <w:p w14:paraId="266AC1FC"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t xml:space="preserve">RAIS/CAGED. </w:t>
      </w:r>
      <w:r w:rsidRPr="00364F8A">
        <w:rPr>
          <w:rFonts w:ascii="Candara" w:eastAsia="Candara" w:hAnsi="Candara" w:cs="Candara"/>
          <w:i/>
          <w:iCs/>
          <w:sz w:val="24"/>
          <w:szCs w:val="24"/>
        </w:rPr>
        <w:t>Mercado de trabalho formal - vínculos</w:t>
      </w:r>
      <w:r w:rsidRPr="00364F8A">
        <w:rPr>
          <w:rFonts w:ascii="Candara" w:eastAsia="Candara" w:hAnsi="Candara" w:cs="Candara"/>
          <w:sz w:val="24"/>
          <w:szCs w:val="24"/>
        </w:rPr>
        <w:t>. Disponível em: https://bi.mte.gov.br/bgcaged/rais.php. Acesso em 12 jan. 2024.</w:t>
      </w:r>
    </w:p>
    <w:p w14:paraId="68A0B8A9"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lang w:val="en-US"/>
        </w:rPr>
        <w:t xml:space="preserve">SILVA, J. M. C. da; LEAL, I. R.; TABARELLI, M. </w:t>
      </w:r>
      <w:r w:rsidRPr="00364F8A">
        <w:rPr>
          <w:rFonts w:ascii="Candara" w:eastAsia="Candara" w:hAnsi="Candara" w:cs="Candara"/>
          <w:i/>
          <w:iCs/>
          <w:sz w:val="24"/>
          <w:szCs w:val="24"/>
          <w:lang w:val="en-US"/>
        </w:rPr>
        <w:t>Caatinga</w:t>
      </w:r>
      <w:r w:rsidRPr="00364F8A">
        <w:rPr>
          <w:rFonts w:ascii="Candara" w:eastAsia="Candara" w:hAnsi="Candara" w:cs="Candara"/>
          <w:sz w:val="24"/>
          <w:szCs w:val="24"/>
          <w:lang w:val="en-US"/>
        </w:rPr>
        <w:t xml:space="preserve">: The Largest Tropical Dry Forest Region in South America. </w:t>
      </w:r>
      <w:r w:rsidRPr="00364F8A">
        <w:rPr>
          <w:rFonts w:ascii="Candara" w:eastAsia="Candara" w:hAnsi="Candara" w:cs="Candara"/>
          <w:sz w:val="24"/>
          <w:szCs w:val="24"/>
        </w:rPr>
        <w:t>Springer, 2017.</w:t>
      </w:r>
    </w:p>
    <w:p w14:paraId="78D91C9C" w14:textId="77777777" w:rsidR="00B71AF9" w:rsidRPr="00364F8A" w:rsidRDefault="00B71AF9" w:rsidP="00364F8A">
      <w:pPr>
        <w:pBdr>
          <w:top w:val="nil"/>
          <w:left w:val="nil"/>
          <w:bottom w:val="nil"/>
          <w:right w:val="nil"/>
          <w:between w:val="nil"/>
        </w:pBdr>
        <w:spacing w:after="120" w:line="240" w:lineRule="auto"/>
        <w:jc w:val="both"/>
        <w:rPr>
          <w:rFonts w:ascii="Candara" w:eastAsia="Candara" w:hAnsi="Candara" w:cs="Candara"/>
          <w:sz w:val="24"/>
          <w:szCs w:val="24"/>
        </w:rPr>
      </w:pPr>
      <w:r w:rsidRPr="00364F8A">
        <w:rPr>
          <w:rFonts w:ascii="Candara" w:eastAsia="Candara" w:hAnsi="Candara" w:cs="Candara"/>
          <w:sz w:val="24"/>
          <w:szCs w:val="24"/>
        </w:rPr>
        <w:lastRenderedPageBreak/>
        <w:t xml:space="preserve">SILVA, S. A. da. A PNDR e o planejamento regional brasileiro no início do século XXI. </w:t>
      </w:r>
      <w:r w:rsidRPr="00364F8A">
        <w:rPr>
          <w:rFonts w:ascii="Candara" w:eastAsia="Candara" w:hAnsi="Candara" w:cs="Candara"/>
          <w:bCs/>
          <w:i/>
          <w:iCs/>
          <w:sz w:val="24"/>
          <w:szCs w:val="24"/>
        </w:rPr>
        <w:t>Texto para Discussão nº 2150</w:t>
      </w:r>
      <w:r w:rsidRPr="00364F8A">
        <w:rPr>
          <w:rFonts w:ascii="Candara" w:eastAsia="Candara" w:hAnsi="Candara" w:cs="Candara"/>
          <w:sz w:val="24"/>
          <w:szCs w:val="24"/>
        </w:rPr>
        <w:t>. Brasília: IPEA, 2015.</w:t>
      </w:r>
    </w:p>
    <w:sectPr w:rsidR="00B71AF9" w:rsidRPr="00364F8A">
      <w:headerReference w:type="default" r:id="rId14"/>
      <w:foot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4991D" w14:textId="77777777" w:rsidR="00A44D72" w:rsidRDefault="00A44D72" w:rsidP="00150E4C">
      <w:pPr>
        <w:spacing w:after="0" w:line="240" w:lineRule="auto"/>
      </w:pPr>
      <w:r>
        <w:separator/>
      </w:r>
    </w:p>
  </w:endnote>
  <w:endnote w:type="continuationSeparator" w:id="0">
    <w:p w14:paraId="25BC9326" w14:textId="77777777" w:rsidR="00A44D72" w:rsidRDefault="00A44D72" w:rsidP="00150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F77F2" w14:textId="77777777" w:rsidR="005B483D" w:rsidRDefault="00A66DB6">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4384" behindDoc="0" locked="0" layoutInCell="1" hidden="0" allowOverlap="1" wp14:anchorId="28ECAC3D" wp14:editId="1A98592F">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61A21C51" wp14:editId="23252AC4">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63E664C9" wp14:editId="18B56D15">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3266DFD" wp14:editId="74562E97">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1B798557" w14:textId="77777777" w:rsidR="005B483D" w:rsidRDefault="00A66DB6">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0288" behindDoc="0" locked="0" layoutInCell="1" hidden="0" allowOverlap="1" wp14:anchorId="29465317" wp14:editId="09EE6A0F">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1FFD08FD" w14:textId="77777777" w:rsidR="005B483D" w:rsidRDefault="00000000">
    <w:pPr>
      <w:pBdr>
        <w:top w:val="nil"/>
        <w:left w:val="nil"/>
        <w:bottom w:val="nil"/>
        <w:right w:val="nil"/>
        <w:between w:val="nil"/>
      </w:pBdr>
      <w:tabs>
        <w:tab w:val="center" w:pos="4252"/>
        <w:tab w:val="right" w:pos="8504"/>
      </w:tabs>
      <w:spacing w:after="0" w:line="240" w:lineRule="auto"/>
      <w:rPr>
        <w:color w:val="000000"/>
      </w:rPr>
    </w:pPr>
  </w:p>
  <w:p w14:paraId="494E9618" w14:textId="77777777" w:rsidR="005B483D" w:rsidRDefault="00A66DB6">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6E0FBCC" w14:textId="77777777" w:rsidR="005B483D" w:rsidRDefault="00A66DB6">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6432" behindDoc="0" locked="0" layoutInCell="1" hidden="0" allowOverlap="1" wp14:anchorId="1A67669E" wp14:editId="0BD87279">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9AC52D8" wp14:editId="32F2D580">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28F56FB6" wp14:editId="6ACB5548">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hidden="0" allowOverlap="1" wp14:anchorId="1593A5E4" wp14:editId="5C4FE3AF">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0289C38" w14:textId="77777777" w:rsidR="005B483D" w:rsidRDefault="00A66DB6">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0FE0BC1" w14:textId="77777777" w:rsidR="005B483D" w:rsidRDefault="00000000">
    <w:pPr>
      <w:pBdr>
        <w:top w:val="nil"/>
        <w:left w:val="nil"/>
        <w:bottom w:val="nil"/>
        <w:right w:val="nil"/>
        <w:between w:val="nil"/>
      </w:pBdr>
      <w:tabs>
        <w:tab w:val="center" w:pos="4252"/>
        <w:tab w:val="right" w:pos="8504"/>
      </w:tabs>
      <w:spacing w:after="0" w:line="240" w:lineRule="auto"/>
      <w:rPr>
        <w:color w:val="000000"/>
      </w:rPr>
    </w:pPr>
  </w:p>
  <w:p w14:paraId="7D15A4CE" w14:textId="77777777" w:rsidR="005B483D" w:rsidRDefault="00000000">
    <w:pPr>
      <w:pBdr>
        <w:top w:val="nil"/>
        <w:left w:val="nil"/>
        <w:bottom w:val="nil"/>
        <w:right w:val="nil"/>
        <w:between w:val="nil"/>
      </w:pBdr>
      <w:tabs>
        <w:tab w:val="center" w:pos="4252"/>
        <w:tab w:val="right" w:pos="8504"/>
      </w:tabs>
      <w:spacing w:after="0" w:line="240" w:lineRule="auto"/>
      <w:rPr>
        <w:color w:val="000000"/>
      </w:rPr>
    </w:pPr>
  </w:p>
  <w:p w14:paraId="42606DCB" w14:textId="77777777" w:rsidR="005B483D" w:rsidRDefault="00A66DB6">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B655A" w14:textId="77777777" w:rsidR="00A44D72" w:rsidRDefault="00A44D72" w:rsidP="00150E4C">
      <w:pPr>
        <w:spacing w:after="0" w:line="240" w:lineRule="auto"/>
      </w:pPr>
      <w:r>
        <w:separator/>
      </w:r>
    </w:p>
  </w:footnote>
  <w:footnote w:type="continuationSeparator" w:id="0">
    <w:p w14:paraId="0D2D3024" w14:textId="77777777" w:rsidR="00A44D72" w:rsidRDefault="00A44D72" w:rsidP="00150E4C">
      <w:pPr>
        <w:spacing w:after="0" w:line="240" w:lineRule="auto"/>
      </w:pPr>
      <w:r>
        <w:continuationSeparator/>
      </w:r>
    </w:p>
  </w:footnote>
  <w:footnote w:id="1">
    <w:p w14:paraId="5D3FD000" w14:textId="47611AC6" w:rsidR="00BE1F52" w:rsidRPr="00957B61" w:rsidRDefault="00BE1F52" w:rsidP="00957B61">
      <w:pPr>
        <w:pStyle w:val="Textodenotaderodap"/>
        <w:spacing w:after="120"/>
        <w:jc w:val="both"/>
        <w:rPr>
          <w:rFonts w:ascii="Candara" w:hAnsi="Candara"/>
        </w:rPr>
      </w:pPr>
      <w:r w:rsidRPr="00957B61">
        <w:rPr>
          <w:rStyle w:val="Refdenotaderodap"/>
          <w:rFonts w:ascii="Candara" w:hAnsi="Candara"/>
        </w:rPr>
        <w:footnoteRef/>
      </w:r>
      <w:r w:rsidRPr="00957B61">
        <w:rPr>
          <w:rFonts w:ascii="Candara" w:hAnsi="Candara"/>
        </w:rPr>
        <w:t xml:space="preserve"> </w:t>
      </w:r>
      <w:r w:rsidRPr="00957B61">
        <w:rPr>
          <w:rFonts w:ascii="Candara" w:eastAsia="Candara" w:hAnsi="Candara" w:cs="Candara"/>
        </w:rPr>
        <w:t>O presente trabalho foi realizado com apoio da Coordenação de Aperfeiçoamento de Pessoal de Nível Superior – Brasil (CAPES) – Código de Financiamento 001.</w:t>
      </w:r>
    </w:p>
  </w:footnote>
  <w:footnote w:id="2">
    <w:p w14:paraId="015727C5" w14:textId="349AD9DF" w:rsidR="00150E4C" w:rsidRPr="00957B61" w:rsidRDefault="00150E4C" w:rsidP="00957B61">
      <w:pPr>
        <w:pBdr>
          <w:top w:val="nil"/>
          <w:left w:val="nil"/>
          <w:bottom w:val="nil"/>
          <w:right w:val="nil"/>
          <w:between w:val="nil"/>
        </w:pBdr>
        <w:spacing w:after="120" w:line="240" w:lineRule="auto"/>
        <w:jc w:val="both"/>
        <w:rPr>
          <w:rFonts w:ascii="Candara" w:eastAsia="Candara" w:hAnsi="Candara" w:cs="Candara"/>
          <w:sz w:val="20"/>
          <w:szCs w:val="20"/>
        </w:rPr>
      </w:pPr>
      <w:r w:rsidRPr="00957B61">
        <w:rPr>
          <w:rFonts w:ascii="Candara" w:hAnsi="Candara"/>
          <w:sz w:val="20"/>
          <w:szCs w:val="20"/>
          <w:vertAlign w:val="superscript"/>
        </w:rPr>
        <w:footnoteRef/>
      </w:r>
      <w:r w:rsidR="007F653F" w:rsidRPr="00957B61">
        <w:rPr>
          <w:rFonts w:ascii="Candara" w:eastAsia="Candara" w:hAnsi="Candara" w:cs="Candara"/>
          <w:sz w:val="20"/>
          <w:szCs w:val="20"/>
        </w:rPr>
        <w:t xml:space="preserve"> </w:t>
      </w:r>
      <w:r w:rsidRPr="00957B61">
        <w:rPr>
          <w:rFonts w:ascii="Candara" w:eastAsia="Candara" w:hAnsi="Candara" w:cs="Candara"/>
          <w:sz w:val="20"/>
          <w:szCs w:val="20"/>
        </w:rPr>
        <w:t>Universidade Estadual de Campinas (Unicamp), Campinas/SP. E-mail:</w:t>
      </w:r>
      <w:r w:rsidR="007F653F" w:rsidRPr="00957B61">
        <w:rPr>
          <w:rFonts w:ascii="Candara" w:eastAsia="Candara" w:hAnsi="Candara" w:cs="Candara"/>
          <w:sz w:val="20"/>
          <w:szCs w:val="20"/>
        </w:rPr>
        <w:t xml:space="preserve"> </w:t>
      </w:r>
      <w:r w:rsidRPr="00957B61">
        <w:rPr>
          <w:rFonts w:ascii="Candara" w:eastAsia="Candara" w:hAnsi="Candara" w:cs="Candara"/>
          <w:sz w:val="20"/>
          <w:szCs w:val="20"/>
        </w:rPr>
        <w:t>eduardocarlos2807@gmail.com.</w:t>
      </w:r>
    </w:p>
  </w:footnote>
  <w:footnote w:id="3">
    <w:p w14:paraId="079D4FBE" w14:textId="325BF341" w:rsidR="00150E4C" w:rsidRPr="00957B61" w:rsidRDefault="00150E4C" w:rsidP="00957B61">
      <w:pPr>
        <w:pStyle w:val="SemEspaamento"/>
        <w:jc w:val="both"/>
        <w:rPr>
          <w:rFonts w:ascii="Candara" w:hAnsi="Candara"/>
          <w:sz w:val="20"/>
          <w:szCs w:val="20"/>
        </w:rPr>
      </w:pPr>
      <w:r w:rsidRPr="00957B61">
        <w:rPr>
          <w:rFonts w:ascii="Candara" w:hAnsi="Candara"/>
          <w:sz w:val="20"/>
          <w:szCs w:val="20"/>
          <w:vertAlign w:val="superscript"/>
        </w:rPr>
        <w:footnoteRef/>
      </w:r>
      <w:r w:rsidRPr="00957B61">
        <w:rPr>
          <w:rFonts w:ascii="Candara" w:hAnsi="Candara"/>
          <w:sz w:val="20"/>
          <w:szCs w:val="20"/>
        </w:rPr>
        <w:t xml:space="preserve"> Universidade Estadual de Campinas (Unicamp), Campinas/SP. E-mail: </w:t>
      </w:r>
      <w:r w:rsidR="00957B61" w:rsidRPr="00957B61">
        <w:rPr>
          <w:rFonts w:ascii="Candara" w:hAnsi="Candara"/>
          <w:sz w:val="20"/>
          <w:szCs w:val="20"/>
          <w:shd w:val="clear" w:color="auto" w:fill="FFFFFF"/>
        </w:rPr>
        <w:t>fernando.cezar.macedo@gmail.com</w:t>
      </w:r>
      <w:r w:rsidRPr="00957B61">
        <w:rPr>
          <w:rFonts w:ascii="Candara" w:hAnsi="Candara"/>
          <w:sz w:val="20"/>
          <w:szCs w:val="20"/>
        </w:rPr>
        <w:t>.</w:t>
      </w:r>
    </w:p>
  </w:footnote>
  <w:footnote w:id="4">
    <w:p w14:paraId="3908CEB8" w14:textId="77777777" w:rsidR="00150E4C" w:rsidRPr="00917807" w:rsidRDefault="00150E4C" w:rsidP="00DA2FFC">
      <w:pPr>
        <w:pStyle w:val="SemEspaamento"/>
        <w:spacing w:after="120"/>
        <w:jc w:val="both"/>
        <w:rPr>
          <w:rFonts w:ascii="Candara" w:hAnsi="Candara" w:cs="Times New Roman"/>
          <w:sz w:val="20"/>
          <w:szCs w:val="20"/>
        </w:rPr>
      </w:pPr>
      <w:r w:rsidRPr="00917807">
        <w:rPr>
          <w:rStyle w:val="Refdenotaderodap"/>
          <w:rFonts w:ascii="Candara" w:hAnsi="Candara" w:cs="Times New Roman"/>
          <w:sz w:val="20"/>
          <w:szCs w:val="20"/>
        </w:rPr>
        <w:footnoteRef/>
      </w:r>
      <w:r w:rsidRPr="00917807">
        <w:rPr>
          <w:rFonts w:ascii="Candara" w:hAnsi="Candara" w:cs="Times New Roman"/>
          <w:sz w:val="20"/>
          <w:szCs w:val="20"/>
        </w:rPr>
        <w:t xml:space="preserve"> </w:t>
      </w:r>
      <w:r w:rsidRPr="00917807">
        <w:rPr>
          <w:rFonts w:ascii="Candara" w:eastAsia="Candara" w:hAnsi="Candara" w:cs="Candara"/>
          <w:sz w:val="20"/>
          <w:szCs w:val="20"/>
        </w:rPr>
        <w:t>A delimitação passou por diversas revisões: Decreto-Lei nº 9.857/1946, Lei nº 1.348/1951, Lei nº 4.763/1965 e Decreto-Lei nº 63.778/1968. Antes de responsabilidade do DNOCS, até 1968, quando ficou a cargo da SUDENE.</w:t>
      </w:r>
    </w:p>
  </w:footnote>
  <w:footnote w:id="5">
    <w:p w14:paraId="21EF2BA5" w14:textId="7ECFED30" w:rsidR="00150E4C" w:rsidRPr="00917807" w:rsidRDefault="00150E4C" w:rsidP="00DA2FFC">
      <w:pPr>
        <w:pStyle w:val="SemEspaamento"/>
        <w:spacing w:after="120"/>
        <w:jc w:val="both"/>
        <w:rPr>
          <w:rFonts w:ascii="Candara" w:hAnsi="Candara" w:cs="Times New Roman"/>
          <w:sz w:val="20"/>
          <w:szCs w:val="20"/>
        </w:rPr>
      </w:pPr>
      <w:r w:rsidRPr="00917807">
        <w:rPr>
          <w:rStyle w:val="Refdenotaderodap"/>
          <w:rFonts w:ascii="Candara" w:hAnsi="Candara" w:cs="Times New Roman"/>
          <w:sz w:val="20"/>
          <w:szCs w:val="20"/>
        </w:rPr>
        <w:footnoteRef/>
      </w:r>
      <w:r w:rsidRPr="00917807">
        <w:rPr>
          <w:rFonts w:ascii="Candara" w:hAnsi="Candara" w:cs="Times New Roman"/>
          <w:sz w:val="20"/>
          <w:szCs w:val="20"/>
        </w:rPr>
        <w:t xml:space="preserve"> </w:t>
      </w:r>
      <w:r w:rsidRPr="00917807">
        <w:rPr>
          <w:rFonts w:ascii="Candara" w:eastAsia="Candara" w:hAnsi="Candara" w:cs="Candara"/>
          <w:sz w:val="20"/>
          <w:szCs w:val="20"/>
        </w:rPr>
        <w:t xml:space="preserve">Os recursos dos FCF correspondem a 3% da arrecadação dos impostos sobre produtos industrializados (IPI) e dos impostos sobre a renda e proventos de qualquer natureza (IR). A distribuição dos recursos se dá seguinte forma: 1,8% para FNE, em que </w:t>
      </w:r>
      <w:r w:rsidR="00EE0123" w:rsidRPr="00917807">
        <w:rPr>
          <w:rFonts w:ascii="Candara" w:eastAsia="Candara" w:hAnsi="Candara" w:cs="Candara"/>
          <w:sz w:val="20"/>
          <w:szCs w:val="20"/>
        </w:rPr>
        <w:t>0,9% devem</w:t>
      </w:r>
      <w:r w:rsidRPr="00917807">
        <w:rPr>
          <w:rFonts w:ascii="Candara" w:eastAsia="Candara" w:hAnsi="Candara" w:cs="Candara"/>
          <w:sz w:val="20"/>
          <w:szCs w:val="20"/>
        </w:rPr>
        <w:t xml:space="preserve"> ser exclusivamente para o Semiárido; 0,6% para FNO e FCO, cada.</w:t>
      </w:r>
    </w:p>
  </w:footnote>
  <w:footnote w:id="6">
    <w:p w14:paraId="54E679F6" w14:textId="77777777" w:rsidR="00150E4C" w:rsidRPr="00917807" w:rsidRDefault="00150E4C" w:rsidP="00DA2FFC">
      <w:pPr>
        <w:pStyle w:val="SemEspaamento"/>
        <w:spacing w:after="120"/>
        <w:jc w:val="both"/>
        <w:rPr>
          <w:rFonts w:ascii="Candara" w:hAnsi="Candara" w:cs="Times New Roman"/>
          <w:sz w:val="20"/>
          <w:szCs w:val="20"/>
        </w:rPr>
      </w:pPr>
      <w:r w:rsidRPr="00917807">
        <w:rPr>
          <w:rStyle w:val="Refdenotaderodap"/>
          <w:rFonts w:ascii="Candara" w:hAnsi="Candara" w:cs="Times New Roman"/>
          <w:sz w:val="20"/>
          <w:szCs w:val="20"/>
        </w:rPr>
        <w:footnoteRef/>
      </w:r>
      <w:r w:rsidRPr="00917807">
        <w:rPr>
          <w:rFonts w:ascii="Candara" w:hAnsi="Candara" w:cs="Times New Roman"/>
          <w:sz w:val="20"/>
          <w:szCs w:val="20"/>
        </w:rPr>
        <w:t xml:space="preserve"> </w:t>
      </w:r>
      <w:r w:rsidRPr="00917807">
        <w:rPr>
          <w:rFonts w:ascii="Candara" w:eastAsia="Candara" w:hAnsi="Candara" w:cs="Candara"/>
          <w:sz w:val="20"/>
          <w:szCs w:val="20"/>
        </w:rPr>
        <w:t>Elaborado por Thornthwaite em 1948, calcula a diferença entre a quantidade de chuva e a perda de água do sistema, ou seja, a evapotranspiração.</w:t>
      </w:r>
    </w:p>
  </w:footnote>
  <w:footnote w:id="7">
    <w:p w14:paraId="28E1B5CC" w14:textId="77777777" w:rsidR="00150E4C" w:rsidRPr="00917807" w:rsidRDefault="00150E4C" w:rsidP="00DA2FFC">
      <w:pPr>
        <w:pStyle w:val="Textodenotaderodap"/>
        <w:spacing w:after="120"/>
        <w:jc w:val="both"/>
        <w:rPr>
          <w:rFonts w:ascii="Candara" w:hAnsi="Candara" w:cs="Times New Roman"/>
        </w:rPr>
      </w:pPr>
      <w:r w:rsidRPr="00917807">
        <w:rPr>
          <w:rStyle w:val="Refdenotaderodap"/>
          <w:rFonts w:ascii="Candara" w:hAnsi="Candara" w:cs="Times New Roman"/>
        </w:rPr>
        <w:footnoteRef/>
      </w:r>
      <w:r w:rsidRPr="00917807">
        <w:rPr>
          <w:rFonts w:ascii="Candara" w:hAnsi="Candara" w:cs="Times New Roman"/>
        </w:rPr>
        <w:t xml:space="preserve"> </w:t>
      </w:r>
      <w:r w:rsidRPr="00917807">
        <w:rPr>
          <w:rFonts w:ascii="Candara" w:eastAsia="Candara" w:hAnsi="Candara" w:cs="Candara"/>
        </w:rPr>
        <w:t>Controversa, tendo em vista o período previsto de revisão das delimitações, a cada dez anos. A partir da resolução nº 176 do CONDEL/SUDENE, ratificou a delimitação realizada em 2021 (Art. 1º) e manteve em caráter excepcional os 50 municípios excluídos pelo prazo de um ano, pelos efeitos adversos do fenômeno El Niño previstos para 2024 (Art. 5º) (MDR, 2024).</w:t>
      </w:r>
    </w:p>
  </w:footnote>
  <w:footnote w:id="8">
    <w:p w14:paraId="27850D5D" w14:textId="1397C2A5" w:rsidR="00843810" w:rsidRPr="00917807" w:rsidRDefault="00843810" w:rsidP="00DA2FFC">
      <w:pPr>
        <w:pStyle w:val="SemEspaamento"/>
        <w:spacing w:after="120"/>
        <w:jc w:val="both"/>
        <w:rPr>
          <w:rFonts w:ascii="Candara" w:hAnsi="Candara" w:cs="Times New Roman"/>
          <w:sz w:val="20"/>
          <w:szCs w:val="20"/>
        </w:rPr>
      </w:pPr>
      <w:r w:rsidRPr="00917807">
        <w:rPr>
          <w:rStyle w:val="Refdenotaderodap"/>
          <w:rFonts w:ascii="Candara" w:hAnsi="Candara" w:cs="Times New Roman"/>
          <w:sz w:val="20"/>
          <w:szCs w:val="20"/>
        </w:rPr>
        <w:footnoteRef/>
      </w:r>
      <w:r w:rsidRPr="00917807">
        <w:rPr>
          <w:rFonts w:ascii="Candara" w:hAnsi="Candara" w:cs="Times New Roman"/>
          <w:sz w:val="20"/>
          <w:szCs w:val="20"/>
        </w:rPr>
        <w:t xml:space="preserve"> Um dos pontos mais significativos foi a construção de cisternas que levou a criação do Programa de Formação e Mobilização Social para a Convivência com o Semiárido: Um Milhão de Cisternas Rurais (P1MC) (</w:t>
      </w:r>
      <w:r w:rsidR="00872CEC" w:rsidRPr="00917807">
        <w:rPr>
          <w:rFonts w:ascii="Candara" w:hAnsi="Candara" w:cs="Times New Roman"/>
          <w:sz w:val="20"/>
          <w:szCs w:val="20"/>
        </w:rPr>
        <w:t>Conti; Schroeder</w:t>
      </w:r>
      <w:r w:rsidRPr="00917807">
        <w:rPr>
          <w:rFonts w:ascii="Candara" w:hAnsi="Candara" w:cs="Times New Roman"/>
          <w:sz w:val="20"/>
          <w:szCs w:val="20"/>
        </w:rPr>
        <w:t>, 2013).</w:t>
      </w:r>
    </w:p>
  </w:footnote>
  <w:footnote w:id="9">
    <w:p w14:paraId="365E7909" w14:textId="0AA1CC23" w:rsidR="00843810" w:rsidRPr="00917807" w:rsidRDefault="00843810" w:rsidP="00DA2FFC">
      <w:pPr>
        <w:pStyle w:val="SemEspaamento"/>
        <w:spacing w:after="120"/>
        <w:jc w:val="both"/>
        <w:rPr>
          <w:rFonts w:ascii="Candara" w:hAnsi="Candara" w:cs="Times New Roman"/>
          <w:sz w:val="20"/>
          <w:szCs w:val="20"/>
        </w:rPr>
      </w:pPr>
      <w:r w:rsidRPr="00917807">
        <w:rPr>
          <w:rStyle w:val="Refdenotaderodap"/>
          <w:rFonts w:ascii="Candara" w:hAnsi="Candara" w:cs="Times New Roman"/>
          <w:sz w:val="20"/>
          <w:szCs w:val="20"/>
        </w:rPr>
        <w:footnoteRef/>
      </w:r>
      <w:r w:rsidRPr="00917807">
        <w:rPr>
          <w:rFonts w:ascii="Candara" w:hAnsi="Candara" w:cs="Times New Roman"/>
          <w:sz w:val="20"/>
          <w:szCs w:val="20"/>
        </w:rPr>
        <w:t xml:space="preserve"> Nesse sentido foram criados o FNE e o Fundo de Desenvolvimento do Nordeste (FDNE) (</w:t>
      </w:r>
      <w:r w:rsidR="00872CEC" w:rsidRPr="00917807">
        <w:rPr>
          <w:rFonts w:ascii="Candara" w:hAnsi="Candara" w:cs="Times New Roman"/>
          <w:sz w:val="20"/>
          <w:szCs w:val="20"/>
        </w:rPr>
        <w:t>Carvalho, 2018</w:t>
      </w:r>
      <w:r w:rsidRPr="00917807">
        <w:rPr>
          <w:rFonts w:ascii="Candara" w:hAnsi="Candara" w:cs="Times New Roman"/>
          <w:sz w:val="20"/>
          <w:szCs w:val="20"/>
        </w:rPr>
        <w:t>).</w:t>
      </w:r>
    </w:p>
  </w:footnote>
  <w:footnote w:id="10">
    <w:p w14:paraId="61561659" w14:textId="25BF9863" w:rsidR="00843810" w:rsidRPr="00917807" w:rsidRDefault="00843810" w:rsidP="00DA2FFC">
      <w:pPr>
        <w:pStyle w:val="SemEspaamento"/>
        <w:spacing w:after="120"/>
        <w:jc w:val="both"/>
        <w:rPr>
          <w:rFonts w:ascii="Candara" w:hAnsi="Candara" w:cs="Times New Roman"/>
          <w:sz w:val="20"/>
          <w:szCs w:val="20"/>
        </w:rPr>
      </w:pPr>
      <w:r w:rsidRPr="00917807">
        <w:rPr>
          <w:rStyle w:val="Refdenotaderodap"/>
          <w:rFonts w:ascii="Candara" w:hAnsi="Candara" w:cs="Times New Roman"/>
          <w:sz w:val="20"/>
          <w:szCs w:val="20"/>
        </w:rPr>
        <w:footnoteRef/>
      </w:r>
      <w:r w:rsidRPr="00917807">
        <w:rPr>
          <w:rFonts w:ascii="Candara" w:hAnsi="Candara" w:cs="Times New Roman"/>
          <w:sz w:val="20"/>
          <w:szCs w:val="20"/>
        </w:rPr>
        <w:t xml:space="preserve"> Nesse sentido, foram criados o Sistema Único de Saúde (SUS), o Benefício de Prestação Continuada (BPC) e o reconhecimento do estatuto previdenciário através do Regime Geral da Previdência Social (RGPS) (</w:t>
      </w:r>
      <w:r w:rsidR="00872CEC" w:rsidRPr="00917807">
        <w:rPr>
          <w:rFonts w:ascii="Candara" w:hAnsi="Candara" w:cs="Times New Roman"/>
          <w:sz w:val="20"/>
          <w:szCs w:val="20"/>
        </w:rPr>
        <w:t>Carvalho, 2018</w:t>
      </w:r>
      <w:r w:rsidRPr="00917807">
        <w:rPr>
          <w:rFonts w:ascii="Candara" w:hAnsi="Candara" w:cs="Times New Roman"/>
          <w:sz w:val="20"/>
          <w:szCs w:val="20"/>
        </w:rPr>
        <w:t>).</w:t>
      </w:r>
    </w:p>
  </w:footnote>
  <w:footnote w:id="11">
    <w:p w14:paraId="3EA44A7F" w14:textId="671215D8" w:rsidR="00843810" w:rsidRPr="00917807" w:rsidRDefault="00843810" w:rsidP="00DA2FFC">
      <w:pPr>
        <w:pStyle w:val="SemEspaamento"/>
        <w:spacing w:after="120"/>
        <w:jc w:val="both"/>
        <w:rPr>
          <w:rFonts w:ascii="Candara" w:hAnsi="Candara" w:cs="Times New Roman"/>
          <w:sz w:val="20"/>
          <w:szCs w:val="20"/>
        </w:rPr>
      </w:pPr>
      <w:r w:rsidRPr="00917807">
        <w:rPr>
          <w:rStyle w:val="Refdenotaderodap"/>
          <w:rFonts w:ascii="Candara" w:hAnsi="Candara" w:cs="Times New Roman"/>
          <w:sz w:val="20"/>
          <w:szCs w:val="20"/>
        </w:rPr>
        <w:footnoteRef/>
      </w:r>
      <w:r w:rsidRPr="00917807">
        <w:rPr>
          <w:rFonts w:ascii="Candara" w:hAnsi="Candara" w:cs="Times New Roman"/>
          <w:sz w:val="20"/>
          <w:szCs w:val="20"/>
        </w:rPr>
        <w:t xml:space="preserve"> Destaque também para as políticas estaduais, fundamentais na manutenção do desenvolvimento de regiões específicas, através programas e ações estratégias no processo de interiorização do desenvolvimento (</w:t>
      </w:r>
      <w:r w:rsidR="00872CEC" w:rsidRPr="00917807">
        <w:rPr>
          <w:rFonts w:ascii="Candara" w:hAnsi="Candara" w:cs="Times New Roman"/>
          <w:sz w:val="20"/>
          <w:szCs w:val="20"/>
        </w:rPr>
        <w:t>Limoeiro, 2014</w:t>
      </w:r>
      <w:r w:rsidRPr="00917807">
        <w:rPr>
          <w:rFonts w:ascii="Candara" w:hAnsi="Candara" w:cs="Times New Roman"/>
          <w:sz w:val="20"/>
          <w:szCs w:val="20"/>
        </w:rPr>
        <w:t>).</w:t>
      </w:r>
    </w:p>
  </w:footnote>
  <w:footnote w:id="12">
    <w:p w14:paraId="3FCAAEC5" w14:textId="77777777" w:rsidR="00843810" w:rsidRPr="00917807" w:rsidRDefault="00843810" w:rsidP="00DA2FFC">
      <w:pPr>
        <w:pStyle w:val="SemEspaamento"/>
        <w:spacing w:after="120"/>
        <w:jc w:val="both"/>
        <w:rPr>
          <w:rFonts w:ascii="Candara" w:hAnsi="Candara" w:cs="Times New Roman"/>
          <w:sz w:val="20"/>
          <w:szCs w:val="20"/>
        </w:rPr>
      </w:pPr>
      <w:r w:rsidRPr="00917807">
        <w:rPr>
          <w:rStyle w:val="Refdenotaderodap"/>
          <w:rFonts w:ascii="Candara" w:hAnsi="Candara" w:cs="Times New Roman"/>
          <w:sz w:val="20"/>
          <w:szCs w:val="20"/>
        </w:rPr>
        <w:footnoteRef/>
      </w:r>
      <w:r w:rsidRPr="00917807">
        <w:rPr>
          <w:rFonts w:ascii="Candara" w:hAnsi="Candara" w:cs="Times New Roman"/>
          <w:sz w:val="20"/>
          <w:szCs w:val="20"/>
        </w:rPr>
        <w:t xml:space="preserve"> Com a intensificação das migrações de curta distância, através dos fluxos intrarregionais e intraestaduais.</w:t>
      </w:r>
    </w:p>
  </w:footnote>
  <w:footnote w:id="13">
    <w:p w14:paraId="1243E4AB" w14:textId="77777777" w:rsidR="00843810" w:rsidRPr="00917807" w:rsidRDefault="00843810" w:rsidP="00DA2FFC">
      <w:pPr>
        <w:pStyle w:val="SemEspaamento"/>
        <w:spacing w:after="120"/>
        <w:jc w:val="both"/>
        <w:rPr>
          <w:rFonts w:ascii="Candara" w:hAnsi="Candara" w:cs="Times New Roman"/>
          <w:sz w:val="20"/>
          <w:szCs w:val="20"/>
        </w:rPr>
      </w:pPr>
      <w:r w:rsidRPr="00917807">
        <w:rPr>
          <w:rStyle w:val="Refdenotaderodap"/>
          <w:rFonts w:ascii="Candara" w:hAnsi="Candara" w:cs="Times New Roman"/>
          <w:sz w:val="20"/>
          <w:szCs w:val="20"/>
        </w:rPr>
        <w:footnoteRef/>
      </w:r>
      <w:r w:rsidRPr="00917807">
        <w:rPr>
          <w:rFonts w:ascii="Candara" w:hAnsi="Candara" w:cs="Times New Roman"/>
          <w:sz w:val="20"/>
          <w:szCs w:val="20"/>
        </w:rPr>
        <w:t xml:space="preserve"> Frisando o período pandêmico 2020/21, que está inserido na análise, mas não será explorado.</w:t>
      </w:r>
    </w:p>
  </w:footnote>
  <w:footnote w:id="14">
    <w:p w14:paraId="6732D7E8" w14:textId="77777777" w:rsidR="009F4404" w:rsidRPr="00917807" w:rsidRDefault="009F4404" w:rsidP="00DA2FFC">
      <w:pPr>
        <w:pStyle w:val="SemEspaamento"/>
        <w:spacing w:after="120"/>
        <w:jc w:val="both"/>
        <w:rPr>
          <w:rFonts w:ascii="Candara" w:hAnsi="Candara" w:cs="Times New Roman"/>
          <w:sz w:val="20"/>
          <w:szCs w:val="20"/>
        </w:rPr>
      </w:pPr>
      <w:r w:rsidRPr="00917807">
        <w:rPr>
          <w:rStyle w:val="Refdenotaderodap"/>
          <w:rFonts w:ascii="Candara" w:hAnsi="Candara" w:cs="Times New Roman"/>
          <w:sz w:val="20"/>
          <w:szCs w:val="20"/>
        </w:rPr>
        <w:footnoteRef/>
      </w:r>
      <w:r w:rsidRPr="00917807">
        <w:rPr>
          <w:rFonts w:ascii="Candara" w:hAnsi="Candara" w:cs="Times New Roman"/>
          <w:sz w:val="20"/>
          <w:szCs w:val="20"/>
        </w:rPr>
        <w:t xml:space="preserve"> Mesmo usando esta variável, cabe destacar que o PIB per capita não capta efetivamente o desenvolvimento econômico de determinado território, pela pouca profundidade sobre o objeto analisado. A análise que segue é de cunho geral.</w:t>
      </w:r>
    </w:p>
  </w:footnote>
  <w:footnote w:id="15">
    <w:p w14:paraId="51B62101" w14:textId="142091E6" w:rsidR="00EB5BC0" w:rsidRPr="00917807" w:rsidRDefault="00EB5BC0" w:rsidP="00DA2FFC">
      <w:pPr>
        <w:pStyle w:val="Textodenotaderodap"/>
        <w:spacing w:after="120"/>
        <w:jc w:val="both"/>
        <w:rPr>
          <w:rFonts w:ascii="Candara" w:hAnsi="Candara"/>
        </w:rPr>
      </w:pPr>
      <w:r w:rsidRPr="00917807">
        <w:rPr>
          <w:rStyle w:val="Refdenotaderodap"/>
          <w:rFonts w:ascii="Candara" w:hAnsi="Candara"/>
        </w:rPr>
        <w:footnoteRef/>
      </w:r>
      <w:r w:rsidRPr="00917807">
        <w:rPr>
          <w:rFonts w:ascii="Candara" w:hAnsi="Candara"/>
        </w:rPr>
        <w:t xml:space="preserve"> Optou-se por utilizar os dados do mercado de trabalho formal até 2019, diante da mudança de metodologia do CAGED, a partir da Portaria da Secretaria Especial de Previdência e Trabalho do Ministério da Economia (SEPRT/ ME) nº 1.127/2019, passando a vigorar a partir de 2020 (</w:t>
      </w:r>
      <w:r w:rsidR="00872CEC" w:rsidRPr="00917807">
        <w:rPr>
          <w:rFonts w:ascii="Candara" w:hAnsi="Candara"/>
        </w:rPr>
        <w:t xml:space="preserve">Almeida, 2020; Martello; Gerbelli, </w:t>
      </w:r>
      <w:r w:rsidRPr="00917807">
        <w:rPr>
          <w:rFonts w:ascii="Candara" w:hAnsi="Candara"/>
        </w:rPr>
        <w:t>2021).</w:t>
      </w:r>
    </w:p>
  </w:footnote>
  <w:footnote w:id="16">
    <w:p w14:paraId="794E357A" w14:textId="448DC721" w:rsidR="00A94C9F" w:rsidRPr="00917807" w:rsidRDefault="00A94C9F" w:rsidP="00DA2FFC">
      <w:pPr>
        <w:pStyle w:val="Textodenotaderodap"/>
        <w:spacing w:after="120"/>
        <w:jc w:val="both"/>
        <w:rPr>
          <w:rFonts w:ascii="Candara" w:hAnsi="Candara"/>
        </w:rPr>
      </w:pPr>
      <w:r w:rsidRPr="00917807">
        <w:rPr>
          <w:rStyle w:val="Refdenotaderodap"/>
          <w:rFonts w:ascii="Candara" w:hAnsi="Candara"/>
        </w:rPr>
        <w:footnoteRef/>
      </w:r>
      <w:r w:rsidRPr="00917807">
        <w:rPr>
          <w:rFonts w:ascii="Candara" w:hAnsi="Candara"/>
        </w:rPr>
        <w:t xml:space="preserve"> </w:t>
      </w:r>
      <w:r w:rsidRPr="00917807">
        <w:rPr>
          <w:rFonts w:ascii="Candara" w:eastAsia="Candara" w:hAnsi="Candara" w:cs="Candara"/>
        </w:rPr>
        <w:t>Padrão fundamentado na expansão do agronegócio e da indústria extrativa, intensivas em recursos naturais e diretamente conectadas ao mercado internacional, sob a hegemonia do capital financeiro (</w:t>
      </w:r>
      <w:r w:rsidR="00872CEC" w:rsidRPr="00917807">
        <w:rPr>
          <w:rFonts w:ascii="Candara" w:eastAsia="Candara" w:hAnsi="Candara" w:cs="Candara"/>
        </w:rPr>
        <w:t>Macedo</w:t>
      </w:r>
      <w:r w:rsidRPr="00917807">
        <w:rPr>
          <w:rFonts w:ascii="Candara" w:eastAsia="Candara" w:hAnsi="Candara" w:cs="Candara"/>
        </w:rPr>
        <w:t>, 2023).</w:t>
      </w:r>
    </w:p>
  </w:footnote>
  <w:footnote w:id="17">
    <w:p w14:paraId="2491D033" w14:textId="13003048" w:rsidR="009F4404" w:rsidRPr="00B54AC2" w:rsidRDefault="009F4404" w:rsidP="00B54AC2">
      <w:pPr>
        <w:pStyle w:val="SemEspaamento"/>
        <w:spacing w:after="120"/>
        <w:jc w:val="both"/>
        <w:rPr>
          <w:rFonts w:ascii="Candara" w:hAnsi="Candara" w:cs="Times New Roman"/>
          <w:sz w:val="20"/>
          <w:szCs w:val="20"/>
        </w:rPr>
      </w:pPr>
      <w:r w:rsidRPr="00917807">
        <w:rPr>
          <w:rStyle w:val="Refdenotaderodap"/>
          <w:rFonts w:ascii="Candara" w:hAnsi="Candara" w:cs="Times New Roman"/>
          <w:sz w:val="20"/>
          <w:szCs w:val="20"/>
        </w:rPr>
        <w:footnoteRef/>
      </w:r>
      <w:r w:rsidRPr="00917807">
        <w:rPr>
          <w:rFonts w:ascii="Candara" w:hAnsi="Candara" w:cs="Times New Roman"/>
          <w:sz w:val="20"/>
          <w:szCs w:val="20"/>
        </w:rPr>
        <w:t xml:space="preserve"> Tânia Bacelar faz essa distinção, atestando que as ditas políticas regionais implícitas são as políticas setoriais numa perspectiva territorial – interiorização do ensino superior – e as políticas regionais explícitas são elaboradas para debater e enfrentar a questão regional no Brasil, (</w:t>
      </w:r>
      <w:r w:rsidR="00872CEC" w:rsidRPr="00917807">
        <w:rPr>
          <w:rFonts w:ascii="Candara" w:hAnsi="Candara" w:cs="Times New Roman"/>
          <w:sz w:val="20"/>
          <w:szCs w:val="20"/>
        </w:rPr>
        <w:t>Silva</w:t>
      </w:r>
      <w:r w:rsidRPr="00917807">
        <w:rPr>
          <w:rFonts w:ascii="Candara" w:hAnsi="Candara" w:cs="Times New Roman"/>
          <w:sz w:val="20"/>
          <w:szCs w:val="20"/>
        </w:rPr>
        <w:t>,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9FFA" w14:textId="77777777" w:rsidR="005B483D" w:rsidRDefault="00A66DB6">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9264" behindDoc="0" locked="0" layoutInCell="1" hidden="0" allowOverlap="1" wp14:anchorId="07B52D41" wp14:editId="4C95C67E">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2C452C03" w14:textId="77777777" w:rsidR="005B483D" w:rsidRDefault="00A66DB6">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74B64208" w14:textId="77777777" w:rsidR="005B483D" w:rsidRDefault="00000000">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49217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4C"/>
    <w:rsid w:val="00016C2F"/>
    <w:rsid w:val="000269F4"/>
    <w:rsid w:val="000727A8"/>
    <w:rsid w:val="00094639"/>
    <w:rsid w:val="000B7114"/>
    <w:rsid w:val="000C668E"/>
    <w:rsid w:val="00112105"/>
    <w:rsid w:val="00133C22"/>
    <w:rsid w:val="00150E4C"/>
    <w:rsid w:val="001828C2"/>
    <w:rsid w:val="00187E8A"/>
    <w:rsid w:val="00190775"/>
    <w:rsid w:val="001D33CC"/>
    <w:rsid w:val="001E65E8"/>
    <w:rsid w:val="00200230"/>
    <w:rsid w:val="00264726"/>
    <w:rsid w:val="00264BD4"/>
    <w:rsid w:val="00282622"/>
    <w:rsid w:val="00362348"/>
    <w:rsid w:val="00364F8A"/>
    <w:rsid w:val="003920BD"/>
    <w:rsid w:val="003A16F8"/>
    <w:rsid w:val="003B12B9"/>
    <w:rsid w:val="003C192A"/>
    <w:rsid w:val="003F1FEB"/>
    <w:rsid w:val="00502F10"/>
    <w:rsid w:val="00527CFB"/>
    <w:rsid w:val="00537DBD"/>
    <w:rsid w:val="00582030"/>
    <w:rsid w:val="005A56BB"/>
    <w:rsid w:val="005B4981"/>
    <w:rsid w:val="005C6A80"/>
    <w:rsid w:val="005E3456"/>
    <w:rsid w:val="0066277A"/>
    <w:rsid w:val="006B531E"/>
    <w:rsid w:val="007963C1"/>
    <w:rsid w:val="007A5957"/>
    <w:rsid w:val="007B7D73"/>
    <w:rsid w:val="007E6B9E"/>
    <w:rsid w:val="007F653F"/>
    <w:rsid w:val="00837A1F"/>
    <w:rsid w:val="00843810"/>
    <w:rsid w:val="00872CEC"/>
    <w:rsid w:val="00905316"/>
    <w:rsid w:val="00917807"/>
    <w:rsid w:val="00957B61"/>
    <w:rsid w:val="009C48B7"/>
    <w:rsid w:val="009F4404"/>
    <w:rsid w:val="00A319D2"/>
    <w:rsid w:val="00A44D72"/>
    <w:rsid w:val="00A56115"/>
    <w:rsid w:val="00A6573A"/>
    <w:rsid w:val="00A66DB6"/>
    <w:rsid w:val="00A87183"/>
    <w:rsid w:val="00A94C9F"/>
    <w:rsid w:val="00AA0BAC"/>
    <w:rsid w:val="00AC12B6"/>
    <w:rsid w:val="00AD6DA9"/>
    <w:rsid w:val="00B54AC2"/>
    <w:rsid w:val="00B71AF9"/>
    <w:rsid w:val="00BB78F6"/>
    <w:rsid w:val="00BE1F52"/>
    <w:rsid w:val="00C01BA6"/>
    <w:rsid w:val="00C76CDF"/>
    <w:rsid w:val="00CA6E66"/>
    <w:rsid w:val="00CC490E"/>
    <w:rsid w:val="00CF759B"/>
    <w:rsid w:val="00D141FC"/>
    <w:rsid w:val="00DA2FFC"/>
    <w:rsid w:val="00E12762"/>
    <w:rsid w:val="00E610F3"/>
    <w:rsid w:val="00E762C0"/>
    <w:rsid w:val="00EB4BAA"/>
    <w:rsid w:val="00EB5BC0"/>
    <w:rsid w:val="00EC0F41"/>
    <w:rsid w:val="00EC37A0"/>
    <w:rsid w:val="00EE0123"/>
    <w:rsid w:val="00F15430"/>
    <w:rsid w:val="00F670F1"/>
    <w:rsid w:val="00FE164F"/>
    <w:rsid w:val="00FF41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430F"/>
  <w15:chartTrackingRefBased/>
  <w15:docId w15:val="{B725E2C2-BC17-4A38-8AFB-53F202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50E4C"/>
    <w:rPr>
      <w:rFonts w:ascii="Calibri" w:eastAsia="Calibri" w:hAnsi="Calibri" w:cs="Calibri"/>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rsid w:val="00150E4C"/>
    <w:pPr>
      <w:keepNext/>
      <w:keepLines/>
      <w:spacing w:before="480" w:after="120"/>
    </w:pPr>
    <w:rPr>
      <w:b/>
      <w:sz w:val="72"/>
      <w:szCs w:val="72"/>
    </w:rPr>
  </w:style>
  <w:style w:type="character" w:customStyle="1" w:styleId="TtuloChar">
    <w:name w:val="Título Char"/>
    <w:basedOn w:val="Fontepargpadro"/>
    <w:link w:val="Ttulo"/>
    <w:rsid w:val="00150E4C"/>
    <w:rPr>
      <w:rFonts w:ascii="Calibri" w:eastAsia="Calibri" w:hAnsi="Calibri" w:cs="Calibri"/>
      <w:b/>
      <w:sz w:val="72"/>
      <w:szCs w:val="72"/>
      <w:lang w:eastAsia="pt-BR"/>
    </w:rPr>
  </w:style>
  <w:style w:type="paragraph" w:styleId="SemEspaamento">
    <w:name w:val="No Spacing"/>
    <w:uiPriority w:val="1"/>
    <w:qFormat/>
    <w:rsid w:val="00150E4C"/>
    <w:pPr>
      <w:spacing w:after="0" w:line="240" w:lineRule="auto"/>
    </w:pPr>
  </w:style>
  <w:style w:type="character" w:styleId="Refdenotaderodap">
    <w:name w:val="footnote reference"/>
    <w:basedOn w:val="Fontepargpadro"/>
    <w:uiPriority w:val="99"/>
    <w:unhideWhenUsed/>
    <w:rsid w:val="00150E4C"/>
    <w:rPr>
      <w:vertAlign w:val="superscript"/>
    </w:rPr>
  </w:style>
  <w:style w:type="paragraph" w:styleId="Textodenotaderodap">
    <w:name w:val="footnote text"/>
    <w:basedOn w:val="Normal"/>
    <w:link w:val="TextodenotaderodapChar"/>
    <w:uiPriority w:val="99"/>
    <w:semiHidden/>
    <w:unhideWhenUsed/>
    <w:rsid w:val="00150E4C"/>
    <w:pPr>
      <w:spacing w:after="0"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150E4C"/>
    <w:rPr>
      <w:sz w:val="20"/>
      <w:szCs w:val="20"/>
    </w:rPr>
  </w:style>
  <w:style w:type="character" w:styleId="Hyperlink">
    <w:name w:val="Hyperlink"/>
    <w:basedOn w:val="Fontepargpadro"/>
    <w:uiPriority w:val="99"/>
    <w:unhideWhenUsed/>
    <w:rsid w:val="005A56BB"/>
    <w:rPr>
      <w:color w:val="0563C1" w:themeColor="hyperlink"/>
      <w:u w:val="single"/>
    </w:rPr>
  </w:style>
  <w:style w:type="character" w:styleId="MenoPendente">
    <w:name w:val="Unresolved Mention"/>
    <w:basedOn w:val="Fontepargpadro"/>
    <w:uiPriority w:val="99"/>
    <w:semiHidden/>
    <w:unhideWhenUsed/>
    <w:rsid w:val="005A5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013188">
      <w:bodyDiv w:val="1"/>
      <w:marLeft w:val="0"/>
      <w:marRight w:val="0"/>
      <w:marTop w:val="0"/>
      <w:marBottom w:val="0"/>
      <w:divBdr>
        <w:top w:val="none" w:sz="0" w:space="0" w:color="auto"/>
        <w:left w:val="none" w:sz="0" w:space="0" w:color="auto"/>
        <w:bottom w:val="none" w:sz="0" w:space="0" w:color="auto"/>
        <w:right w:val="none" w:sz="0" w:space="0" w:color="auto"/>
      </w:divBdr>
    </w:div>
    <w:div w:id="191497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1.globo.com/economia/noticia/2021/04/28/serie-historica-do-emprego-formal-nao-pode-ser-comparada-com-novo-caged-dizem-analistas.g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insa/pt-br/centrais-de-conteudo/mapas/mapas-em-pdf/delimitacao-do-semiarido-brasileiro-2024.pdf/vie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leis/l7827.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indows\Desktop\Base%20de%20dados%20FNE\Dados%20recursos%20FNE%20completos%20Semi&#225;rido%20Nordestin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Planilha1!$A$2</c:f>
              <c:strCache>
                <c:ptCount val="1"/>
                <c:pt idx="0">
                  <c:v>Semiárido Nordestino</c:v>
                </c:pt>
              </c:strCache>
            </c:strRef>
          </c:tx>
          <c:spPr>
            <a:solidFill>
              <a:schemeClr val="accent1"/>
            </a:solidFill>
            <a:ln>
              <a:noFill/>
            </a:ln>
            <a:effectLst/>
          </c:spPr>
          <c:invertIfNegative val="0"/>
          <c:cat>
            <c:numRef>
              <c:f>Planilha1!$B$1:$U$1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Planilha1!$B$2:$U$2</c:f>
              <c:numCache>
                <c:formatCode>#,##0.00</c:formatCode>
                <c:ptCount val="20"/>
                <c:pt idx="0">
                  <c:v>268661062.09564799</c:v>
                </c:pt>
                <c:pt idx="1">
                  <c:v>279638897.11764371</c:v>
                </c:pt>
                <c:pt idx="2">
                  <c:v>278295380.56423175</c:v>
                </c:pt>
                <c:pt idx="3">
                  <c:v>287584493.30680496</c:v>
                </c:pt>
                <c:pt idx="4">
                  <c:v>305726969.63502181</c:v>
                </c:pt>
                <c:pt idx="5">
                  <c:v>317777657.82276803</c:v>
                </c:pt>
                <c:pt idx="6">
                  <c:v>345325261.3306185</c:v>
                </c:pt>
                <c:pt idx="7">
                  <c:v>346961151.96454078</c:v>
                </c:pt>
                <c:pt idx="8">
                  <c:v>378378747.12185591</c:v>
                </c:pt>
                <c:pt idx="9">
                  <c:v>395036114.72093832</c:v>
                </c:pt>
                <c:pt idx="10">
                  <c:v>408404415.63477778</c:v>
                </c:pt>
                <c:pt idx="11">
                  <c:v>415990916.54120988</c:v>
                </c:pt>
                <c:pt idx="12">
                  <c:v>439619979.40273976</c:v>
                </c:pt>
                <c:pt idx="13">
                  <c:v>432554608.69348073</c:v>
                </c:pt>
                <c:pt idx="14">
                  <c:v>424331336.14564687</c:v>
                </c:pt>
                <c:pt idx="15">
                  <c:v>426775213.1453889</c:v>
                </c:pt>
                <c:pt idx="16">
                  <c:v>439711535.1403954</c:v>
                </c:pt>
                <c:pt idx="17">
                  <c:v>446017690.37507218</c:v>
                </c:pt>
                <c:pt idx="18">
                  <c:v>457568249.10411352</c:v>
                </c:pt>
                <c:pt idx="19">
                  <c:v>490254118</c:v>
                </c:pt>
              </c:numCache>
            </c:numRef>
          </c:val>
          <c:extLst>
            <c:ext xmlns:c16="http://schemas.microsoft.com/office/drawing/2014/chart" uri="{C3380CC4-5D6E-409C-BE32-E72D297353CC}">
              <c16:uniqueId val="{00000000-59A8-487D-92A1-57966159DBE2}"/>
            </c:ext>
          </c:extLst>
        </c:ser>
        <c:ser>
          <c:idx val="1"/>
          <c:order val="1"/>
          <c:tx>
            <c:strRef>
              <c:f>Planilha1!$A$3</c:f>
              <c:strCache>
                <c:ptCount val="1"/>
                <c:pt idx="0">
                  <c:v>Semiárido Brasileiro</c:v>
                </c:pt>
              </c:strCache>
            </c:strRef>
          </c:tx>
          <c:spPr>
            <a:solidFill>
              <a:schemeClr val="accent2"/>
            </a:solidFill>
            <a:ln>
              <a:noFill/>
            </a:ln>
            <a:effectLst/>
          </c:spPr>
          <c:invertIfNegative val="0"/>
          <c:cat>
            <c:numRef>
              <c:f>Planilha1!$B$1:$U$1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Planilha1!$B$3:$U$3</c:f>
              <c:numCache>
                <c:formatCode>#,##0.00</c:formatCode>
                <c:ptCount val="20"/>
                <c:pt idx="0">
                  <c:v>311184988.29894471</c:v>
                </c:pt>
                <c:pt idx="1">
                  <c:v>324002787.9540357</c:v>
                </c:pt>
                <c:pt idx="2">
                  <c:v>322446635.61468971</c:v>
                </c:pt>
                <c:pt idx="3">
                  <c:v>334183216.39737993</c:v>
                </c:pt>
                <c:pt idx="4">
                  <c:v>354129360.27715075</c:v>
                </c:pt>
                <c:pt idx="5">
                  <c:v>368743864.76779896</c:v>
                </c:pt>
                <c:pt idx="6">
                  <c:v>399117301.74739081</c:v>
                </c:pt>
                <c:pt idx="7">
                  <c:v>399945626.36466235</c:v>
                </c:pt>
                <c:pt idx="8">
                  <c:v>435278108.9722206</c:v>
                </c:pt>
                <c:pt idx="9">
                  <c:v>454266946.40164244</c:v>
                </c:pt>
                <c:pt idx="10">
                  <c:v>471853270.29098654</c:v>
                </c:pt>
                <c:pt idx="11">
                  <c:v>479288450.34031409</c:v>
                </c:pt>
                <c:pt idx="12">
                  <c:v>504192750.94160497</c:v>
                </c:pt>
                <c:pt idx="13">
                  <c:v>495042721.3547563</c:v>
                </c:pt>
                <c:pt idx="14">
                  <c:v>486987569.24864906</c:v>
                </c:pt>
                <c:pt idx="15">
                  <c:v>486315008.54857379</c:v>
                </c:pt>
                <c:pt idx="16">
                  <c:v>501004374.23920625</c:v>
                </c:pt>
                <c:pt idx="17">
                  <c:v>508167330.65506983</c:v>
                </c:pt>
                <c:pt idx="18">
                  <c:v>520938239.45589</c:v>
                </c:pt>
                <c:pt idx="19">
                  <c:v>557793273</c:v>
                </c:pt>
              </c:numCache>
            </c:numRef>
          </c:val>
          <c:extLst>
            <c:ext xmlns:c16="http://schemas.microsoft.com/office/drawing/2014/chart" uri="{C3380CC4-5D6E-409C-BE32-E72D297353CC}">
              <c16:uniqueId val="{00000001-59A8-487D-92A1-57966159DBE2}"/>
            </c:ext>
          </c:extLst>
        </c:ser>
        <c:dLbls>
          <c:showLegendKey val="0"/>
          <c:showVal val="0"/>
          <c:showCatName val="0"/>
          <c:showSerName val="0"/>
          <c:showPercent val="0"/>
          <c:showBubbleSize val="0"/>
        </c:dLbls>
        <c:gapWidth val="150"/>
        <c:axId val="1290601568"/>
        <c:axId val="1290603008"/>
      </c:barChart>
      <c:lineChart>
        <c:grouping val="standard"/>
        <c:varyColors val="0"/>
        <c:ser>
          <c:idx val="2"/>
          <c:order val="2"/>
          <c:tx>
            <c:strRef>
              <c:f>Planilha1!$A$4</c:f>
              <c:strCache>
                <c:ptCount val="1"/>
                <c:pt idx="0">
                  <c:v>Região Nordeste</c:v>
                </c:pt>
              </c:strCache>
            </c:strRef>
          </c:tx>
          <c:spPr>
            <a:ln w="28575" cap="rnd">
              <a:solidFill>
                <a:schemeClr val="accent3"/>
              </a:solidFill>
              <a:round/>
            </a:ln>
            <a:effectLst/>
          </c:spPr>
          <c:marker>
            <c:symbol val="none"/>
          </c:marker>
          <c:cat>
            <c:numRef>
              <c:f>Planilha1!$B$1:$U$1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Planilha1!$B$4:$U$4</c:f>
              <c:numCache>
                <c:formatCode>#,##0.00</c:formatCode>
                <c:ptCount val="20"/>
                <c:pt idx="0">
                  <c:v>770172198.8789928</c:v>
                </c:pt>
                <c:pt idx="1">
                  <c:v>794051487.96725416</c:v>
                </c:pt>
                <c:pt idx="2">
                  <c:v>794294679.32920253</c:v>
                </c:pt>
                <c:pt idx="3">
                  <c:v>828269228.02296567</c:v>
                </c:pt>
                <c:pt idx="4">
                  <c:v>866655495.66398621</c:v>
                </c:pt>
                <c:pt idx="5">
                  <c:v>904706880.78232849</c:v>
                </c:pt>
                <c:pt idx="6">
                  <c:v>973996867.60244703</c:v>
                </c:pt>
                <c:pt idx="7">
                  <c:v>996384555.51256049</c:v>
                </c:pt>
                <c:pt idx="8">
                  <c:v>1074076344.001946</c:v>
                </c:pt>
                <c:pt idx="9">
                  <c:v>1105549542.5106084</c:v>
                </c:pt>
                <c:pt idx="10">
                  <c:v>1142502582.3185875</c:v>
                </c:pt>
                <c:pt idx="11">
                  <c:v>1174240180.8015568</c:v>
                </c:pt>
                <c:pt idx="12">
                  <c:v>1213742964.1792433</c:v>
                </c:pt>
                <c:pt idx="13">
                  <c:v>1186213763.267437</c:v>
                </c:pt>
                <c:pt idx="14">
                  <c:v>1167470878.8880961</c:v>
                </c:pt>
                <c:pt idx="15">
                  <c:v>1146153605.828768</c:v>
                </c:pt>
                <c:pt idx="16">
                  <c:v>1165164302.6684208</c:v>
                </c:pt>
                <c:pt idx="17">
                  <c:v>1162707745.9586999</c:v>
                </c:pt>
                <c:pt idx="18">
                  <c:v>1149190727.7416277</c:v>
                </c:pt>
                <c:pt idx="19">
                  <c:v>1243103280</c:v>
                </c:pt>
              </c:numCache>
            </c:numRef>
          </c:val>
          <c:smooth val="0"/>
          <c:extLst>
            <c:ext xmlns:c16="http://schemas.microsoft.com/office/drawing/2014/chart" uri="{C3380CC4-5D6E-409C-BE32-E72D297353CC}">
              <c16:uniqueId val="{00000002-59A8-487D-92A1-57966159DBE2}"/>
            </c:ext>
          </c:extLst>
        </c:ser>
        <c:ser>
          <c:idx val="3"/>
          <c:order val="3"/>
          <c:tx>
            <c:strRef>
              <c:f>Planilha1!$A$5</c:f>
              <c:strCache>
                <c:ptCount val="1"/>
                <c:pt idx="0">
                  <c:v>Brasil</c:v>
                </c:pt>
              </c:strCache>
            </c:strRef>
          </c:tx>
          <c:spPr>
            <a:ln w="28575" cap="rnd">
              <a:solidFill>
                <a:schemeClr val="accent4"/>
              </a:solidFill>
              <a:round/>
            </a:ln>
            <a:effectLst/>
          </c:spPr>
          <c:marker>
            <c:symbol val="none"/>
          </c:marker>
          <c:cat>
            <c:numRef>
              <c:f>Planilha1!$B$1:$U$1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Planilha1!$B$5:$U$5</c:f>
              <c:numCache>
                <c:formatCode>#,##0.00</c:formatCode>
                <c:ptCount val="20"/>
                <c:pt idx="0">
                  <c:v>5884713183.4112797</c:v>
                </c:pt>
                <c:pt idx="1">
                  <c:v>6184554145.6366053</c:v>
                </c:pt>
                <c:pt idx="2">
                  <c:v>6177372839.5225792</c:v>
                </c:pt>
                <c:pt idx="3">
                  <c:v>6356198087.7946625</c:v>
                </c:pt>
                <c:pt idx="4">
                  <c:v>6567621285.1026659</c:v>
                </c:pt>
                <c:pt idx="5">
                  <c:v>6944395666.509409</c:v>
                </c:pt>
                <c:pt idx="6">
                  <c:v>7458569165.3172951</c:v>
                </c:pt>
                <c:pt idx="7">
                  <c:v>7348856937.6858549</c:v>
                </c:pt>
                <c:pt idx="8">
                  <c:v>7983820433.5136423</c:v>
                </c:pt>
                <c:pt idx="9">
                  <c:v>8293111640.4175119</c:v>
                </c:pt>
                <c:pt idx="10">
                  <c:v>8423138185.4296808</c:v>
                </c:pt>
                <c:pt idx="11">
                  <c:v>8640987769.4046288</c:v>
                </c:pt>
                <c:pt idx="12">
                  <c:v>8712173757.1344414</c:v>
                </c:pt>
                <c:pt idx="13">
                  <c:v>8381402145.1661596</c:v>
                </c:pt>
                <c:pt idx="14">
                  <c:v>8147338285.3910866</c:v>
                </c:pt>
                <c:pt idx="15">
                  <c:v>7916659242.4547787</c:v>
                </c:pt>
                <c:pt idx="16">
                  <c:v>8121767717.7051382</c:v>
                </c:pt>
                <c:pt idx="17">
                  <c:v>8199731499.4022999</c:v>
                </c:pt>
                <c:pt idx="18">
                  <c:v>8102128135.9328451</c:v>
                </c:pt>
                <c:pt idx="19">
                  <c:v>9012142000</c:v>
                </c:pt>
              </c:numCache>
            </c:numRef>
          </c:val>
          <c:smooth val="0"/>
          <c:extLst>
            <c:ext xmlns:c16="http://schemas.microsoft.com/office/drawing/2014/chart" uri="{C3380CC4-5D6E-409C-BE32-E72D297353CC}">
              <c16:uniqueId val="{00000003-59A8-487D-92A1-57966159DBE2}"/>
            </c:ext>
          </c:extLst>
        </c:ser>
        <c:dLbls>
          <c:showLegendKey val="0"/>
          <c:showVal val="0"/>
          <c:showCatName val="0"/>
          <c:showSerName val="0"/>
          <c:showPercent val="0"/>
          <c:showBubbleSize val="0"/>
        </c:dLbls>
        <c:marker val="1"/>
        <c:smooth val="0"/>
        <c:axId val="1290606368"/>
        <c:axId val="1290605888"/>
      </c:lineChart>
      <c:catAx>
        <c:axId val="129060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290603008"/>
        <c:crosses val="autoZero"/>
        <c:auto val="1"/>
        <c:lblAlgn val="ctr"/>
        <c:lblOffset val="100"/>
        <c:noMultiLvlLbl val="0"/>
      </c:catAx>
      <c:valAx>
        <c:axId val="129060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solidFill>
                      <a:sysClr val="windowText" lastClr="000000"/>
                    </a:solidFill>
                  </a:rPr>
                  <a:t>Semiáridos Nordestino e Brasileiro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290601568"/>
        <c:crosses val="autoZero"/>
        <c:crossBetween val="between"/>
      </c:valAx>
      <c:valAx>
        <c:axId val="12906058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solidFill>
                      <a:sysClr val="windowText" lastClr="000000"/>
                    </a:solidFill>
                  </a:rPr>
                  <a:t>Região</a:t>
                </a:r>
                <a:r>
                  <a:rPr lang="pt-BR" baseline="0">
                    <a:solidFill>
                      <a:sysClr val="windowText" lastClr="000000"/>
                    </a:solidFill>
                  </a:rPr>
                  <a:t> Nordeste e Brasil</a:t>
                </a:r>
                <a:endParaRPr lang="pt-BR">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290606368"/>
        <c:crosses val="max"/>
        <c:crossBetween val="between"/>
      </c:valAx>
      <c:catAx>
        <c:axId val="1290606368"/>
        <c:scaling>
          <c:orientation val="minMax"/>
        </c:scaling>
        <c:delete val="1"/>
        <c:axPos val="b"/>
        <c:numFmt formatCode="General" sourceLinked="1"/>
        <c:majorTickMark val="none"/>
        <c:minorTickMark val="none"/>
        <c:tickLblPos val="nextTo"/>
        <c:crossAx val="1290605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'Total Geral'!$A$4</c:f>
              <c:strCache>
                <c:ptCount val="1"/>
                <c:pt idx="0">
                  <c:v>Semiárido Nordestino</c:v>
                </c:pt>
              </c:strCache>
            </c:strRef>
          </c:tx>
          <c:spPr>
            <a:ln w="28575" cap="rnd">
              <a:solidFill>
                <a:schemeClr val="accent1"/>
              </a:solidFill>
              <a:round/>
            </a:ln>
            <a:effectLst/>
          </c:spPr>
          <c:marker>
            <c:symbol val="none"/>
          </c:marker>
          <c:cat>
            <c:numRef>
              <c:f>'Total Geral'!$B$3:$U$3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'Total Geral'!$B$4:$U$4</c:f>
              <c:numCache>
                <c:formatCode>#,##0.00</c:formatCode>
                <c:ptCount val="20"/>
                <c:pt idx="0">
                  <c:v>1125456393.1097343</c:v>
                </c:pt>
                <c:pt idx="1">
                  <c:v>385000757.18013561</c:v>
                </c:pt>
                <c:pt idx="2">
                  <c:v>373315199.67730391</c:v>
                </c:pt>
                <c:pt idx="3">
                  <c:v>1231376903.3568897</c:v>
                </c:pt>
                <c:pt idx="4">
                  <c:v>3212585637.4809217</c:v>
                </c:pt>
                <c:pt idx="5">
                  <c:v>3579775799.2351713</c:v>
                </c:pt>
                <c:pt idx="6">
                  <c:v>4932714633.1637411</c:v>
                </c:pt>
                <c:pt idx="7">
                  <c:v>3869406407.6126475</c:v>
                </c:pt>
                <c:pt idx="8">
                  <c:v>6727385998.0578756</c:v>
                </c:pt>
                <c:pt idx="9">
                  <c:v>7860538348.1183815</c:v>
                </c:pt>
                <c:pt idx="10">
                  <c:v>9439461206.1408634</c:v>
                </c:pt>
                <c:pt idx="11">
                  <c:v>8880033374.6169624</c:v>
                </c:pt>
                <c:pt idx="12">
                  <c:v>8735631155.9212322</c:v>
                </c:pt>
                <c:pt idx="13">
                  <c:v>8247905060.815691</c:v>
                </c:pt>
                <c:pt idx="14">
                  <c:v>7576650071.1625051</c:v>
                </c:pt>
                <c:pt idx="15">
                  <c:v>7226977678.8195143</c:v>
                </c:pt>
                <c:pt idx="16">
                  <c:v>6807758832.7638073</c:v>
                </c:pt>
                <c:pt idx="17">
                  <c:v>10716174872.143742</c:v>
                </c:pt>
                <c:pt idx="18">
                  <c:v>18171461598.609306</c:v>
                </c:pt>
                <c:pt idx="19">
                  <c:v>17130632949.659969</c:v>
                </c:pt>
              </c:numCache>
            </c:numRef>
          </c:val>
          <c:smooth val="0"/>
          <c:extLst>
            <c:ext xmlns:c16="http://schemas.microsoft.com/office/drawing/2014/chart" uri="{C3380CC4-5D6E-409C-BE32-E72D297353CC}">
              <c16:uniqueId val="{00000000-D492-40DE-9DCB-1E133D4870C2}"/>
            </c:ext>
          </c:extLst>
        </c:ser>
        <c:ser>
          <c:idx val="1"/>
          <c:order val="1"/>
          <c:tx>
            <c:strRef>
              <c:f>'Total Geral'!$A$5</c:f>
              <c:strCache>
                <c:ptCount val="1"/>
                <c:pt idx="0">
                  <c:v>Semiárido Brasileiro</c:v>
                </c:pt>
              </c:strCache>
            </c:strRef>
          </c:tx>
          <c:spPr>
            <a:ln w="28575" cap="rnd">
              <a:solidFill>
                <a:schemeClr val="accent2"/>
              </a:solidFill>
              <a:round/>
            </a:ln>
            <a:effectLst/>
          </c:spPr>
          <c:marker>
            <c:symbol val="none"/>
          </c:marker>
          <c:cat>
            <c:numRef>
              <c:f>'Total Geral'!$B$3:$U$3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'Total Geral'!$B$5:$U$5</c:f>
              <c:numCache>
                <c:formatCode>#,##0.00</c:formatCode>
                <c:ptCount val="20"/>
                <c:pt idx="0">
                  <c:v>1260047081.8664358</c:v>
                </c:pt>
                <c:pt idx="1">
                  <c:v>444130983.35954344</c:v>
                </c:pt>
                <c:pt idx="2">
                  <c:v>432823637.13429189</c:v>
                </c:pt>
                <c:pt idx="3">
                  <c:v>1298296896.0704408</c:v>
                </c:pt>
                <c:pt idx="4">
                  <c:v>3409907100.3857374</c:v>
                </c:pt>
                <c:pt idx="5">
                  <c:v>4103832572.5681405</c:v>
                </c:pt>
                <c:pt idx="6">
                  <c:v>5285027731.9630146</c:v>
                </c:pt>
                <c:pt idx="7">
                  <c:v>4230212386.7669344</c:v>
                </c:pt>
                <c:pt idx="8">
                  <c:v>7343495387.3032312</c:v>
                </c:pt>
                <c:pt idx="9">
                  <c:v>8383990569.7306767</c:v>
                </c:pt>
                <c:pt idx="10">
                  <c:v>10247952854.528749</c:v>
                </c:pt>
                <c:pt idx="11">
                  <c:v>9685555431.6587086</c:v>
                </c:pt>
                <c:pt idx="12">
                  <c:v>9736514281.4035511</c:v>
                </c:pt>
                <c:pt idx="13">
                  <c:v>9002750186.9809036</c:v>
                </c:pt>
                <c:pt idx="14">
                  <c:v>8298811773.4256268</c:v>
                </c:pt>
                <c:pt idx="15">
                  <c:v>8165966386.979744</c:v>
                </c:pt>
                <c:pt idx="16">
                  <c:v>7655337245.7666368</c:v>
                </c:pt>
                <c:pt idx="17">
                  <c:v>11409394751.531071</c:v>
                </c:pt>
                <c:pt idx="18">
                  <c:v>20674922530.465546</c:v>
                </c:pt>
                <c:pt idx="19">
                  <c:v>18871066685.409981</c:v>
                </c:pt>
              </c:numCache>
            </c:numRef>
          </c:val>
          <c:smooth val="0"/>
          <c:extLst>
            <c:ext xmlns:c16="http://schemas.microsoft.com/office/drawing/2014/chart" uri="{C3380CC4-5D6E-409C-BE32-E72D297353CC}">
              <c16:uniqueId val="{00000001-D492-40DE-9DCB-1E133D4870C2}"/>
            </c:ext>
          </c:extLst>
        </c:ser>
        <c:ser>
          <c:idx val="2"/>
          <c:order val="2"/>
          <c:tx>
            <c:strRef>
              <c:f>'Total Geral'!$A$6</c:f>
              <c:strCache>
                <c:ptCount val="1"/>
                <c:pt idx="0">
                  <c:v>Área FNE</c:v>
                </c:pt>
              </c:strCache>
            </c:strRef>
          </c:tx>
          <c:spPr>
            <a:ln w="28575" cap="rnd">
              <a:solidFill>
                <a:schemeClr val="tx1"/>
              </a:solidFill>
              <a:round/>
            </a:ln>
            <a:effectLst/>
          </c:spPr>
          <c:marker>
            <c:symbol val="none"/>
          </c:marker>
          <c:cat>
            <c:numRef>
              <c:f>'Total Geral'!$B$3:$U$3</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'Total Geral'!$B$6:$U$6</c:f>
              <c:numCache>
                <c:formatCode>#,##0.00</c:formatCode>
                <c:ptCount val="20"/>
                <c:pt idx="0">
                  <c:v>2204367693.193018</c:v>
                </c:pt>
                <c:pt idx="1">
                  <c:v>1061236747.8040346</c:v>
                </c:pt>
                <c:pt idx="2">
                  <c:v>706014043.78847158</c:v>
                </c:pt>
                <c:pt idx="3">
                  <c:v>2626490931.8303242</c:v>
                </c:pt>
                <c:pt idx="4">
                  <c:v>6954130144.8148966</c:v>
                </c:pt>
                <c:pt idx="5">
                  <c:v>9369706854.244175</c:v>
                </c:pt>
                <c:pt idx="6">
                  <c:v>10036227812.738354</c:v>
                </c:pt>
                <c:pt idx="7">
                  <c:v>8609352278.3089561</c:v>
                </c:pt>
                <c:pt idx="8">
                  <c:v>14251005594.826296</c:v>
                </c:pt>
                <c:pt idx="9">
                  <c:v>17220634024.531487</c:v>
                </c:pt>
                <c:pt idx="10">
                  <c:v>18218170165.43578</c:v>
                </c:pt>
                <c:pt idx="11">
                  <c:v>17892339077.815254</c:v>
                </c:pt>
                <c:pt idx="12">
                  <c:v>17864818262.882786</c:v>
                </c:pt>
                <c:pt idx="13">
                  <c:v>18001697609.689827</c:v>
                </c:pt>
                <c:pt idx="14">
                  <c:v>18335084857.286106</c:v>
                </c:pt>
                <c:pt idx="15">
                  <c:v>14151630805.239592</c:v>
                </c:pt>
                <c:pt idx="16">
                  <c:v>12910722292.735033</c:v>
                </c:pt>
                <c:pt idx="17">
                  <c:v>18421047039.8353</c:v>
                </c:pt>
                <c:pt idx="18">
                  <c:v>35166327125.501579</c:v>
                </c:pt>
                <c:pt idx="19">
                  <c:v>29558092900.440125</c:v>
                </c:pt>
              </c:numCache>
            </c:numRef>
          </c:val>
          <c:smooth val="0"/>
          <c:extLst>
            <c:ext xmlns:c16="http://schemas.microsoft.com/office/drawing/2014/chart" uri="{C3380CC4-5D6E-409C-BE32-E72D297353CC}">
              <c16:uniqueId val="{00000002-D492-40DE-9DCB-1E133D4870C2}"/>
            </c:ext>
          </c:extLst>
        </c:ser>
        <c:dLbls>
          <c:showLegendKey val="0"/>
          <c:showVal val="0"/>
          <c:showCatName val="0"/>
          <c:showSerName val="0"/>
          <c:showPercent val="0"/>
          <c:showBubbleSize val="0"/>
        </c:dLbls>
        <c:smooth val="0"/>
        <c:axId val="205900224"/>
        <c:axId val="205903584"/>
      </c:lineChart>
      <c:catAx>
        <c:axId val="20590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t-BR"/>
          </a:p>
        </c:txPr>
        <c:crossAx val="205903584"/>
        <c:crosses val="autoZero"/>
        <c:auto val="1"/>
        <c:lblAlgn val="ctr"/>
        <c:lblOffset val="100"/>
        <c:noMultiLvlLbl val="0"/>
      </c:catAx>
      <c:valAx>
        <c:axId val="205903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t-BR"/>
          </a:p>
        </c:txPr>
        <c:crossAx val="20590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ln>
            <a:noFill/>
          </a:ln>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5FCA3-0C5F-4D59-97BC-CCD63F0CC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Pages>
  <Words>5723</Words>
  <Characters>30909</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Eduardo Nascimento</dc:creator>
  <cp:keywords/>
  <dc:description/>
  <cp:lastModifiedBy>Eduardo Nascimento</cp:lastModifiedBy>
  <cp:revision>61</cp:revision>
  <dcterms:created xsi:type="dcterms:W3CDTF">2024-07-12T18:50:00Z</dcterms:created>
  <dcterms:modified xsi:type="dcterms:W3CDTF">2024-08-29T16:54:00Z</dcterms:modified>
</cp:coreProperties>
</file>