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Pr="00AA6234" w:rsidRDefault="00E5097D">
      <w:pPr>
        <w:widowControl w:val="0"/>
        <w:pBdr>
          <w:top w:val="nil"/>
          <w:left w:val="nil"/>
          <w:bottom w:val="nil"/>
          <w:right w:val="nil"/>
          <w:between w:val="nil"/>
        </w:pBdr>
        <w:spacing w:line="276" w:lineRule="auto"/>
        <w:jc w:val="left"/>
      </w:pPr>
    </w:p>
    <w:p w14:paraId="2BA12AE9" w14:textId="42327C2F" w:rsidR="00E5097D" w:rsidRPr="00AA6234" w:rsidRDefault="00E5097D">
      <w:pPr>
        <w:jc w:val="center"/>
        <w:rPr>
          <w:b/>
          <w:color w:val="C00000"/>
          <w:sz w:val="28"/>
          <w:szCs w:val="28"/>
        </w:rPr>
      </w:pPr>
    </w:p>
    <w:p w14:paraId="60F7E6F0" w14:textId="77777777" w:rsidR="00E5097D" w:rsidRPr="00AA6234" w:rsidRDefault="00E5097D">
      <w:pPr>
        <w:jc w:val="center"/>
        <w:rPr>
          <w:b/>
          <w:color w:val="FF0000"/>
          <w:sz w:val="28"/>
          <w:szCs w:val="28"/>
        </w:rPr>
      </w:pPr>
    </w:p>
    <w:p w14:paraId="6F1AEFFD" w14:textId="34606920" w:rsidR="00011D6D" w:rsidRPr="00AA6234" w:rsidRDefault="008C1B1E">
      <w:pPr>
        <w:jc w:val="center"/>
      </w:pPr>
      <w:r w:rsidRPr="00AA6234">
        <w:rPr>
          <w:b/>
          <w:i/>
          <w:iCs/>
          <w:sz w:val="28"/>
          <w:szCs w:val="28"/>
        </w:rPr>
        <w:t>In vitro</w:t>
      </w:r>
      <w:r w:rsidRPr="00AA6234">
        <w:rPr>
          <w:b/>
          <w:sz w:val="28"/>
          <w:szCs w:val="28"/>
        </w:rPr>
        <w:t xml:space="preserve"> rhizobacterial screening for multi-nutrient solubilization from insoluble sources</w:t>
      </w:r>
    </w:p>
    <w:p w14:paraId="1BDBDE10" w14:textId="2898BEFC" w:rsidR="00E5097D" w:rsidRPr="004E0F28" w:rsidRDefault="008C1B1E" w:rsidP="00AA6234">
      <w:pPr>
        <w:ind w:left="360"/>
        <w:jc w:val="center"/>
        <w:rPr>
          <w:b/>
          <w:sz w:val="22"/>
          <w:szCs w:val="22"/>
          <w:lang w:val="pt-BR"/>
        </w:rPr>
      </w:pPr>
      <w:r w:rsidRPr="004E0F28">
        <w:rPr>
          <w:b/>
          <w:sz w:val="22"/>
          <w:szCs w:val="22"/>
          <w:u w:val="single"/>
          <w:lang w:val="pt-BR"/>
        </w:rPr>
        <w:t>M. P. Corrêa</w:t>
      </w:r>
      <w:r w:rsidRPr="004E0F28">
        <w:rPr>
          <w:b/>
          <w:sz w:val="22"/>
          <w:szCs w:val="22"/>
          <w:u w:val="single"/>
          <w:vertAlign w:val="superscript"/>
          <w:lang w:val="pt-BR"/>
        </w:rPr>
        <w:t>1*</w:t>
      </w:r>
      <w:r w:rsidRPr="004E0F28">
        <w:rPr>
          <w:b/>
          <w:sz w:val="22"/>
          <w:szCs w:val="22"/>
          <w:lang w:val="pt-BR"/>
        </w:rPr>
        <w:t>, R. L. Oliveira</w:t>
      </w:r>
      <w:r w:rsidR="00AA6234" w:rsidRPr="004E0F28">
        <w:rPr>
          <w:b/>
          <w:sz w:val="22"/>
          <w:szCs w:val="22"/>
          <w:vertAlign w:val="superscript"/>
          <w:lang w:val="pt-BR"/>
        </w:rPr>
        <w:t>1</w:t>
      </w:r>
      <w:r w:rsidRPr="004E0F28">
        <w:rPr>
          <w:b/>
          <w:sz w:val="22"/>
          <w:szCs w:val="22"/>
          <w:lang w:val="pt-BR"/>
        </w:rPr>
        <w:t>, N. Andrade</w:t>
      </w:r>
      <w:r w:rsidR="00AA6234" w:rsidRPr="004E0F28">
        <w:rPr>
          <w:b/>
          <w:sz w:val="22"/>
          <w:szCs w:val="22"/>
          <w:vertAlign w:val="superscript"/>
          <w:lang w:val="pt-BR"/>
        </w:rPr>
        <w:t>1</w:t>
      </w:r>
      <w:r w:rsidRPr="004E0F28">
        <w:rPr>
          <w:b/>
          <w:sz w:val="22"/>
          <w:szCs w:val="22"/>
          <w:lang w:val="pt-BR"/>
        </w:rPr>
        <w:t xml:space="preserve">, </w:t>
      </w:r>
      <w:r w:rsidR="00AA6234" w:rsidRPr="004E0F28">
        <w:rPr>
          <w:b/>
          <w:sz w:val="22"/>
          <w:szCs w:val="22"/>
          <w:lang w:val="pt-BR"/>
        </w:rPr>
        <w:t>D. F. Silva</w:t>
      </w:r>
      <w:r w:rsidR="00AA6234" w:rsidRPr="004E0F28">
        <w:rPr>
          <w:b/>
          <w:sz w:val="22"/>
          <w:szCs w:val="22"/>
          <w:vertAlign w:val="superscript"/>
          <w:lang w:val="pt-BR"/>
        </w:rPr>
        <w:t>1</w:t>
      </w:r>
      <w:r w:rsidR="00AA6234" w:rsidRPr="004E0F28">
        <w:rPr>
          <w:b/>
          <w:sz w:val="22"/>
          <w:szCs w:val="22"/>
          <w:lang w:val="pt-BR"/>
        </w:rPr>
        <w:t>, F. D. Andreote</w:t>
      </w:r>
      <w:r w:rsidR="00AA6234" w:rsidRPr="004E0F28">
        <w:rPr>
          <w:b/>
          <w:sz w:val="22"/>
          <w:szCs w:val="22"/>
          <w:vertAlign w:val="superscript"/>
          <w:lang w:val="pt-BR"/>
        </w:rPr>
        <w:t>1</w:t>
      </w:r>
    </w:p>
    <w:p w14:paraId="264AD9E6" w14:textId="0A4BEEF0" w:rsidR="00602A41" w:rsidRPr="00AA6234" w:rsidRDefault="00602A41">
      <w:pPr>
        <w:jc w:val="center"/>
        <w:rPr>
          <w:b/>
          <w:bCs/>
          <w:i/>
          <w:sz w:val="18"/>
          <w:szCs w:val="18"/>
        </w:rPr>
      </w:pPr>
      <w:r w:rsidRPr="004E0F28">
        <w:rPr>
          <w:rStyle w:val="rynqvb"/>
          <w:b/>
          <w:bCs/>
          <w:sz w:val="18"/>
          <w:szCs w:val="18"/>
        </w:rPr>
        <w:t>Luiz de Queiroz Higher School of Agriculture.</w:t>
      </w:r>
      <w:r w:rsidRPr="004E0F28">
        <w:rPr>
          <w:rStyle w:val="hwtze"/>
          <w:b/>
          <w:bCs/>
          <w:sz w:val="18"/>
          <w:szCs w:val="18"/>
        </w:rPr>
        <w:t xml:space="preserve"> </w:t>
      </w:r>
      <w:r w:rsidRPr="004E0F28">
        <w:rPr>
          <w:rStyle w:val="rynqvb"/>
          <w:b/>
          <w:bCs/>
          <w:sz w:val="18"/>
          <w:szCs w:val="18"/>
        </w:rPr>
        <w:t>University of Sao Paulo</w:t>
      </w:r>
      <w:r w:rsidRPr="00AA6234">
        <w:rPr>
          <w:b/>
          <w:bCs/>
          <w:i/>
          <w:sz w:val="18"/>
          <w:szCs w:val="18"/>
        </w:rPr>
        <w:t xml:space="preserve"> </w:t>
      </w:r>
    </w:p>
    <w:p w14:paraId="6A7666E4" w14:textId="00F57BEB" w:rsidR="00E5097D" w:rsidRPr="00AA6234" w:rsidRDefault="00602A41">
      <w:pPr>
        <w:jc w:val="center"/>
        <w:rPr>
          <w:b/>
          <w:bCs/>
          <w:i/>
          <w:sz w:val="18"/>
          <w:szCs w:val="18"/>
        </w:rPr>
      </w:pPr>
      <w:r w:rsidRPr="00AA6234">
        <w:rPr>
          <w:b/>
          <w:bCs/>
          <w:i/>
          <w:sz w:val="18"/>
          <w:szCs w:val="18"/>
        </w:rPr>
        <w:t>marianapereiracorrea@usp.br</w:t>
      </w:r>
    </w:p>
    <w:p w14:paraId="5B561DFB" w14:textId="77777777" w:rsidR="00E5097D" w:rsidRPr="00AA6234" w:rsidRDefault="00E5097D">
      <w:pPr>
        <w:jc w:val="center"/>
      </w:pPr>
    </w:p>
    <w:p w14:paraId="15595E8B" w14:textId="496480BC" w:rsidR="002F4189" w:rsidRPr="00AA6234" w:rsidRDefault="002F4189" w:rsidP="002F4189">
      <w:pPr>
        <w:rPr>
          <w:sz w:val="22"/>
          <w:szCs w:val="22"/>
        </w:rPr>
      </w:pPr>
    </w:p>
    <w:p w14:paraId="6FE969FA" w14:textId="7145E539" w:rsidR="00E5097D" w:rsidRPr="00AA6234" w:rsidRDefault="002F4189">
      <w:r w:rsidRPr="00AA6234">
        <w:t xml:space="preserve">Rock powders act as a natural alternative source of elements such as iron, zinc, potassium, and </w:t>
      </w:r>
      <w:r w:rsidR="00AA6234" w:rsidRPr="00AA6234">
        <w:t>phosphorus</w:t>
      </w:r>
      <w:r w:rsidRPr="00AA6234">
        <w:t>, but their low solubility limits nutrient availability to plants. In this context, mineral-solubilizing bacteria present a promising strategy to enhance sustainable agriculture and increase the nutritional content of food crops, especially</w:t>
      </w:r>
      <w:r w:rsidR="00AA6234" w:rsidRPr="00AA6234">
        <w:t xml:space="preserve"> </w:t>
      </w:r>
      <w:r w:rsidRPr="00AA6234">
        <w:t>lettuce. The present study evaluates the potential of rhizobacteria isolated from soil treated with silicate rock powders (phonolite, diabase, and granite) in nutrient solubilization, aiming at future application in the biofortification of lettuce (</w:t>
      </w:r>
      <w:r w:rsidRPr="00AA6234">
        <w:rPr>
          <w:i/>
          <w:iCs/>
        </w:rPr>
        <w:t>Lactuca sativa</w:t>
      </w:r>
      <w:r w:rsidRPr="00AA6234">
        <w:t xml:space="preserve"> L.). Soil samples were collected from a previous experiment with </w:t>
      </w:r>
      <w:proofErr w:type="spellStart"/>
      <w:r w:rsidRPr="00AA6234">
        <w:rPr>
          <w:i/>
          <w:iCs/>
        </w:rPr>
        <w:t>Urochloa</w:t>
      </w:r>
      <w:proofErr w:type="spellEnd"/>
      <w:r w:rsidRPr="00AA6234">
        <w:rPr>
          <w:i/>
          <w:iCs/>
        </w:rPr>
        <w:t xml:space="preserve"> </w:t>
      </w:r>
      <w:proofErr w:type="spellStart"/>
      <w:r w:rsidRPr="00AA6234">
        <w:rPr>
          <w:i/>
          <w:iCs/>
        </w:rPr>
        <w:t>brizantha</w:t>
      </w:r>
      <w:proofErr w:type="spellEnd"/>
      <w:r w:rsidRPr="00AA6234">
        <w:t xml:space="preserve"> cv. </w:t>
      </w:r>
      <w:proofErr w:type="spellStart"/>
      <w:r w:rsidRPr="00AA6234">
        <w:t>Marandu</w:t>
      </w:r>
      <w:proofErr w:type="spellEnd"/>
      <w:r w:rsidRPr="00AA6234">
        <w:t xml:space="preserve"> submitted to three rock powders for 10 months. Serial dilutions (10⁻² to 10⁻⁶) were plated on TSB solid medium, yielding 58 bacterial isolates, purified and preserved in glycerol at -80°C. A </w:t>
      </w:r>
      <w:proofErr w:type="spellStart"/>
      <w:r w:rsidRPr="00AA6234">
        <w:rPr>
          <w:i/>
          <w:iCs/>
        </w:rPr>
        <w:t>Pantoea</w:t>
      </w:r>
      <w:proofErr w:type="spellEnd"/>
      <w:r w:rsidRPr="00AA6234">
        <w:rPr>
          <w:i/>
          <w:iCs/>
        </w:rPr>
        <w:t xml:space="preserve"> </w:t>
      </w:r>
      <w:proofErr w:type="spellStart"/>
      <w:r w:rsidRPr="00AA6234">
        <w:rPr>
          <w:i/>
          <w:iCs/>
        </w:rPr>
        <w:t>phytobeneficialis</w:t>
      </w:r>
      <w:proofErr w:type="spellEnd"/>
      <w:r w:rsidRPr="00AA6234">
        <w:t xml:space="preserve"> strain was used as a positive control. Isolates were subjected to </w:t>
      </w:r>
      <w:r w:rsidRPr="004E0F28">
        <w:rPr>
          <w:i/>
          <w:iCs/>
        </w:rPr>
        <w:t>in vitro</w:t>
      </w:r>
      <w:r w:rsidRPr="00AA6234">
        <w:t xml:space="preserve"> assays for qualitative evaluation of phosphorus</w:t>
      </w:r>
      <w:r w:rsidR="00AA6234">
        <w:t xml:space="preserve"> and</w:t>
      </w:r>
      <w:r w:rsidR="00AA6234" w:rsidRPr="00AA6234">
        <w:t xml:space="preserve"> </w:t>
      </w:r>
      <w:r w:rsidRPr="00AA6234">
        <w:t xml:space="preserve">zinc solubilization, and siderophore production (CAS medium). Isolates </w:t>
      </w:r>
      <w:proofErr w:type="gramStart"/>
      <w:r w:rsidRPr="00AA6234">
        <w:t>nº</w:t>
      </w:r>
      <w:proofErr w:type="gramEnd"/>
      <w:r w:rsidRPr="00AA6234">
        <w:t xml:space="preserve"> 6, 8, 19, 32, 42, and 48 showed phosphorus solubilization; isolates </w:t>
      </w:r>
      <w:proofErr w:type="gramStart"/>
      <w:r w:rsidRPr="00AA6234">
        <w:t>nº</w:t>
      </w:r>
      <w:proofErr w:type="gramEnd"/>
      <w:r w:rsidRPr="00AA6234">
        <w:t xml:space="preserve"> 4, 16, 24, 33, 34, and 48 stood out for zinc solubilization. </w:t>
      </w:r>
      <w:r w:rsidR="009D68BD" w:rsidRPr="009D68BD">
        <w:t xml:space="preserve">Siderophore production was confirmed by orange halo formation in the CAS assay, with isolates </w:t>
      </w:r>
      <w:proofErr w:type="gramStart"/>
      <w:r w:rsidR="009D68BD" w:rsidRPr="009D68BD">
        <w:t>nº</w:t>
      </w:r>
      <w:proofErr w:type="gramEnd"/>
      <w:r w:rsidR="009D68BD" w:rsidRPr="009D68BD">
        <w:t xml:space="preserve"> 8, 12, 21, 22, 23, 26, 36, and 48 standing out as the most promising candidates.</w:t>
      </w:r>
      <w:r w:rsidRPr="00AA6234">
        <w:t xml:space="preserve"> </w:t>
      </w:r>
      <w:r w:rsidR="005C22F4" w:rsidRPr="004E0F28">
        <w:t>These results provide a shortlist of high-potential isolates for assembling a synthetic community (</w:t>
      </w:r>
      <w:proofErr w:type="spellStart"/>
      <w:r w:rsidR="005C22F4" w:rsidRPr="004E0F28">
        <w:t>SynCom</w:t>
      </w:r>
      <w:proofErr w:type="spellEnd"/>
      <w:r w:rsidR="005C22F4" w:rsidRPr="004E0F28">
        <w:t>) for lettuce biofortification</w:t>
      </w:r>
      <w:r w:rsidR="009D68BD" w:rsidRPr="009D68BD">
        <w:t>.</w:t>
      </w:r>
    </w:p>
    <w:p w14:paraId="689398CC" w14:textId="77777777" w:rsidR="00E5097D" w:rsidRPr="00AA6234" w:rsidRDefault="00E5097D">
      <w:pPr>
        <w:rPr>
          <w:sz w:val="22"/>
          <w:szCs w:val="22"/>
        </w:rPr>
      </w:pPr>
    </w:p>
    <w:p w14:paraId="6C90B249" w14:textId="77777777" w:rsidR="00E5097D" w:rsidRPr="00AA6234" w:rsidRDefault="00E5097D">
      <w:pPr>
        <w:rPr>
          <w:sz w:val="22"/>
          <w:szCs w:val="22"/>
        </w:rPr>
      </w:pPr>
    </w:p>
    <w:p w14:paraId="06147F01" w14:textId="77777777" w:rsidR="00E5097D" w:rsidRPr="00AA6234" w:rsidRDefault="00E5097D">
      <w:pPr>
        <w:rPr>
          <w:sz w:val="22"/>
          <w:szCs w:val="22"/>
        </w:rPr>
      </w:pPr>
    </w:p>
    <w:p w14:paraId="5B58F858" w14:textId="756ED0A9" w:rsidR="00E5097D" w:rsidRPr="004E0F28" w:rsidRDefault="00000000">
      <w:pPr>
        <w:tabs>
          <w:tab w:val="left" w:pos="8300"/>
        </w:tabs>
        <w:rPr>
          <w:color w:val="000000" w:themeColor="text1"/>
          <w:sz w:val="22"/>
          <w:szCs w:val="22"/>
          <w:lang w:val="pt-BR"/>
        </w:rPr>
        <w:sectPr w:rsidR="00E5097D" w:rsidRPr="004E0F28"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4E0F28">
        <w:rPr>
          <w:b/>
          <w:smallCaps/>
          <w:sz w:val="22"/>
          <w:szCs w:val="22"/>
          <w:lang w:val="pt-BR"/>
        </w:rPr>
        <w:t>KEYWORDS</w:t>
      </w:r>
      <w:r w:rsidRPr="004E0F28">
        <w:rPr>
          <w:sz w:val="22"/>
          <w:szCs w:val="22"/>
          <w:lang w:val="pt-BR"/>
        </w:rPr>
        <w:t xml:space="preserve">: </w:t>
      </w:r>
      <w:r w:rsidR="002F4189" w:rsidRPr="004E0F28">
        <w:rPr>
          <w:color w:val="000000" w:themeColor="text1"/>
          <w:sz w:val="22"/>
          <w:szCs w:val="22"/>
          <w:lang w:val="pt-BR"/>
        </w:rPr>
        <w:t xml:space="preserve">Rock </w:t>
      </w:r>
      <w:proofErr w:type="spellStart"/>
      <w:r w:rsidR="002F4189" w:rsidRPr="004E0F28">
        <w:rPr>
          <w:color w:val="000000" w:themeColor="text1"/>
          <w:sz w:val="22"/>
          <w:szCs w:val="22"/>
          <w:lang w:val="pt-BR"/>
        </w:rPr>
        <w:t>powder</w:t>
      </w:r>
      <w:proofErr w:type="spellEnd"/>
      <w:r w:rsidR="002F4189" w:rsidRPr="004E0F28">
        <w:rPr>
          <w:color w:val="000000" w:themeColor="text1"/>
          <w:sz w:val="22"/>
          <w:szCs w:val="22"/>
          <w:lang w:val="pt-BR"/>
        </w:rPr>
        <w:t xml:space="preserve">, </w:t>
      </w:r>
      <w:proofErr w:type="spellStart"/>
      <w:r w:rsidR="002F4189" w:rsidRPr="004E0F28">
        <w:rPr>
          <w:i/>
          <w:iCs/>
          <w:color w:val="000000" w:themeColor="text1"/>
          <w:sz w:val="22"/>
          <w:szCs w:val="22"/>
          <w:lang w:val="pt-BR"/>
        </w:rPr>
        <w:t>Lactuca</w:t>
      </w:r>
      <w:proofErr w:type="spellEnd"/>
      <w:r w:rsidR="002F4189" w:rsidRPr="004E0F28">
        <w:rPr>
          <w:i/>
          <w:iCs/>
          <w:color w:val="000000" w:themeColor="text1"/>
          <w:sz w:val="22"/>
          <w:szCs w:val="22"/>
          <w:lang w:val="pt-BR"/>
        </w:rPr>
        <w:t xml:space="preserve"> sativa</w:t>
      </w:r>
      <w:r w:rsidR="002F4189" w:rsidRPr="004E0F28">
        <w:rPr>
          <w:color w:val="000000" w:themeColor="text1"/>
          <w:sz w:val="22"/>
          <w:szCs w:val="22"/>
          <w:lang w:val="pt-BR"/>
        </w:rPr>
        <w:t xml:space="preserve"> L., </w:t>
      </w:r>
      <w:proofErr w:type="spellStart"/>
      <w:r w:rsidR="002F4189" w:rsidRPr="004E0F28">
        <w:rPr>
          <w:color w:val="000000" w:themeColor="text1"/>
          <w:sz w:val="22"/>
          <w:szCs w:val="22"/>
          <w:lang w:val="pt-BR"/>
        </w:rPr>
        <w:t>Sustainable</w:t>
      </w:r>
      <w:proofErr w:type="spellEnd"/>
      <w:r w:rsidR="002F4189" w:rsidRPr="004E0F28">
        <w:rPr>
          <w:color w:val="000000" w:themeColor="text1"/>
          <w:sz w:val="22"/>
          <w:szCs w:val="22"/>
          <w:lang w:val="pt-BR"/>
        </w:rPr>
        <w:t xml:space="preserve"> </w:t>
      </w:r>
      <w:proofErr w:type="spellStart"/>
      <w:r w:rsidR="002F4189" w:rsidRPr="004E0F28">
        <w:rPr>
          <w:color w:val="000000" w:themeColor="text1"/>
          <w:sz w:val="22"/>
          <w:szCs w:val="22"/>
          <w:lang w:val="pt-BR"/>
        </w:rPr>
        <w:t>agriculture</w:t>
      </w:r>
      <w:proofErr w:type="spellEnd"/>
      <w:r w:rsidR="002F4189" w:rsidRPr="004E0F28">
        <w:rPr>
          <w:color w:val="000000" w:themeColor="text1"/>
          <w:sz w:val="22"/>
          <w:szCs w:val="22"/>
          <w:lang w:val="pt-BR"/>
        </w:rPr>
        <w:t xml:space="preserve">, </w:t>
      </w:r>
      <w:proofErr w:type="spellStart"/>
      <w:r w:rsidR="002F4189" w:rsidRPr="004E0F28">
        <w:rPr>
          <w:color w:val="000000" w:themeColor="text1"/>
          <w:sz w:val="22"/>
          <w:szCs w:val="22"/>
          <w:lang w:val="pt-BR"/>
        </w:rPr>
        <w:t>Nutrient</w:t>
      </w:r>
      <w:proofErr w:type="spellEnd"/>
      <w:r w:rsidR="002F4189" w:rsidRPr="004E0F28">
        <w:rPr>
          <w:color w:val="000000" w:themeColor="text1"/>
          <w:sz w:val="22"/>
          <w:szCs w:val="22"/>
          <w:lang w:val="pt-BR"/>
        </w:rPr>
        <w:t xml:space="preserve"> </w:t>
      </w:r>
      <w:proofErr w:type="spellStart"/>
      <w:r w:rsidR="002F4189" w:rsidRPr="004E0F28">
        <w:rPr>
          <w:color w:val="000000" w:themeColor="text1"/>
          <w:sz w:val="22"/>
          <w:szCs w:val="22"/>
          <w:lang w:val="pt-BR"/>
        </w:rPr>
        <w:t>solubilization</w:t>
      </w:r>
      <w:proofErr w:type="spellEnd"/>
    </w:p>
    <w:p w14:paraId="7F3C1D89" w14:textId="77777777" w:rsidR="00E5097D" w:rsidRPr="004E0F28" w:rsidRDefault="00E5097D">
      <w:pPr>
        <w:jc w:val="center"/>
        <w:rPr>
          <w:lang w:val="pt-BR"/>
        </w:rPr>
      </w:pPr>
    </w:p>
    <w:p w14:paraId="08439F4D" w14:textId="77777777" w:rsidR="00602A41" w:rsidRPr="004E0F28" w:rsidRDefault="00602A41">
      <w:pPr>
        <w:tabs>
          <w:tab w:val="left" w:pos="8300"/>
        </w:tabs>
        <w:rPr>
          <w:lang w:val="pt-BR"/>
        </w:rPr>
      </w:pPr>
    </w:p>
    <w:p w14:paraId="57C457B5" w14:textId="58127707" w:rsidR="00E5097D" w:rsidRPr="004E0F28" w:rsidRDefault="00000000">
      <w:pPr>
        <w:tabs>
          <w:tab w:val="left" w:pos="8300"/>
        </w:tabs>
        <w:rPr>
          <w:b/>
          <w:sz w:val="22"/>
          <w:szCs w:val="22"/>
          <w:lang w:val="pt-BR"/>
        </w:rPr>
        <w:sectPr w:rsidR="00E5097D" w:rsidRPr="004E0F28">
          <w:headerReference w:type="even" r:id="rId9"/>
          <w:headerReference w:type="first" r:id="rId10"/>
          <w:type w:val="continuous"/>
          <w:pgSz w:w="11906" w:h="16838"/>
          <w:pgMar w:top="1418" w:right="1701" w:bottom="1418" w:left="1701" w:header="284" w:footer="709" w:gutter="0"/>
          <w:cols w:space="720"/>
          <w:titlePg/>
        </w:sectPr>
      </w:pPr>
      <w:r w:rsidRPr="004E0F28">
        <w:rPr>
          <w:b/>
          <w:smallCaps/>
          <w:sz w:val="22"/>
          <w:szCs w:val="22"/>
          <w:lang w:val="pt-BR"/>
        </w:rPr>
        <w:t xml:space="preserve">FUNDING: </w:t>
      </w:r>
      <w:r w:rsidR="009D68BD" w:rsidRPr="004E0F28">
        <w:rPr>
          <w:b/>
          <w:smallCaps/>
          <w:sz w:val="22"/>
          <w:szCs w:val="22"/>
          <w:lang w:val="pt-BR"/>
        </w:rPr>
        <w:t>Programa Unificado de Bolsas de Estudo para Estudantes de Graduação da Universidade de São Paulo (USP/PUB)</w:t>
      </w:r>
    </w:p>
    <w:p w14:paraId="2265A0F5" w14:textId="77777777" w:rsidR="00E5097D" w:rsidRPr="004E0F28" w:rsidRDefault="00E5097D">
      <w:pPr>
        <w:rPr>
          <w:sz w:val="16"/>
          <w:szCs w:val="16"/>
          <w:lang w:val="pt-BR"/>
        </w:rPr>
      </w:pPr>
    </w:p>
    <w:sectPr w:rsidR="00E5097D" w:rsidRPr="004E0F28">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A0D69" w14:textId="77777777" w:rsidR="006D6E84" w:rsidRPr="00AA6234" w:rsidRDefault="006D6E84">
      <w:r w:rsidRPr="00AA6234">
        <w:separator/>
      </w:r>
    </w:p>
  </w:endnote>
  <w:endnote w:type="continuationSeparator" w:id="0">
    <w:p w14:paraId="64B3F39B" w14:textId="77777777" w:rsidR="006D6E84" w:rsidRPr="00AA6234" w:rsidRDefault="006D6E84">
      <w:r w:rsidRPr="00AA62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377F1" w14:textId="77777777" w:rsidR="006D6E84" w:rsidRPr="00AA6234" w:rsidRDefault="006D6E84">
      <w:r w:rsidRPr="00AA6234">
        <w:separator/>
      </w:r>
    </w:p>
  </w:footnote>
  <w:footnote w:type="continuationSeparator" w:id="0">
    <w:p w14:paraId="05E04FF2" w14:textId="77777777" w:rsidR="006D6E84" w:rsidRPr="00AA6234" w:rsidRDefault="006D6E84">
      <w:r w:rsidRPr="00AA623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Pr="00AA6234"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424.7pt;height:424.7pt;z-index:-251658239;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style="position:absolute;left:0;text-align:left;margin-left:0;margin-top:0;width:481.75pt;height:503.6pt;z-index:-251658238;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Pr="004E0F28" w:rsidRDefault="00750B66">
    <w:pPr>
      <w:pBdr>
        <w:top w:val="nil"/>
        <w:left w:val="nil"/>
        <w:bottom w:val="nil"/>
        <w:right w:val="nil"/>
        <w:between w:val="nil"/>
      </w:pBdr>
      <w:tabs>
        <w:tab w:val="center" w:pos="4680"/>
        <w:tab w:val="right" w:pos="9360"/>
      </w:tabs>
      <w:rPr>
        <w:color w:val="000000"/>
      </w:rPr>
    </w:pPr>
    <w:r w:rsidRPr="0068231B">
      <w:rPr>
        <w:noProof/>
        <w:color w:val="000000"/>
      </w:rPr>
      <w:drawing>
        <wp:anchor distT="0" distB="0" distL="114300" distR="114300" simplePos="0" relativeHeight="251658245"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Pr="004E0F28" w:rsidRDefault="00957029">
    <w:pPr>
      <w:pBdr>
        <w:top w:val="nil"/>
        <w:left w:val="nil"/>
        <w:bottom w:val="nil"/>
        <w:right w:val="nil"/>
        <w:between w:val="nil"/>
      </w:pBdr>
      <w:tabs>
        <w:tab w:val="center" w:pos="4680"/>
        <w:tab w:val="right" w:pos="9360"/>
      </w:tabs>
      <w:rPr>
        <w:color w:val="000000"/>
      </w:rPr>
    </w:pPr>
  </w:p>
  <w:p w14:paraId="08AB67C6" w14:textId="115DB492" w:rsidR="00957029" w:rsidRPr="004E0F28" w:rsidRDefault="00957029">
    <w:pPr>
      <w:pBdr>
        <w:top w:val="nil"/>
        <w:left w:val="nil"/>
        <w:bottom w:val="nil"/>
        <w:right w:val="nil"/>
        <w:between w:val="nil"/>
      </w:pBdr>
      <w:tabs>
        <w:tab w:val="center" w:pos="4680"/>
        <w:tab w:val="right" w:pos="9360"/>
      </w:tabs>
      <w:rPr>
        <w:color w:val="000000"/>
      </w:rPr>
    </w:pPr>
  </w:p>
  <w:p w14:paraId="7747FD4B" w14:textId="77777777" w:rsidR="00957029" w:rsidRPr="004E0F28" w:rsidRDefault="00957029">
    <w:pPr>
      <w:pBdr>
        <w:top w:val="nil"/>
        <w:left w:val="nil"/>
        <w:bottom w:val="nil"/>
        <w:right w:val="nil"/>
        <w:between w:val="nil"/>
      </w:pBdr>
      <w:tabs>
        <w:tab w:val="center" w:pos="4680"/>
        <w:tab w:val="right" w:pos="9360"/>
      </w:tabs>
      <w:rPr>
        <w:color w:val="000000"/>
      </w:rPr>
    </w:pPr>
  </w:p>
  <w:p w14:paraId="1BA7E2C5" w14:textId="77777777" w:rsidR="00957029" w:rsidRPr="004E0F28" w:rsidRDefault="00957029">
    <w:pPr>
      <w:pBdr>
        <w:top w:val="nil"/>
        <w:left w:val="nil"/>
        <w:bottom w:val="nil"/>
        <w:right w:val="nil"/>
        <w:between w:val="nil"/>
      </w:pBdr>
      <w:tabs>
        <w:tab w:val="center" w:pos="4680"/>
        <w:tab w:val="right" w:pos="9360"/>
      </w:tabs>
      <w:rPr>
        <w:color w:val="000000"/>
      </w:rPr>
    </w:pPr>
  </w:p>
  <w:p w14:paraId="0121DB05" w14:textId="175B6DCC" w:rsidR="00957029" w:rsidRPr="00AA6234" w:rsidRDefault="00957029">
    <w:pPr>
      <w:pBdr>
        <w:top w:val="nil"/>
        <w:left w:val="nil"/>
        <w:bottom w:val="nil"/>
        <w:right w:val="nil"/>
        <w:between w:val="nil"/>
      </w:pBdr>
      <w:tabs>
        <w:tab w:val="center" w:pos="4680"/>
        <w:tab w:val="right" w:pos="9360"/>
      </w:tabs>
      <w:rPr>
        <w:color w:val="000000"/>
      </w:rPr>
    </w:pPr>
  </w:p>
  <w:p w14:paraId="36E336D0" w14:textId="2DA359E5" w:rsidR="00957029" w:rsidRPr="00AA6234" w:rsidRDefault="00957029">
    <w:pPr>
      <w:pBdr>
        <w:top w:val="nil"/>
        <w:left w:val="nil"/>
        <w:bottom w:val="nil"/>
        <w:right w:val="nil"/>
        <w:between w:val="nil"/>
      </w:pBdr>
      <w:tabs>
        <w:tab w:val="center" w:pos="4680"/>
        <w:tab w:val="right" w:pos="9360"/>
      </w:tabs>
      <w:rPr>
        <w:color w:val="000000"/>
      </w:rPr>
    </w:pPr>
  </w:p>
  <w:p w14:paraId="2589F7A4" w14:textId="5C1F22DB" w:rsidR="00957029" w:rsidRPr="00AA6234" w:rsidRDefault="00957029">
    <w:pPr>
      <w:pBdr>
        <w:top w:val="nil"/>
        <w:left w:val="nil"/>
        <w:bottom w:val="nil"/>
        <w:right w:val="nil"/>
        <w:between w:val="nil"/>
      </w:pBdr>
      <w:tabs>
        <w:tab w:val="center" w:pos="4680"/>
        <w:tab w:val="right" w:pos="9360"/>
      </w:tabs>
      <w:rPr>
        <w:color w:val="000000"/>
      </w:rPr>
    </w:pPr>
  </w:p>
  <w:p w14:paraId="20050B6A" w14:textId="77777777" w:rsidR="00957029" w:rsidRPr="00AA6234" w:rsidRDefault="00957029">
    <w:pPr>
      <w:pBdr>
        <w:top w:val="nil"/>
        <w:left w:val="nil"/>
        <w:bottom w:val="nil"/>
        <w:right w:val="nil"/>
        <w:between w:val="nil"/>
      </w:pBdr>
      <w:tabs>
        <w:tab w:val="center" w:pos="4680"/>
        <w:tab w:val="right" w:pos="9360"/>
      </w:tabs>
      <w:rPr>
        <w:color w:val="000000"/>
      </w:rPr>
    </w:pPr>
  </w:p>
  <w:p w14:paraId="06654763" w14:textId="1D739474" w:rsidR="00E5097D" w:rsidRPr="00AA6234"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Pr="00AA6234"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4.7pt;height:424.7pt;z-index:-251658236;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0224E3F4">
        <v:shape id="_x0000_s1025" type="#_x0000_t75" style="position:absolute;left:0;text-align:left;margin-left:0;margin-top:0;width:481.75pt;height:503.6pt;z-index:-251658237;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Pr="00AA6234" w:rsidRDefault="00000000">
    <w:pPr>
      <w:pBdr>
        <w:top w:val="nil"/>
        <w:left w:val="nil"/>
        <w:bottom w:val="nil"/>
        <w:right w:val="nil"/>
        <w:between w:val="nil"/>
      </w:pBdr>
      <w:tabs>
        <w:tab w:val="center" w:pos="4680"/>
        <w:tab w:val="right" w:pos="9360"/>
      </w:tabs>
      <w:rPr>
        <w:color w:val="000000"/>
      </w:rPr>
    </w:pPr>
    <w:r w:rsidRPr="0068231B">
      <w:rPr>
        <w:noProof/>
      </w:rPr>
      <w:drawing>
        <wp:anchor distT="0" distB="0" distL="114300" distR="114300" simplePos="0" relativeHeight="251658240"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11D6D"/>
    <w:rsid w:val="000C00BC"/>
    <w:rsid w:val="001D6561"/>
    <w:rsid w:val="001F7D9B"/>
    <w:rsid w:val="002F4189"/>
    <w:rsid w:val="00347AE9"/>
    <w:rsid w:val="00364943"/>
    <w:rsid w:val="00432965"/>
    <w:rsid w:val="004E0F28"/>
    <w:rsid w:val="005B1CE6"/>
    <w:rsid w:val="005C22F4"/>
    <w:rsid w:val="00602A41"/>
    <w:rsid w:val="006442F1"/>
    <w:rsid w:val="0064472A"/>
    <w:rsid w:val="0068231B"/>
    <w:rsid w:val="006B1488"/>
    <w:rsid w:val="006D6E84"/>
    <w:rsid w:val="006E5AA8"/>
    <w:rsid w:val="00750B66"/>
    <w:rsid w:val="007554BE"/>
    <w:rsid w:val="00795C3D"/>
    <w:rsid w:val="007A7424"/>
    <w:rsid w:val="008C1B1E"/>
    <w:rsid w:val="00906B55"/>
    <w:rsid w:val="00957029"/>
    <w:rsid w:val="00976F6C"/>
    <w:rsid w:val="00993321"/>
    <w:rsid w:val="009D68BD"/>
    <w:rsid w:val="00AA6234"/>
    <w:rsid w:val="00AA659B"/>
    <w:rsid w:val="00AD3CCB"/>
    <w:rsid w:val="00D022EB"/>
    <w:rsid w:val="00DF4DAA"/>
    <w:rsid w:val="00E5097D"/>
    <w:rsid w:val="00EC31A6"/>
    <w:rsid w:val="00EE5023"/>
    <w:rsid w:val="00F43F10"/>
    <w:rsid w:val="00FA2612"/>
    <w:rsid w:val="00FF6B79"/>
    <w:rsid w:val="330BEE36"/>
    <w:rsid w:val="4A229E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B421FE01-3BC3-49BB-B0FA-2F0B5A4D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wtze">
    <w:name w:val="hwtze"/>
    <w:basedOn w:val="Fontepargpadro"/>
    <w:rsid w:val="00602A41"/>
  </w:style>
  <w:style w:type="character" w:customStyle="1" w:styleId="rynqvb">
    <w:name w:val="rynqvb"/>
    <w:basedOn w:val="Fontepargpadro"/>
    <w:rsid w:val="00602A41"/>
  </w:style>
  <w:style w:type="table" w:customStyle="1" w:styleId="TableNormal1">
    <w:name w:val="Table Normal1"/>
    <w:rsid w:val="005B1CE6"/>
    <w:tblPr>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8C1B1E"/>
    <w:rPr>
      <w:sz w:val="16"/>
      <w:szCs w:val="16"/>
    </w:rPr>
  </w:style>
  <w:style w:type="paragraph" w:styleId="Textodecomentrio">
    <w:name w:val="annotation text"/>
    <w:basedOn w:val="Normal"/>
    <w:link w:val="TextodecomentrioChar"/>
    <w:uiPriority w:val="99"/>
    <w:semiHidden/>
    <w:unhideWhenUsed/>
    <w:rsid w:val="008C1B1E"/>
    <w:rPr>
      <w:sz w:val="20"/>
      <w:szCs w:val="20"/>
    </w:rPr>
  </w:style>
  <w:style w:type="character" w:customStyle="1" w:styleId="TextodecomentrioChar">
    <w:name w:val="Texto de comentário Char"/>
    <w:basedOn w:val="Fontepargpadro"/>
    <w:link w:val="Textodecomentrio"/>
    <w:uiPriority w:val="99"/>
    <w:semiHidden/>
    <w:rsid w:val="008C1B1E"/>
    <w:rPr>
      <w:sz w:val="20"/>
      <w:szCs w:val="20"/>
      <w:lang w:val="fr-FR" w:eastAsia="fr-FR"/>
    </w:rPr>
  </w:style>
  <w:style w:type="paragraph" w:styleId="Assuntodocomentrio">
    <w:name w:val="annotation subject"/>
    <w:basedOn w:val="Textodecomentrio"/>
    <w:next w:val="Textodecomentrio"/>
    <w:link w:val="AssuntodocomentrioChar"/>
    <w:uiPriority w:val="99"/>
    <w:semiHidden/>
    <w:unhideWhenUsed/>
    <w:rsid w:val="008C1B1E"/>
    <w:rPr>
      <w:b/>
      <w:bCs/>
    </w:rPr>
  </w:style>
  <w:style w:type="character" w:customStyle="1" w:styleId="AssuntodocomentrioChar">
    <w:name w:val="Assunto do comentário Char"/>
    <w:basedOn w:val="TextodecomentrioChar"/>
    <w:link w:val="Assuntodocomentrio"/>
    <w:uiPriority w:val="99"/>
    <w:semiHidden/>
    <w:rsid w:val="008C1B1E"/>
    <w:rPr>
      <w:b/>
      <w:bCs/>
      <w:sz w:val="20"/>
      <w:szCs w:val="20"/>
      <w:lang w:val="fr-FR" w:eastAsia="fr-FR"/>
    </w:rPr>
  </w:style>
  <w:style w:type="paragraph" w:styleId="Reviso">
    <w:name w:val="Revision"/>
    <w:hidden/>
    <w:uiPriority w:val="99"/>
    <w:semiHidden/>
    <w:rsid w:val="00AA6234"/>
    <w:pPr>
      <w:jc w:val="left"/>
    </w:pPr>
    <w:rPr>
      <w:lang w:val="fr-FR" w:eastAsia="fr-FR"/>
    </w:rPr>
  </w:style>
  <w:style w:type="character" w:styleId="MenoPendente">
    <w:name w:val="Unresolved Mention"/>
    <w:basedOn w:val="Fontepargpadro"/>
    <w:uiPriority w:val="99"/>
    <w:semiHidden/>
    <w:unhideWhenUsed/>
    <w:rsid w:val="00AA6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321</Words>
  <Characters>1735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cp:lastModifiedBy>Mariana Pereira Correa</cp:lastModifiedBy>
  <cp:revision>2</cp:revision>
  <dcterms:created xsi:type="dcterms:W3CDTF">2026-04-14T01:48:00Z</dcterms:created>
  <dcterms:modified xsi:type="dcterms:W3CDTF">2026-04-14T01:48:00Z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