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63B65DD4" w:rsidR="00B9429E" w:rsidRPr="00756721" w:rsidRDefault="00000000" w:rsidP="006C22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eastAsia="Times New Roman"/>
          <w:b/>
          <w:color w:val="1F1F1F"/>
          <w:sz w:val="24"/>
          <w:szCs w:val="24"/>
        </w:rPr>
      </w:pPr>
      <w:r w:rsidRPr="00756721">
        <w:rPr>
          <w:rFonts w:eastAsia="Times New Roman"/>
          <w:b/>
          <w:color w:val="1F1F1F"/>
          <w:sz w:val="24"/>
          <w:szCs w:val="24"/>
        </w:rPr>
        <w:t>REVISÃO INTEGRATIVA</w:t>
      </w:r>
    </w:p>
    <w:p w14:paraId="00000003" w14:textId="450DCA47" w:rsidR="00B9429E" w:rsidRPr="00756721" w:rsidRDefault="00000000">
      <w:pPr>
        <w:spacing w:line="240" w:lineRule="auto"/>
        <w:jc w:val="center"/>
        <w:rPr>
          <w:rFonts w:eastAsia="Times New Roman"/>
          <w:b/>
          <w:sz w:val="24"/>
          <w:szCs w:val="24"/>
        </w:rPr>
      </w:pPr>
      <w:r w:rsidRPr="00756721">
        <w:rPr>
          <w:rFonts w:eastAsia="Times New Roman"/>
          <w:b/>
          <w:sz w:val="24"/>
          <w:szCs w:val="24"/>
        </w:rPr>
        <w:t xml:space="preserve">DOENÇA DO REFLUXO GASTROESOFÁGICO (DRGE): </w:t>
      </w:r>
      <w:r w:rsidR="00106695" w:rsidRPr="00756721">
        <w:rPr>
          <w:rFonts w:eastAsia="Times New Roman"/>
          <w:b/>
          <w:sz w:val="24"/>
          <w:szCs w:val="24"/>
        </w:rPr>
        <w:t>T</w:t>
      </w:r>
      <w:r w:rsidRPr="00756721">
        <w:rPr>
          <w:rFonts w:eastAsia="Times New Roman"/>
          <w:b/>
          <w:sz w:val="24"/>
          <w:szCs w:val="24"/>
        </w:rPr>
        <w:t>ratamento cirúrgico ou clínico?</w:t>
      </w:r>
    </w:p>
    <w:p w14:paraId="00000004" w14:textId="77777777" w:rsidR="00B9429E" w:rsidRDefault="00B942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5" w14:textId="71F92C1E" w:rsidR="00B9429E" w:rsidRPr="00756721" w:rsidRDefault="00000000">
      <w:pPr>
        <w:widowControl w:val="0"/>
        <w:spacing w:line="240" w:lineRule="auto"/>
        <w:jc w:val="center"/>
        <w:rPr>
          <w:rFonts w:eastAsia="Times New Roman"/>
          <w:color w:val="1F1F1F"/>
          <w:vertAlign w:val="superscript"/>
        </w:rPr>
      </w:pPr>
      <w:r w:rsidRPr="00756721">
        <w:rPr>
          <w:rFonts w:eastAsia="Times New Roman"/>
          <w:b/>
          <w:bCs/>
          <w:color w:val="1F1F1F"/>
        </w:rPr>
        <w:t xml:space="preserve">Bruna C. Silva </w:t>
      </w:r>
      <w:r w:rsidRPr="00756721">
        <w:rPr>
          <w:rFonts w:eastAsia="Times New Roman"/>
          <w:b/>
          <w:bCs/>
          <w:color w:val="1F1F1F"/>
          <w:vertAlign w:val="superscript"/>
        </w:rPr>
        <w:t>1</w:t>
      </w:r>
      <w:r w:rsidRPr="00756721">
        <w:rPr>
          <w:rFonts w:eastAsia="Times New Roman"/>
          <w:color w:val="1F1F1F"/>
        </w:rPr>
        <w:t>, Ana C</w:t>
      </w:r>
      <w:r w:rsidR="00756721" w:rsidRPr="00756721">
        <w:rPr>
          <w:rFonts w:eastAsia="Times New Roman"/>
          <w:color w:val="1F1F1F"/>
        </w:rPr>
        <w:t>.</w:t>
      </w:r>
      <w:r w:rsidRPr="00756721">
        <w:rPr>
          <w:rFonts w:eastAsia="Times New Roman"/>
          <w:color w:val="1F1F1F"/>
        </w:rPr>
        <w:t xml:space="preserve"> C</w:t>
      </w:r>
      <w:r w:rsidR="00756721" w:rsidRPr="00756721">
        <w:rPr>
          <w:rFonts w:eastAsia="Times New Roman"/>
          <w:color w:val="1F1F1F"/>
        </w:rPr>
        <w:t>.</w:t>
      </w:r>
      <w:r w:rsidRPr="00756721">
        <w:rPr>
          <w:rFonts w:eastAsia="Times New Roman"/>
          <w:color w:val="1F1F1F"/>
        </w:rPr>
        <w:t xml:space="preserve"> M</w:t>
      </w:r>
      <w:r w:rsidR="00756721" w:rsidRPr="00756721">
        <w:rPr>
          <w:rFonts w:eastAsia="Times New Roman"/>
          <w:color w:val="1F1F1F"/>
        </w:rPr>
        <w:t>.</w:t>
      </w:r>
      <w:r w:rsidRPr="00756721">
        <w:rPr>
          <w:rFonts w:eastAsia="Times New Roman"/>
          <w:color w:val="1F1F1F"/>
        </w:rPr>
        <w:t xml:space="preserve"> M</w:t>
      </w:r>
      <w:r w:rsidR="00756721" w:rsidRPr="00756721">
        <w:rPr>
          <w:rFonts w:eastAsia="Times New Roman"/>
          <w:color w:val="1F1F1F"/>
        </w:rPr>
        <w:t>.</w:t>
      </w:r>
      <w:r w:rsidRPr="00756721">
        <w:rPr>
          <w:rFonts w:eastAsia="Times New Roman"/>
          <w:color w:val="1F1F1F"/>
        </w:rPr>
        <w:t xml:space="preserve"> P</w:t>
      </w:r>
      <w:r w:rsidR="00756721" w:rsidRPr="00756721">
        <w:rPr>
          <w:rFonts w:eastAsia="Times New Roman"/>
          <w:color w:val="1F1F1F"/>
        </w:rPr>
        <w:t>ires</w:t>
      </w:r>
      <w:r w:rsidRPr="00756721">
        <w:rPr>
          <w:rFonts w:eastAsia="Times New Roman"/>
          <w:color w:val="1F1F1F"/>
          <w:vertAlign w:val="superscript"/>
        </w:rPr>
        <w:t>1</w:t>
      </w:r>
      <w:r w:rsidRPr="00756721">
        <w:rPr>
          <w:rFonts w:eastAsia="Times New Roman"/>
          <w:color w:val="1F1F1F"/>
        </w:rPr>
        <w:t>, Mariane A. Silva</w:t>
      </w:r>
      <w:r w:rsidRPr="00756721">
        <w:rPr>
          <w:rFonts w:eastAsia="Times New Roman"/>
          <w:color w:val="1F1F1F"/>
          <w:vertAlign w:val="superscript"/>
        </w:rPr>
        <w:t xml:space="preserve"> ²</w:t>
      </w:r>
      <w:r w:rsidRPr="00756721">
        <w:rPr>
          <w:rFonts w:eastAsia="Times New Roman"/>
          <w:color w:val="1F1F1F"/>
        </w:rPr>
        <w:t xml:space="preserve">, </w:t>
      </w:r>
      <w:r w:rsidRPr="00756721">
        <w:rPr>
          <w:rFonts w:eastAsia="Times New Roman"/>
          <w:b/>
          <w:bCs/>
          <w:color w:val="1F1F1F"/>
        </w:rPr>
        <w:t>Bernardo</w:t>
      </w:r>
      <w:r w:rsidR="00756721" w:rsidRPr="00756721">
        <w:rPr>
          <w:rFonts w:eastAsia="Times New Roman"/>
          <w:b/>
          <w:bCs/>
          <w:color w:val="1F1F1F"/>
        </w:rPr>
        <w:t xml:space="preserve"> G. Aguiar</w:t>
      </w:r>
      <w:r w:rsidRPr="00756721">
        <w:rPr>
          <w:rFonts w:eastAsia="Times New Roman"/>
          <w:b/>
          <w:bCs/>
          <w:color w:val="1F1F1F"/>
        </w:rPr>
        <w:t xml:space="preserve"> </w:t>
      </w:r>
      <w:r w:rsidRPr="00756721">
        <w:rPr>
          <w:rFonts w:eastAsia="Times New Roman"/>
          <w:b/>
          <w:bCs/>
          <w:color w:val="1F1F1F"/>
          <w:vertAlign w:val="superscript"/>
        </w:rPr>
        <w:t>³</w:t>
      </w:r>
    </w:p>
    <w:p w14:paraId="00000006" w14:textId="77777777" w:rsidR="00B9429E" w:rsidRPr="00756721" w:rsidRDefault="00B9429E">
      <w:pPr>
        <w:widowControl w:val="0"/>
        <w:spacing w:line="240" w:lineRule="auto"/>
        <w:jc w:val="center"/>
        <w:rPr>
          <w:rFonts w:eastAsia="Times New Roman"/>
          <w:color w:val="1F1F1F"/>
          <w:sz w:val="20"/>
          <w:szCs w:val="20"/>
          <w:vertAlign w:val="superscript"/>
        </w:rPr>
      </w:pPr>
    </w:p>
    <w:p w14:paraId="00000007" w14:textId="77777777" w:rsidR="00B9429E" w:rsidRPr="00756721" w:rsidRDefault="00000000">
      <w:pPr>
        <w:widowControl w:val="0"/>
        <w:spacing w:line="240" w:lineRule="auto"/>
        <w:jc w:val="both"/>
        <w:rPr>
          <w:rFonts w:eastAsia="Times New Roman"/>
          <w:color w:val="1F1F1F"/>
          <w:sz w:val="24"/>
          <w:szCs w:val="24"/>
        </w:rPr>
      </w:pPr>
      <w:r w:rsidRPr="00756721">
        <w:rPr>
          <w:rFonts w:eastAsia="Times New Roman"/>
          <w:color w:val="1F1F1F"/>
          <w:sz w:val="24"/>
          <w:szCs w:val="24"/>
          <w:vertAlign w:val="superscript"/>
        </w:rPr>
        <w:t>1</w:t>
      </w:r>
      <w:r w:rsidRPr="00756721">
        <w:rPr>
          <w:rFonts w:eastAsia="Times New Roman"/>
          <w:color w:val="1F1F1F"/>
          <w:sz w:val="24"/>
          <w:szCs w:val="24"/>
        </w:rPr>
        <w:t xml:space="preserve"> Faculdade FAMINAS BH, Belo </w:t>
      </w:r>
      <w:proofErr w:type="spellStart"/>
      <w:r w:rsidRPr="00756721">
        <w:rPr>
          <w:rFonts w:eastAsia="Times New Roman"/>
          <w:color w:val="1F1F1F"/>
          <w:sz w:val="24"/>
          <w:szCs w:val="24"/>
        </w:rPr>
        <w:t>Horizonte-MG</w:t>
      </w:r>
      <w:proofErr w:type="spellEnd"/>
      <w:r w:rsidRPr="00756721">
        <w:rPr>
          <w:rFonts w:eastAsia="Times New Roman"/>
          <w:color w:val="1F1F1F"/>
          <w:sz w:val="24"/>
          <w:szCs w:val="24"/>
        </w:rPr>
        <w:t>, Brasil, 2025.</w:t>
      </w:r>
    </w:p>
    <w:p w14:paraId="00000008" w14:textId="77777777" w:rsidR="00B9429E" w:rsidRPr="00756721" w:rsidRDefault="00000000">
      <w:pPr>
        <w:widowControl w:val="0"/>
        <w:spacing w:line="240" w:lineRule="auto"/>
        <w:jc w:val="both"/>
        <w:rPr>
          <w:rFonts w:eastAsia="Times New Roman"/>
          <w:color w:val="1F1F1F"/>
          <w:sz w:val="24"/>
          <w:szCs w:val="24"/>
        </w:rPr>
      </w:pPr>
      <w:r w:rsidRPr="00756721">
        <w:rPr>
          <w:rFonts w:eastAsia="Times New Roman"/>
          <w:color w:val="1F1F1F"/>
          <w:sz w:val="24"/>
          <w:szCs w:val="24"/>
        </w:rPr>
        <w:t>² Faculdade de Medicina da Universidade Federal de São João Del Rei, Brasil, 2025.</w:t>
      </w:r>
    </w:p>
    <w:p w14:paraId="00000009" w14:textId="7067056C" w:rsidR="00B9429E" w:rsidRPr="00756721" w:rsidRDefault="00000000">
      <w:pPr>
        <w:widowControl w:val="0"/>
        <w:spacing w:line="240" w:lineRule="auto"/>
        <w:jc w:val="both"/>
        <w:rPr>
          <w:rFonts w:eastAsia="Times New Roman"/>
          <w:color w:val="1F1F1F"/>
          <w:sz w:val="24"/>
          <w:szCs w:val="24"/>
          <w:highlight w:val="yellow"/>
        </w:rPr>
      </w:pPr>
      <w:r w:rsidRPr="00756721">
        <w:rPr>
          <w:rFonts w:eastAsia="Times New Roman"/>
          <w:color w:val="1F1F1F"/>
          <w:sz w:val="24"/>
          <w:szCs w:val="24"/>
          <w:vertAlign w:val="superscript"/>
        </w:rPr>
        <w:t xml:space="preserve">³ </w:t>
      </w:r>
      <w:r w:rsidRPr="00756721">
        <w:rPr>
          <w:rFonts w:eastAsia="Times New Roman"/>
          <w:color w:val="1F1F1F"/>
          <w:sz w:val="24"/>
          <w:szCs w:val="24"/>
        </w:rPr>
        <w:t xml:space="preserve">Hospital São João </w:t>
      </w:r>
      <w:r w:rsidR="00756721" w:rsidRPr="00756721">
        <w:rPr>
          <w:rFonts w:eastAsia="Times New Roman"/>
          <w:color w:val="1F1F1F"/>
          <w:sz w:val="24"/>
          <w:szCs w:val="24"/>
        </w:rPr>
        <w:t xml:space="preserve">Judas Tadeu </w:t>
      </w:r>
      <w:r w:rsidRPr="00756721">
        <w:rPr>
          <w:rFonts w:eastAsia="Times New Roman"/>
          <w:color w:val="1F1F1F"/>
          <w:sz w:val="24"/>
          <w:szCs w:val="24"/>
        </w:rPr>
        <w:t>– Minas Gerais, Brasil, 2025.</w:t>
      </w:r>
    </w:p>
    <w:p w14:paraId="0000000A" w14:textId="77777777" w:rsidR="00B9429E" w:rsidRDefault="00B9429E">
      <w:pPr>
        <w:widowControl w:val="0"/>
        <w:spacing w:before="100" w:line="240" w:lineRule="auto"/>
        <w:jc w:val="both"/>
        <w:rPr>
          <w:rFonts w:ascii="Times New Roman" w:eastAsia="Times New Roman" w:hAnsi="Times New Roman" w:cs="Times New Roman"/>
          <w:color w:val="1F1F1F"/>
          <w:sz w:val="16"/>
          <w:szCs w:val="16"/>
          <w:highlight w:val="yellow"/>
        </w:rPr>
      </w:pPr>
    </w:p>
    <w:p w14:paraId="3E38DB87" w14:textId="77777777" w:rsidR="006C222B" w:rsidRPr="00756721" w:rsidRDefault="00000000" w:rsidP="006C22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eastAsia="Times New Roman"/>
          <w:sz w:val="24"/>
          <w:szCs w:val="24"/>
        </w:rPr>
      </w:pPr>
      <w:r w:rsidRPr="00756721">
        <w:rPr>
          <w:rFonts w:eastAsia="Times New Roman"/>
          <w:b/>
          <w:color w:val="1F1F1F"/>
          <w:sz w:val="24"/>
          <w:szCs w:val="24"/>
        </w:rPr>
        <w:t>RESUMO</w:t>
      </w:r>
    </w:p>
    <w:p w14:paraId="218F7BC8" w14:textId="77777777" w:rsidR="00756721" w:rsidRDefault="00000000" w:rsidP="007567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sz w:val="24"/>
          <w:szCs w:val="24"/>
        </w:rPr>
      </w:pPr>
      <w:r w:rsidRPr="00756721">
        <w:rPr>
          <w:rFonts w:eastAsia="Times New Roman"/>
          <w:b/>
          <w:sz w:val="24"/>
          <w:szCs w:val="24"/>
        </w:rPr>
        <w:t>Introdução:</w:t>
      </w:r>
      <w:r w:rsidRPr="00756721">
        <w:rPr>
          <w:rFonts w:eastAsia="Times New Roman"/>
          <w:sz w:val="24"/>
          <w:szCs w:val="24"/>
        </w:rPr>
        <w:t xml:space="preserve"> A Doença do Refluxo Gastroesofágico (DRGE) é uma condição crônica, caracterizada pelo refluxo do conteúdo gástrico para o esôfago, secundária à disfunção do esfíncter esofagiano inferior. Fatores anatômicos (como hérnia hiatal) e funcionais (como esvaziamento gástrico retardado) contribuem para seu desenvolvimento. Os sintomas típicos incluem pirose e regurgitação, além de manifestações atípicas, como rouquidão e tosse crônica. A DRGE é altamente prevalente no Ocidente, impactando significativamente a qualidade de vida. O tratamento inicial é clínico, com inibidores da bomba de prótons (</w:t>
      </w:r>
      <w:proofErr w:type="spellStart"/>
      <w:r w:rsidRPr="00756721">
        <w:rPr>
          <w:rFonts w:eastAsia="Times New Roman"/>
          <w:sz w:val="24"/>
          <w:szCs w:val="24"/>
        </w:rPr>
        <w:t>IBPs</w:t>
      </w:r>
      <w:proofErr w:type="spellEnd"/>
      <w:r w:rsidRPr="00756721">
        <w:rPr>
          <w:rFonts w:eastAsia="Times New Roman"/>
          <w:sz w:val="24"/>
          <w:szCs w:val="24"/>
        </w:rPr>
        <w:t xml:space="preserve">), mas cerca de 40% dos pacientes apresentam resposta insatisfatória, tornando necessárias abordagens cirúrgicas </w:t>
      </w:r>
      <w:r w:rsidR="006C222B" w:rsidRPr="00756721">
        <w:rPr>
          <w:rFonts w:eastAsia="Times New Roman"/>
          <w:sz w:val="24"/>
          <w:szCs w:val="24"/>
        </w:rPr>
        <w:t>-</w:t>
      </w:r>
      <w:proofErr w:type="spellStart"/>
      <w:r w:rsidR="006C222B" w:rsidRPr="00756721">
        <w:rPr>
          <w:rFonts w:eastAsia="Times New Roman"/>
          <w:sz w:val="24"/>
          <w:szCs w:val="24"/>
        </w:rPr>
        <w:t>Fundoplicatura</w:t>
      </w:r>
      <w:proofErr w:type="spellEnd"/>
      <w:r w:rsidR="006C222B" w:rsidRPr="00756721">
        <w:rPr>
          <w:rFonts w:eastAsia="Times New Roman"/>
          <w:sz w:val="24"/>
          <w:szCs w:val="24"/>
        </w:rPr>
        <w:t xml:space="preserve"> de </w:t>
      </w:r>
      <w:proofErr w:type="spellStart"/>
      <w:r w:rsidR="006C222B" w:rsidRPr="00756721">
        <w:rPr>
          <w:rFonts w:eastAsia="Times New Roman"/>
          <w:sz w:val="24"/>
          <w:szCs w:val="24"/>
        </w:rPr>
        <w:t>Nilssen</w:t>
      </w:r>
      <w:proofErr w:type="spellEnd"/>
      <w:r w:rsidR="006C222B" w:rsidRPr="00756721">
        <w:rPr>
          <w:rFonts w:eastAsia="Times New Roman"/>
          <w:sz w:val="24"/>
          <w:szCs w:val="24"/>
        </w:rPr>
        <w:t xml:space="preserve">, de </w:t>
      </w:r>
      <w:proofErr w:type="spellStart"/>
      <w:r w:rsidR="006C222B" w:rsidRPr="00756721">
        <w:rPr>
          <w:rFonts w:eastAsia="Times New Roman"/>
          <w:sz w:val="24"/>
          <w:szCs w:val="24"/>
        </w:rPr>
        <w:t>Toupet</w:t>
      </w:r>
      <w:proofErr w:type="spellEnd"/>
      <w:r w:rsidR="006C222B" w:rsidRPr="00756721">
        <w:rPr>
          <w:rFonts w:eastAsia="Times New Roman"/>
          <w:sz w:val="24"/>
          <w:szCs w:val="24"/>
        </w:rPr>
        <w:t xml:space="preserve">- </w:t>
      </w:r>
      <w:r w:rsidRPr="00756721">
        <w:rPr>
          <w:rFonts w:eastAsia="Times New Roman"/>
          <w:sz w:val="24"/>
          <w:szCs w:val="24"/>
        </w:rPr>
        <w:t>ou endoscópicas</w:t>
      </w:r>
      <w:r w:rsidR="006C222B" w:rsidRPr="00756721">
        <w:rPr>
          <w:rFonts w:eastAsia="Times New Roman"/>
          <w:sz w:val="24"/>
          <w:szCs w:val="24"/>
        </w:rPr>
        <w:t xml:space="preserve"> (</w:t>
      </w:r>
      <w:proofErr w:type="spellStart"/>
      <w:r w:rsidR="006C222B" w:rsidRPr="00756721">
        <w:rPr>
          <w:rFonts w:eastAsia="Times New Roman"/>
          <w:sz w:val="24"/>
          <w:szCs w:val="24"/>
        </w:rPr>
        <w:t>Stretta</w:t>
      </w:r>
      <w:proofErr w:type="spellEnd"/>
      <w:r w:rsidR="006C222B" w:rsidRPr="00756721">
        <w:rPr>
          <w:rFonts w:eastAsia="Times New Roman"/>
          <w:sz w:val="24"/>
          <w:szCs w:val="24"/>
        </w:rPr>
        <w:t>)</w:t>
      </w:r>
      <w:r w:rsidRPr="00756721">
        <w:rPr>
          <w:rFonts w:eastAsia="Times New Roman"/>
          <w:sz w:val="24"/>
          <w:szCs w:val="24"/>
        </w:rPr>
        <w:t>.</w:t>
      </w:r>
      <w:r w:rsidR="006C222B" w:rsidRPr="00756721">
        <w:rPr>
          <w:rFonts w:eastAsia="Times New Roman"/>
          <w:sz w:val="24"/>
          <w:szCs w:val="24"/>
        </w:rPr>
        <w:t xml:space="preserve"> </w:t>
      </w:r>
      <w:r w:rsidRPr="00756721">
        <w:rPr>
          <w:rFonts w:eastAsia="Times New Roman"/>
          <w:b/>
          <w:sz w:val="24"/>
          <w:szCs w:val="24"/>
        </w:rPr>
        <w:t>Objetivo:</w:t>
      </w:r>
      <w:r w:rsidRPr="00756721">
        <w:rPr>
          <w:rFonts w:eastAsia="Times New Roman"/>
          <w:sz w:val="24"/>
          <w:szCs w:val="24"/>
        </w:rPr>
        <w:t xml:space="preserve"> Analisar a eficácia e segurança das abordagens clínica e cirúrgica no tratamento da DRGE, discutindo indicações, benefícios e limitações. </w:t>
      </w:r>
      <w:r w:rsidRPr="00756721">
        <w:rPr>
          <w:rFonts w:eastAsia="Times New Roman"/>
          <w:b/>
          <w:sz w:val="24"/>
          <w:szCs w:val="24"/>
        </w:rPr>
        <w:t>Metodologia:</w:t>
      </w:r>
      <w:r w:rsidRPr="00756721">
        <w:rPr>
          <w:rFonts w:eastAsia="Times New Roman"/>
          <w:sz w:val="24"/>
          <w:szCs w:val="24"/>
        </w:rPr>
        <w:t xml:space="preserve"> Revisão narrativa da literatura baseada em artigos publicados nos últimos 10 anos nas bases </w:t>
      </w:r>
      <w:proofErr w:type="spellStart"/>
      <w:r w:rsidRPr="00756721">
        <w:rPr>
          <w:rFonts w:eastAsia="Times New Roman"/>
          <w:sz w:val="24"/>
          <w:szCs w:val="24"/>
        </w:rPr>
        <w:t>PubMed</w:t>
      </w:r>
      <w:proofErr w:type="spellEnd"/>
      <w:r w:rsidRPr="00756721">
        <w:rPr>
          <w:rFonts w:eastAsia="Times New Roman"/>
          <w:sz w:val="24"/>
          <w:szCs w:val="24"/>
        </w:rPr>
        <w:t xml:space="preserve"> e </w:t>
      </w:r>
      <w:proofErr w:type="spellStart"/>
      <w:r w:rsidRPr="00756721">
        <w:rPr>
          <w:rFonts w:eastAsia="Times New Roman"/>
          <w:sz w:val="24"/>
          <w:szCs w:val="24"/>
        </w:rPr>
        <w:t>Scielo</w:t>
      </w:r>
      <w:proofErr w:type="spellEnd"/>
      <w:r w:rsidRPr="00756721">
        <w:rPr>
          <w:rFonts w:eastAsia="Times New Roman"/>
          <w:sz w:val="24"/>
          <w:szCs w:val="24"/>
        </w:rPr>
        <w:t xml:space="preserve">. Foram incluídos estudos clínicos, diretrizes e metanálises sobre eficácia, segurança e indicações terapêuticas das diferentes abordagens para DRGE. </w:t>
      </w:r>
      <w:r w:rsidRPr="00756721">
        <w:rPr>
          <w:rFonts w:eastAsia="Times New Roman"/>
          <w:b/>
          <w:sz w:val="24"/>
          <w:szCs w:val="24"/>
        </w:rPr>
        <w:t>Discussão:</w:t>
      </w:r>
      <w:r w:rsidRPr="00756721">
        <w:rPr>
          <w:rFonts w:eastAsia="Times New Roman"/>
          <w:sz w:val="24"/>
          <w:szCs w:val="24"/>
        </w:rPr>
        <w:t xml:space="preserve"> Os </w:t>
      </w:r>
      <w:proofErr w:type="spellStart"/>
      <w:r w:rsidRPr="00756721">
        <w:rPr>
          <w:rFonts w:eastAsia="Times New Roman"/>
          <w:sz w:val="24"/>
          <w:szCs w:val="24"/>
        </w:rPr>
        <w:t>IBPs</w:t>
      </w:r>
      <w:proofErr w:type="spellEnd"/>
      <w:r w:rsidRPr="00756721">
        <w:rPr>
          <w:rFonts w:eastAsia="Times New Roman"/>
          <w:sz w:val="24"/>
          <w:szCs w:val="24"/>
        </w:rPr>
        <w:t xml:space="preserve"> são a primeira linha no tratamento da DRGE, promovendo alívio dos sintomas e cicatrização esofágica, mas seu uso prolongado pode gerar efeitos adversos e uma grande parcela dos pacientes permanece sintomática, especialmente na presença de hérnia hiatal volumosa ou complicações, o que torna necessária a avaliação de alternativas terapêuticas. Nesses casos, a técnica mais utilizada é </w:t>
      </w:r>
      <w:proofErr w:type="spellStart"/>
      <w:r w:rsidRPr="00756721">
        <w:rPr>
          <w:rFonts w:eastAsia="Times New Roman"/>
          <w:sz w:val="24"/>
          <w:szCs w:val="24"/>
        </w:rPr>
        <w:t>Floppy</w:t>
      </w:r>
      <w:proofErr w:type="spellEnd"/>
      <w:r w:rsidRPr="00756721">
        <w:rPr>
          <w:rFonts w:eastAsia="Times New Roman"/>
          <w:sz w:val="24"/>
          <w:szCs w:val="24"/>
        </w:rPr>
        <w:t xml:space="preserve"> Nissen vídeo que torna necessária a avaliação de alternativas terapêuticas. Nesses casos, a </w:t>
      </w:r>
      <w:proofErr w:type="spellStart"/>
      <w:r w:rsidRPr="00756721">
        <w:rPr>
          <w:rFonts w:eastAsia="Times New Roman"/>
          <w:sz w:val="24"/>
          <w:szCs w:val="24"/>
        </w:rPr>
        <w:t>fundoplicatura</w:t>
      </w:r>
      <w:proofErr w:type="spellEnd"/>
      <w:r w:rsidRPr="00756721">
        <w:rPr>
          <w:rFonts w:eastAsia="Times New Roman"/>
          <w:sz w:val="24"/>
          <w:szCs w:val="24"/>
        </w:rPr>
        <w:t xml:space="preserve"> laparoscópica (FPL) destaca-se como tratamento cirúrgico eficaz, com excelentes resultados a longo prazo. O </w:t>
      </w:r>
      <w:proofErr w:type="spellStart"/>
      <w:r w:rsidRPr="00756721">
        <w:rPr>
          <w:rFonts w:eastAsia="Times New Roman"/>
          <w:sz w:val="24"/>
          <w:szCs w:val="24"/>
        </w:rPr>
        <w:t>bypass</w:t>
      </w:r>
      <w:proofErr w:type="spellEnd"/>
      <w:r w:rsidRPr="00756721">
        <w:rPr>
          <w:rFonts w:eastAsia="Times New Roman"/>
          <w:sz w:val="24"/>
          <w:szCs w:val="24"/>
        </w:rPr>
        <w:t xml:space="preserve"> gástrico é indicado quando há obesidade associada. Procedimentos endoscópicos, como a aplicação de radiofrequência e próteses, surgem como opções menos invasivas, mas ainda demandam mais evidências quanto à sua eficácia e segurança. </w:t>
      </w:r>
      <w:r w:rsidRPr="00756721">
        <w:rPr>
          <w:rFonts w:eastAsia="Times New Roman"/>
          <w:b/>
          <w:sz w:val="24"/>
          <w:szCs w:val="24"/>
        </w:rPr>
        <w:t>Conclusão:</w:t>
      </w:r>
      <w:r w:rsidRPr="00756721">
        <w:rPr>
          <w:rFonts w:eastAsia="Times New Roman"/>
          <w:sz w:val="24"/>
          <w:szCs w:val="24"/>
        </w:rPr>
        <w:t xml:space="preserve"> A DRGE apresenta elevada prevalência e impacto na qualidade de vida. O tratamento deve ser individualizado, considerando a sintomatologia, gravidade da doença, </w:t>
      </w:r>
      <w:proofErr w:type="spellStart"/>
      <w:r w:rsidRPr="00756721">
        <w:rPr>
          <w:rFonts w:eastAsia="Times New Roman"/>
          <w:sz w:val="24"/>
          <w:szCs w:val="24"/>
        </w:rPr>
        <w:t>antomia</w:t>
      </w:r>
      <w:proofErr w:type="spellEnd"/>
      <w:r w:rsidRPr="00756721">
        <w:rPr>
          <w:rFonts w:eastAsia="Times New Roman"/>
          <w:sz w:val="24"/>
          <w:szCs w:val="24"/>
        </w:rPr>
        <w:t xml:space="preserve"> e função esofagogástrica, riscos e preferências do paciente. Em casos refratários, abordagens cirúrgicas e endoscópicas são alternativas eficazes, reforçando a importância de uma avaliação multidisciplinar e baseada em evidências.  </w:t>
      </w:r>
      <w:r w:rsidRPr="00756721">
        <w:rPr>
          <w:rFonts w:eastAsia="Times New Roman"/>
          <w:b/>
          <w:sz w:val="24"/>
          <w:szCs w:val="24"/>
        </w:rPr>
        <w:t>Descritores:</w:t>
      </w:r>
      <w:r w:rsidRPr="00756721">
        <w:rPr>
          <w:rFonts w:eastAsia="Times New Roman"/>
          <w:sz w:val="24"/>
          <w:szCs w:val="24"/>
        </w:rPr>
        <w:t xml:space="preserve"> Doença do refluxo gastroesofágico; Inibidores da bomba de prótons; Procedimentos cirúrgicos operatórios; Hérnia hiatal; Protocolos clínicos.</w:t>
      </w:r>
    </w:p>
    <w:p w14:paraId="167F228E" w14:textId="67EA4615" w:rsidR="00106695" w:rsidRPr="00756721" w:rsidRDefault="00000000" w:rsidP="007567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sz w:val="24"/>
          <w:szCs w:val="24"/>
        </w:rPr>
      </w:pPr>
      <w:r w:rsidRPr="00756721">
        <w:rPr>
          <w:rFonts w:eastAsia="Times New Roman"/>
          <w:b/>
          <w:sz w:val="24"/>
          <w:szCs w:val="24"/>
        </w:rPr>
        <w:t>Referências:</w:t>
      </w:r>
    </w:p>
    <w:p w14:paraId="0000000F" w14:textId="70DE6CE5" w:rsidR="00B9429E" w:rsidRPr="00756721" w:rsidRDefault="00756721" w:rsidP="00756721">
      <w:pPr>
        <w:widowControl w:val="0"/>
        <w:spacing w:line="24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</w:t>
      </w:r>
      <w:r w:rsidR="00000000" w:rsidRPr="00756721">
        <w:rPr>
          <w:rFonts w:eastAsia="Times New Roman"/>
          <w:sz w:val="24"/>
          <w:szCs w:val="24"/>
        </w:rPr>
        <w:t xml:space="preserve">SHARMA, </w:t>
      </w:r>
      <w:proofErr w:type="spellStart"/>
      <w:r w:rsidR="00000000" w:rsidRPr="00756721">
        <w:rPr>
          <w:rFonts w:eastAsia="Times New Roman"/>
          <w:sz w:val="24"/>
          <w:szCs w:val="24"/>
        </w:rPr>
        <w:t>Prateek</w:t>
      </w:r>
      <w:proofErr w:type="spellEnd"/>
      <w:r w:rsidR="00000000" w:rsidRPr="00756721">
        <w:rPr>
          <w:rFonts w:eastAsia="Times New Roman"/>
          <w:sz w:val="24"/>
          <w:szCs w:val="24"/>
        </w:rPr>
        <w:t xml:space="preserve">; YADAV, </w:t>
      </w:r>
      <w:proofErr w:type="spellStart"/>
      <w:r w:rsidR="00000000" w:rsidRPr="00756721">
        <w:rPr>
          <w:rFonts w:eastAsia="Times New Roman"/>
          <w:sz w:val="24"/>
          <w:szCs w:val="24"/>
        </w:rPr>
        <w:t>Dhruvil</w:t>
      </w:r>
      <w:proofErr w:type="spellEnd"/>
      <w:r w:rsidR="00000000" w:rsidRPr="00756721">
        <w:rPr>
          <w:rFonts w:eastAsia="Times New Roman"/>
          <w:sz w:val="24"/>
          <w:szCs w:val="24"/>
        </w:rPr>
        <w:t xml:space="preserve"> C.; ROOBINTHAN, Arya; SMITH, Brian J. </w:t>
      </w:r>
      <w:r w:rsidR="00000000" w:rsidRPr="00756721">
        <w:rPr>
          <w:rFonts w:eastAsia="Times New Roman"/>
          <w:i/>
          <w:sz w:val="24"/>
          <w:szCs w:val="24"/>
        </w:rPr>
        <w:t xml:space="preserve">Management </w:t>
      </w:r>
      <w:proofErr w:type="spellStart"/>
      <w:r w:rsidR="00000000" w:rsidRPr="00756721">
        <w:rPr>
          <w:rFonts w:eastAsia="Times New Roman"/>
          <w:i/>
          <w:sz w:val="24"/>
          <w:szCs w:val="24"/>
        </w:rPr>
        <w:t>of</w:t>
      </w:r>
      <w:proofErr w:type="spellEnd"/>
      <w:r w:rsidR="00000000" w:rsidRPr="00756721">
        <w:rPr>
          <w:rFonts w:eastAsia="Times New Roman"/>
          <w:i/>
          <w:sz w:val="24"/>
          <w:szCs w:val="24"/>
        </w:rPr>
        <w:t xml:space="preserve"> </w:t>
      </w:r>
      <w:proofErr w:type="spellStart"/>
      <w:r w:rsidR="00000000" w:rsidRPr="00756721">
        <w:rPr>
          <w:rFonts w:eastAsia="Times New Roman"/>
          <w:i/>
          <w:sz w:val="24"/>
          <w:szCs w:val="24"/>
        </w:rPr>
        <w:t>refractory</w:t>
      </w:r>
      <w:proofErr w:type="spellEnd"/>
      <w:r w:rsidR="00000000" w:rsidRPr="00756721">
        <w:rPr>
          <w:rFonts w:eastAsia="Times New Roman"/>
          <w:i/>
          <w:sz w:val="24"/>
          <w:szCs w:val="24"/>
        </w:rPr>
        <w:t xml:space="preserve"> </w:t>
      </w:r>
      <w:proofErr w:type="spellStart"/>
      <w:r w:rsidR="00000000" w:rsidRPr="00756721">
        <w:rPr>
          <w:rFonts w:eastAsia="Times New Roman"/>
          <w:i/>
          <w:sz w:val="24"/>
          <w:szCs w:val="24"/>
        </w:rPr>
        <w:t>gastroesophageal</w:t>
      </w:r>
      <w:proofErr w:type="spellEnd"/>
      <w:r w:rsidR="00000000" w:rsidRPr="00756721">
        <w:rPr>
          <w:rFonts w:eastAsia="Times New Roman"/>
          <w:i/>
          <w:sz w:val="24"/>
          <w:szCs w:val="24"/>
        </w:rPr>
        <w:t xml:space="preserve"> </w:t>
      </w:r>
      <w:proofErr w:type="spellStart"/>
      <w:r w:rsidR="00000000" w:rsidRPr="00756721">
        <w:rPr>
          <w:rFonts w:eastAsia="Times New Roman"/>
          <w:i/>
          <w:sz w:val="24"/>
          <w:szCs w:val="24"/>
        </w:rPr>
        <w:t>reflux</w:t>
      </w:r>
      <w:proofErr w:type="spellEnd"/>
      <w:r w:rsidR="00000000" w:rsidRPr="00756721">
        <w:rPr>
          <w:rFonts w:eastAsia="Times New Roman"/>
          <w:i/>
          <w:sz w:val="24"/>
          <w:szCs w:val="24"/>
        </w:rPr>
        <w:t xml:space="preserve"> </w:t>
      </w:r>
      <w:proofErr w:type="spellStart"/>
      <w:r w:rsidR="00000000" w:rsidRPr="00756721">
        <w:rPr>
          <w:rFonts w:eastAsia="Times New Roman"/>
          <w:i/>
          <w:sz w:val="24"/>
          <w:szCs w:val="24"/>
        </w:rPr>
        <w:t>disease</w:t>
      </w:r>
      <w:proofErr w:type="spellEnd"/>
      <w:r w:rsidR="00000000" w:rsidRPr="00756721">
        <w:rPr>
          <w:rFonts w:eastAsia="Times New Roman"/>
          <w:sz w:val="24"/>
          <w:szCs w:val="24"/>
        </w:rPr>
        <w:t xml:space="preserve">. </w:t>
      </w:r>
      <w:r w:rsidR="00000000" w:rsidRPr="00756721">
        <w:rPr>
          <w:rFonts w:eastAsia="Times New Roman"/>
          <w:i/>
          <w:sz w:val="24"/>
          <w:szCs w:val="24"/>
        </w:rPr>
        <w:t xml:space="preserve">World </w:t>
      </w:r>
      <w:proofErr w:type="spellStart"/>
      <w:r w:rsidR="00000000" w:rsidRPr="00756721">
        <w:rPr>
          <w:rFonts w:eastAsia="Times New Roman"/>
          <w:i/>
          <w:sz w:val="24"/>
          <w:szCs w:val="24"/>
        </w:rPr>
        <w:t>Journal</w:t>
      </w:r>
      <w:proofErr w:type="spellEnd"/>
      <w:r w:rsidR="00000000" w:rsidRPr="00756721">
        <w:rPr>
          <w:rFonts w:eastAsia="Times New Roman"/>
          <w:i/>
          <w:sz w:val="24"/>
          <w:szCs w:val="24"/>
        </w:rPr>
        <w:t xml:space="preserve"> </w:t>
      </w:r>
      <w:proofErr w:type="spellStart"/>
      <w:r w:rsidR="00000000" w:rsidRPr="00756721">
        <w:rPr>
          <w:rFonts w:eastAsia="Times New Roman"/>
          <w:i/>
          <w:sz w:val="24"/>
          <w:szCs w:val="24"/>
        </w:rPr>
        <w:t>of</w:t>
      </w:r>
      <w:proofErr w:type="spellEnd"/>
      <w:r w:rsidR="00000000" w:rsidRPr="00756721">
        <w:rPr>
          <w:rFonts w:eastAsia="Times New Roman"/>
          <w:i/>
          <w:sz w:val="24"/>
          <w:szCs w:val="24"/>
        </w:rPr>
        <w:t xml:space="preserve"> </w:t>
      </w:r>
      <w:proofErr w:type="spellStart"/>
      <w:r w:rsidR="00000000" w:rsidRPr="00756721">
        <w:rPr>
          <w:rFonts w:eastAsia="Times New Roman"/>
          <w:i/>
          <w:sz w:val="24"/>
          <w:szCs w:val="24"/>
        </w:rPr>
        <w:t>Gastroenterology</w:t>
      </w:r>
      <w:proofErr w:type="spellEnd"/>
      <w:r w:rsidR="00000000" w:rsidRPr="00756721">
        <w:rPr>
          <w:rFonts w:eastAsia="Times New Roman"/>
          <w:sz w:val="24"/>
          <w:szCs w:val="24"/>
        </w:rPr>
        <w:t>, v. 27, n. 39, p. 6601-6615, 2021. Disponível em:</w:t>
      </w:r>
      <w:hyperlink r:id="rId6">
        <w:r w:rsidR="00000000" w:rsidRPr="00756721">
          <w:rPr>
            <w:rFonts w:eastAsia="Times New Roman"/>
            <w:sz w:val="24"/>
            <w:szCs w:val="24"/>
          </w:rPr>
          <w:t xml:space="preserve"> </w:t>
        </w:r>
      </w:hyperlink>
      <w:hyperlink r:id="rId7">
        <w:r w:rsidR="00000000" w:rsidRPr="00756721">
          <w:rPr>
            <w:rFonts w:eastAsia="Times New Roman"/>
            <w:color w:val="1155CC"/>
            <w:sz w:val="24"/>
            <w:szCs w:val="24"/>
            <w:u w:val="single"/>
          </w:rPr>
          <w:t>https://www.wjgnet.com/1007-9327/full/v27/i39/6601.htm</w:t>
        </w:r>
      </w:hyperlink>
      <w:r w:rsidR="00000000" w:rsidRPr="00756721">
        <w:rPr>
          <w:rFonts w:eastAsia="Times New Roman"/>
          <w:sz w:val="24"/>
          <w:szCs w:val="24"/>
        </w:rPr>
        <w:t>. Acesso em: 06 mar. 2025.</w:t>
      </w:r>
    </w:p>
    <w:p w14:paraId="00000010" w14:textId="315D1D18" w:rsidR="00B9429E" w:rsidRPr="00756721" w:rsidRDefault="00756721" w:rsidP="00756721">
      <w:pPr>
        <w:widowControl w:val="0"/>
        <w:spacing w:line="24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</w:t>
      </w:r>
      <w:r w:rsidR="00000000" w:rsidRPr="00756721">
        <w:rPr>
          <w:rFonts w:eastAsia="Times New Roman"/>
          <w:sz w:val="24"/>
          <w:szCs w:val="24"/>
        </w:rPr>
        <w:t xml:space="preserve">DORRINGTON, Claire; SHAH, </w:t>
      </w:r>
      <w:proofErr w:type="spellStart"/>
      <w:r w:rsidR="00000000" w:rsidRPr="00756721">
        <w:rPr>
          <w:rFonts w:eastAsia="Times New Roman"/>
          <w:sz w:val="24"/>
          <w:szCs w:val="24"/>
        </w:rPr>
        <w:t>Nilesh</w:t>
      </w:r>
      <w:proofErr w:type="spellEnd"/>
      <w:r w:rsidR="00000000" w:rsidRPr="00756721">
        <w:rPr>
          <w:rFonts w:eastAsia="Times New Roman"/>
          <w:sz w:val="24"/>
          <w:szCs w:val="24"/>
        </w:rPr>
        <w:t xml:space="preserve">; TRUDELL, Jeff; MORDHORST, </w:t>
      </w:r>
      <w:proofErr w:type="spellStart"/>
      <w:r w:rsidR="00000000" w:rsidRPr="00756721">
        <w:rPr>
          <w:rFonts w:eastAsia="Times New Roman"/>
          <w:sz w:val="24"/>
          <w:szCs w:val="24"/>
        </w:rPr>
        <w:t>Kristina</w:t>
      </w:r>
      <w:proofErr w:type="spellEnd"/>
      <w:r w:rsidR="00000000" w:rsidRPr="00756721">
        <w:rPr>
          <w:rFonts w:eastAsia="Times New Roman"/>
          <w:sz w:val="24"/>
          <w:szCs w:val="24"/>
        </w:rPr>
        <w:t xml:space="preserve">; WINSLOW, Elizabeth. </w:t>
      </w:r>
      <w:proofErr w:type="spellStart"/>
      <w:r w:rsidR="00000000" w:rsidRPr="00756721">
        <w:rPr>
          <w:rFonts w:eastAsia="Times New Roman"/>
          <w:i/>
          <w:sz w:val="24"/>
          <w:szCs w:val="24"/>
        </w:rPr>
        <w:t>Endoscopic</w:t>
      </w:r>
      <w:proofErr w:type="spellEnd"/>
      <w:r w:rsidR="00000000" w:rsidRPr="00756721">
        <w:rPr>
          <w:rFonts w:eastAsia="Times New Roman"/>
          <w:i/>
          <w:sz w:val="24"/>
          <w:szCs w:val="24"/>
        </w:rPr>
        <w:t xml:space="preserve"> </w:t>
      </w:r>
      <w:proofErr w:type="spellStart"/>
      <w:r w:rsidR="00000000" w:rsidRPr="00756721">
        <w:rPr>
          <w:rFonts w:eastAsia="Times New Roman"/>
          <w:i/>
          <w:sz w:val="24"/>
          <w:szCs w:val="24"/>
        </w:rPr>
        <w:t>therapies</w:t>
      </w:r>
      <w:proofErr w:type="spellEnd"/>
      <w:r w:rsidR="00000000" w:rsidRPr="00756721">
        <w:rPr>
          <w:rFonts w:eastAsia="Times New Roman"/>
          <w:i/>
          <w:sz w:val="24"/>
          <w:szCs w:val="24"/>
        </w:rPr>
        <w:t xml:space="preserve"> for </w:t>
      </w:r>
      <w:proofErr w:type="spellStart"/>
      <w:r w:rsidR="00000000" w:rsidRPr="00756721">
        <w:rPr>
          <w:rFonts w:eastAsia="Times New Roman"/>
          <w:i/>
          <w:sz w:val="24"/>
          <w:szCs w:val="24"/>
        </w:rPr>
        <w:t>gastroesophageal</w:t>
      </w:r>
      <w:proofErr w:type="spellEnd"/>
      <w:r w:rsidR="00000000" w:rsidRPr="00756721">
        <w:rPr>
          <w:rFonts w:eastAsia="Times New Roman"/>
          <w:i/>
          <w:sz w:val="24"/>
          <w:szCs w:val="24"/>
        </w:rPr>
        <w:t xml:space="preserve"> </w:t>
      </w:r>
      <w:proofErr w:type="spellStart"/>
      <w:r w:rsidR="00000000" w:rsidRPr="00756721">
        <w:rPr>
          <w:rFonts w:eastAsia="Times New Roman"/>
          <w:i/>
          <w:sz w:val="24"/>
          <w:szCs w:val="24"/>
        </w:rPr>
        <w:t>reflux</w:t>
      </w:r>
      <w:proofErr w:type="spellEnd"/>
      <w:r w:rsidR="00000000" w:rsidRPr="00756721">
        <w:rPr>
          <w:rFonts w:eastAsia="Times New Roman"/>
          <w:i/>
          <w:sz w:val="24"/>
          <w:szCs w:val="24"/>
        </w:rPr>
        <w:t xml:space="preserve"> </w:t>
      </w:r>
      <w:proofErr w:type="spellStart"/>
      <w:r w:rsidR="00000000" w:rsidRPr="00756721">
        <w:rPr>
          <w:rFonts w:eastAsia="Times New Roman"/>
          <w:i/>
          <w:sz w:val="24"/>
          <w:szCs w:val="24"/>
        </w:rPr>
        <w:t>disease</w:t>
      </w:r>
      <w:proofErr w:type="spellEnd"/>
      <w:r w:rsidR="00000000" w:rsidRPr="00756721">
        <w:rPr>
          <w:rFonts w:eastAsia="Times New Roman"/>
          <w:i/>
          <w:sz w:val="24"/>
          <w:szCs w:val="24"/>
        </w:rPr>
        <w:t xml:space="preserve">: A </w:t>
      </w:r>
      <w:proofErr w:type="spellStart"/>
      <w:r w:rsidR="00000000" w:rsidRPr="00756721">
        <w:rPr>
          <w:rFonts w:eastAsia="Times New Roman"/>
          <w:i/>
          <w:sz w:val="24"/>
          <w:szCs w:val="24"/>
        </w:rPr>
        <w:t>systematic</w:t>
      </w:r>
      <w:proofErr w:type="spellEnd"/>
      <w:r w:rsidR="00000000" w:rsidRPr="00756721">
        <w:rPr>
          <w:rFonts w:eastAsia="Times New Roman"/>
          <w:i/>
          <w:sz w:val="24"/>
          <w:szCs w:val="24"/>
        </w:rPr>
        <w:t xml:space="preserve"> review </w:t>
      </w:r>
      <w:proofErr w:type="spellStart"/>
      <w:r w:rsidR="00000000" w:rsidRPr="00756721">
        <w:rPr>
          <w:rFonts w:eastAsia="Times New Roman"/>
          <w:i/>
          <w:sz w:val="24"/>
          <w:szCs w:val="24"/>
        </w:rPr>
        <w:t>and</w:t>
      </w:r>
      <w:proofErr w:type="spellEnd"/>
      <w:r w:rsidR="00000000" w:rsidRPr="00756721">
        <w:rPr>
          <w:rFonts w:eastAsia="Times New Roman"/>
          <w:i/>
          <w:sz w:val="24"/>
          <w:szCs w:val="24"/>
        </w:rPr>
        <w:t xml:space="preserve"> meta-</w:t>
      </w:r>
      <w:proofErr w:type="spellStart"/>
      <w:r w:rsidR="00000000" w:rsidRPr="00756721">
        <w:rPr>
          <w:rFonts w:eastAsia="Times New Roman"/>
          <w:i/>
          <w:sz w:val="24"/>
          <w:szCs w:val="24"/>
        </w:rPr>
        <w:t>analysis</w:t>
      </w:r>
      <w:proofErr w:type="spellEnd"/>
      <w:r w:rsidR="00000000" w:rsidRPr="00756721">
        <w:rPr>
          <w:rFonts w:eastAsia="Times New Roman"/>
          <w:i/>
          <w:sz w:val="24"/>
          <w:szCs w:val="24"/>
        </w:rPr>
        <w:t>.</w:t>
      </w:r>
      <w:r w:rsidR="00000000" w:rsidRPr="00756721">
        <w:rPr>
          <w:rFonts w:eastAsia="Times New Roman"/>
          <w:sz w:val="24"/>
          <w:szCs w:val="24"/>
        </w:rPr>
        <w:t xml:space="preserve"> </w:t>
      </w:r>
      <w:r w:rsidR="00000000" w:rsidRPr="00756721">
        <w:rPr>
          <w:rFonts w:eastAsia="Times New Roman"/>
          <w:i/>
          <w:sz w:val="24"/>
          <w:szCs w:val="24"/>
        </w:rPr>
        <w:t xml:space="preserve">Clinical </w:t>
      </w:r>
      <w:proofErr w:type="spellStart"/>
      <w:r w:rsidR="00000000" w:rsidRPr="00756721">
        <w:rPr>
          <w:rFonts w:eastAsia="Times New Roman"/>
          <w:i/>
          <w:sz w:val="24"/>
          <w:szCs w:val="24"/>
        </w:rPr>
        <w:t>Gastroenterology</w:t>
      </w:r>
      <w:proofErr w:type="spellEnd"/>
      <w:r w:rsidR="00000000" w:rsidRPr="00756721">
        <w:rPr>
          <w:rFonts w:eastAsia="Times New Roman"/>
          <w:i/>
          <w:sz w:val="24"/>
          <w:szCs w:val="24"/>
        </w:rPr>
        <w:t xml:space="preserve"> </w:t>
      </w:r>
      <w:proofErr w:type="spellStart"/>
      <w:r w:rsidR="00000000" w:rsidRPr="00756721">
        <w:rPr>
          <w:rFonts w:eastAsia="Times New Roman"/>
          <w:i/>
          <w:sz w:val="24"/>
          <w:szCs w:val="24"/>
        </w:rPr>
        <w:t>and</w:t>
      </w:r>
      <w:proofErr w:type="spellEnd"/>
      <w:r w:rsidR="00000000" w:rsidRPr="00756721">
        <w:rPr>
          <w:rFonts w:eastAsia="Times New Roman"/>
          <w:i/>
          <w:sz w:val="24"/>
          <w:szCs w:val="24"/>
        </w:rPr>
        <w:t xml:space="preserve"> </w:t>
      </w:r>
      <w:proofErr w:type="spellStart"/>
      <w:r w:rsidR="00000000" w:rsidRPr="00756721">
        <w:rPr>
          <w:rFonts w:eastAsia="Times New Roman"/>
          <w:i/>
          <w:sz w:val="24"/>
          <w:szCs w:val="24"/>
        </w:rPr>
        <w:t>Hepatology</w:t>
      </w:r>
      <w:proofErr w:type="spellEnd"/>
      <w:r w:rsidR="00000000" w:rsidRPr="00756721">
        <w:rPr>
          <w:rFonts w:eastAsia="Times New Roman"/>
          <w:sz w:val="24"/>
          <w:szCs w:val="24"/>
        </w:rPr>
        <w:t>, v. 20, n. 1, p. 25-40, 2022. Disponível em: https://www.cghjournal.org/article/S1542-3565(21)01234-5/fulltext. Acesso em: 06 mar. 2025.</w:t>
      </w:r>
    </w:p>
    <w:p w14:paraId="00000011" w14:textId="148849B6" w:rsidR="00B9429E" w:rsidRPr="00756721" w:rsidRDefault="00756721" w:rsidP="00756721">
      <w:pPr>
        <w:widowControl w:val="0"/>
        <w:spacing w:line="24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</w:t>
      </w:r>
      <w:r w:rsidR="00000000" w:rsidRPr="00756721">
        <w:rPr>
          <w:rFonts w:eastAsia="Times New Roman"/>
          <w:sz w:val="24"/>
          <w:szCs w:val="24"/>
        </w:rPr>
        <w:t xml:space="preserve">SLATER, B.J.; DIRKS, R.C.; </w:t>
      </w:r>
      <w:proofErr w:type="spellStart"/>
      <w:r w:rsidR="00000000" w:rsidRPr="00756721">
        <w:rPr>
          <w:rFonts w:eastAsia="Times New Roman"/>
          <w:sz w:val="24"/>
          <w:szCs w:val="24"/>
        </w:rPr>
        <w:t>McKINLEY</w:t>
      </w:r>
      <w:proofErr w:type="spellEnd"/>
      <w:r w:rsidR="00000000" w:rsidRPr="00756721">
        <w:rPr>
          <w:rFonts w:eastAsia="Times New Roman"/>
          <w:sz w:val="24"/>
          <w:szCs w:val="24"/>
        </w:rPr>
        <w:t xml:space="preserve">, S.K.; et al. </w:t>
      </w:r>
      <w:r w:rsidR="00000000" w:rsidRPr="00756721">
        <w:rPr>
          <w:rFonts w:eastAsia="Times New Roman"/>
          <w:i/>
          <w:sz w:val="24"/>
          <w:szCs w:val="24"/>
        </w:rPr>
        <w:t xml:space="preserve">SAGES </w:t>
      </w:r>
      <w:proofErr w:type="spellStart"/>
      <w:r w:rsidR="00000000" w:rsidRPr="00756721">
        <w:rPr>
          <w:rFonts w:eastAsia="Times New Roman"/>
          <w:i/>
          <w:sz w:val="24"/>
          <w:szCs w:val="24"/>
        </w:rPr>
        <w:t>guidelines</w:t>
      </w:r>
      <w:proofErr w:type="spellEnd"/>
      <w:r w:rsidR="00000000" w:rsidRPr="00756721">
        <w:rPr>
          <w:rFonts w:eastAsia="Times New Roman"/>
          <w:i/>
          <w:sz w:val="24"/>
          <w:szCs w:val="24"/>
        </w:rPr>
        <w:t xml:space="preserve"> for </w:t>
      </w:r>
      <w:proofErr w:type="spellStart"/>
      <w:r w:rsidR="00000000" w:rsidRPr="00756721">
        <w:rPr>
          <w:rFonts w:eastAsia="Times New Roman"/>
          <w:i/>
          <w:sz w:val="24"/>
          <w:szCs w:val="24"/>
        </w:rPr>
        <w:t>the</w:t>
      </w:r>
      <w:proofErr w:type="spellEnd"/>
      <w:r w:rsidR="00000000" w:rsidRPr="00756721">
        <w:rPr>
          <w:rFonts w:eastAsia="Times New Roman"/>
          <w:i/>
          <w:sz w:val="24"/>
          <w:szCs w:val="24"/>
        </w:rPr>
        <w:t xml:space="preserve"> </w:t>
      </w:r>
      <w:proofErr w:type="spellStart"/>
      <w:r w:rsidR="00000000" w:rsidRPr="00756721">
        <w:rPr>
          <w:rFonts w:eastAsia="Times New Roman"/>
          <w:i/>
          <w:sz w:val="24"/>
          <w:szCs w:val="24"/>
        </w:rPr>
        <w:t>surgical</w:t>
      </w:r>
      <w:proofErr w:type="spellEnd"/>
      <w:r w:rsidR="00000000" w:rsidRPr="00756721">
        <w:rPr>
          <w:rFonts w:eastAsia="Times New Roman"/>
          <w:i/>
          <w:sz w:val="24"/>
          <w:szCs w:val="24"/>
        </w:rPr>
        <w:t xml:space="preserve"> </w:t>
      </w:r>
      <w:proofErr w:type="spellStart"/>
      <w:r w:rsidR="00000000" w:rsidRPr="00756721">
        <w:rPr>
          <w:rFonts w:eastAsia="Times New Roman"/>
          <w:i/>
          <w:sz w:val="24"/>
          <w:szCs w:val="24"/>
        </w:rPr>
        <w:t>treatment</w:t>
      </w:r>
      <w:proofErr w:type="spellEnd"/>
      <w:r w:rsidR="00000000" w:rsidRPr="00756721">
        <w:rPr>
          <w:rFonts w:eastAsia="Times New Roman"/>
          <w:i/>
          <w:sz w:val="24"/>
          <w:szCs w:val="24"/>
        </w:rPr>
        <w:t xml:space="preserve"> </w:t>
      </w:r>
      <w:proofErr w:type="spellStart"/>
      <w:r w:rsidR="00000000" w:rsidRPr="00756721">
        <w:rPr>
          <w:rFonts w:eastAsia="Times New Roman"/>
          <w:i/>
          <w:sz w:val="24"/>
          <w:szCs w:val="24"/>
        </w:rPr>
        <w:t>of</w:t>
      </w:r>
      <w:proofErr w:type="spellEnd"/>
      <w:r w:rsidR="00000000" w:rsidRPr="00756721">
        <w:rPr>
          <w:rFonts w:eastAsia="Times New Roman"/>
          <w:i/>
          <w:sz w:val="24"/>
          <w:szCs w:val="24"/>
        </w:rPr>
        <w:t xml:space="preserve"> </w:t>
      </w:r>
      <w:proofErr w:type="spellStart"/>
      <w:r w:rsidR="00000000" w:rsidRPr="00756721">
        <w:rPr>
          <w:rFonts w:eastAsia="Times New Roman"/>
          <w:i/>
          <w:sz w:val="24"/>
          <w:szCs w:val="24"/>
        </w:rPr>
        <w:t>gastroesophageal</w:t>
      </w:r>
      <w:proofErr w:type="spellEnd"/>
      <w:r w:rsidR="00000000" w:rsidRPr="00756721">
        <w:rPr>
          <w:rFonts w:eastAsia="Times New Roman"/>
          <w:i/>
          <w:sz w:val="24"/>
          <w:szCs w:val="24"/>
        </w:rPr>
        <w:t xml:space="preserve"> </w:t>
      </w:r>
      <w:proofErr w:type="spellStart"/>
      <w:r w:rsidR="00000000" w:rsidRPr="00756721">
        <w:rPr>
          <w:rFonts w:eastAsia="Times New Roman"/>
          <w:i/>
          <w:sz w:val="24"/>
          <w:szCs w:val="24"/>
        </w:rPr>
        <w:t>reflux</w:t>
      </w:r>
      <w:proofErr w:type="spellEnd"/>
      <w:r w:rsidR="00000000" w:rsidRPr="00756721">
        <w:rPr>
          <w:rFonts w:eastAsia="Times New Roman"/>
          <w:i/>
          <w:sz w:val="24"/>
          <w:szCs w:val="24"/>
        </w:rPr>
        <w:t xml:space="preserve"> (GERD)</w:t>
      </w:r>
      <w:r w:rsidR="00000000" w:rsidRPr="00756721">
        <w:rPr>
          <w:rFonts w:eastAsia="Times New Roman"/>
          <w:sz w:val="24"/>
          <w:szCs w:val="24"/>
        </w:rPr>
        <w:t xml:space="preserve">. </w:t>
      </w:r>
      <w:proofErr w:type="spellStart"/>
      <w:r w:rsidR="00000000" w:rsidRPr="00756721">
        <w:rPr>
          <w:rFonts w:eastAsia="Times New Roman"/>
          <w:i/>
          <w:sz w:val="24"/>
          <w:szCs w:val="24"/>
        </w:rPr>
        <w:t>Surgical</w:t>
      </w:r>
      <w:proofErr w:type="spellEnd"/>
      <w:r w:rsidR="00000000" w:rsidRPr="00756721">
        <w:rPr>
          <w:rFonts w:eastAsia="Times New Roman"/>
          <w:i/>
          <w:sz w:val="24"/>
          <w:szCs w:val="24"/>
        </w:rPr>
        <w:t xml:space="preserve"> </w:t>
      </w:r>
      <w:proofErr w:type="spellStart"/>
      <w:r w:rsidR="00000000" w:rsidRPr="00756721">
        <w:rPr>
          <w:rFonts w:eastAsia="Times New Roman"/>
          <w:i/>
          <w:sz w:val="24"/>
          <w:szCs w:val="24"/>
        </w:rPr>
        <w:t>Endoscopy</w:t>
      </w:r>
      <w:proofErr w:type="spellEnd"/>
      <w:r w:rsidR="00000000" w:rsidRPr="00756721">
        <w:rPr>
          <w:rFonts w:eastAsia="Times New Roman"/>
          <w:sz w:val="24"/>
          <w:szCs w:val="24"/>
        </w:rPr>
        <w:t>, v. 35, p. 4903–4917, 2021. Disponível em: https://doi.org/10.1007/s00464-021-08625-5. Acesso em: 12 mar. 2025</w:t>
      </w:r>
      <w:r w:rsidR="006C222B" w:rsidRPr="00756721">
        <w:rPr>
          <w:rFonts w:eastAsia="Times New Roman"/>
          <w:sz w:val="24"/>
          <w:szCs w:val="24"/>
        </w:rPr>
        <w:t>.</w:t>
      </w:r>
    </w:p>
    <w:p w14:paraId="00000017" w14:textId="77777777" w:rsidR="00B9429E" w:rsidRPr="00106695" w:rsidRDefault="00B9429E" w:rsidP="007567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00000018" w14:textId="77777777" w:rsidR="00B9429E" w:rsidRPr="00106695" w:rsidRDefault="00B9429E" w:rsidP="007567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"/>
        <w:jc w:val="both"/>
        <w:rPr>
          <w:rFonts w:ascii="Times New Roman" w:eastAsia="Times New Roman" w:hAnsi="Times New Roman" w:cs="Times New Roman"/>
        </w:rPr>
      </w:pPr>
    </w:p>
    <w:p w14:paraId="00000019" w14:textId="77777777" w:rsidR="00B9429E" w:rsidRPr="00106695" w:rsidRDefault="00B9429E" w:rsidP="007567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"/>
        <w:jc w:val="both"/>
        <w:rPr>
          <w:rFonts w:ascii="Times New Roman" w:eastAsia="Roboto" w:hAnsi="Times New Roman" w:cs="Times New Roman"/>
          <w:color w:val="222222"/>
          <w:highlight w:val="white"/>
        </w:rPr>
      </w:pPr>
    </w:p>
    <w:sectPr w:rsidR="00B9429E" w:rsidRPr="00106695" w:rsidSect="00756721">
      <w:pgSz w:w="11920" w:h="16840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E422AA4-A62D-426E-8562-17F6A2274D5F}"/>
    <w:embedItalic r:id="rId2" w:fontKey="{1C05C09D-B86D-40CB-8FF8-4D57735D4794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53F8BD78-54AD-473A-BD31-0EF4FD2AC8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43352D3-C4B0-4656-B53A-4D7594CA47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8F4DB97-821C-4B04-97A8-B99E0B1CE2C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5080E"/>
    <w:multiLevelType w:val="hybridMultilevel"/>
    <w:tmpl w:val="ABFA1638"/>
    <w:lvl w:ilvl="0" w:tplc="428675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0820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29E"/>
    <w:rsid w:val="00106695"/>
    <w:rsid w:val="006C222B"/>
    <w:rsid w:val="00756721"/>
    <w:rsid w:val="00886AED"/>
    <w:rsid w:val="008A3AA4"/>
    <w:rsid w:val="00B94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1FD12"/>
  <w15:docId w15:val="{B2EE3B1D-2759-4F0D-8B06-399445B0C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21478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1478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7567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wjgnet.com/1007-9327/full/v27/i39/6601.ht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wjgnet.com/1007-9327/full/v27/i39/6601.ht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m1tOOipEdR5snepjM3r9ekk+Ww==">CgMxLjA4AHIhMUpZYzYwNmExTklNaWMzTzB2VFV0aUwzYzZhcmFHUGZx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642</Words>
  <Characters>3472</Characters>
  <Application>Microsoft Office Word</Application>
  <DocSecurity>0</DocSecurity>
  <Lines>28</Lines>
  <Paragraphs>8</Paragraphs>
  <ScaleCrop>false</ScaleCrop>
  <Company/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rodolfo calza</dc:creator>
  <cp:lastModifiedBy>Gabriela Castro</cp:lastModifiedBy>
  <cp:revision>2</cp:revision>
  <dcterms:created xsi:type="dcterms:W3CDTF">2025-04-15T02:29:00Z</dcterms:created>
  <dcterms:modified xsi:type="dcterms:W3CDTF">2025-04-15T02:29:00Z</dcterms:modified>
</cp:coreProperties>
</file>