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0E69" w:rsidP="2D2ED69C" w:rsidRDefault="751AA0C6" w14:paraId="1C1D4443" w14:textId="6786DA21">
      <w:pPr>
        <w:pBdr>
          <w:top w:val="nil"/>
          <w:left w:val="nil"/>
          <w:bottom w:val="nil"/>
          <w:right w:val="nil"/>
          <w:between w:val="nil"/>
        </w:pBdr>
        <w:spacing w:line="240" w:lineRule="auto"/>
        <w:ind w:left="1" w:hanging="3"/>
        <w:jc w:val="center"/>
        <w:rPr>
          <w:rFonts w:ascii="Arial" w:hAnsi="Arial" w:eastAsia="Arial" w:cs="Arial"/>
          <w:color w:val="000000" w:themeColor="text1"/>
          <w:sz w:val="28"/>
          <w:szCs w:val="28"/>
        </w:rPr>
      </w:pPr>
      <w:r w:rsidRPr="2D2ED69C">
        <w:rPr>
          <w:rFonts w:ascii="Arial" w:hAnsi="Arial" w:eastAsia="Arial" w:cs="Arial"/>
          <w:b/>
          <w:bCs/>
          <w:color w:val="000000" w:themeColor="text1"/>
          <w:sz w:val="28"/>
          <w:szCs w:val="28"/>
        </w:rPr>
        <w:t xml:space="preserve">EFEITOS DE DOENÇAS </w:t>
      </w:r>
      <w:proofErr w:type="spellStart"/>
      <w:r w:rsidRPr="2D2ED69C">
        <w:rPr>
          <w:rFonts w:ascii="Arial" w:hAnsi="Arial" w:eastAsia="Arial" w:cs="Arial"/>
          <w:b/>
          <w:bCs/>
          <w:color w:val="000000" w:themeColor="text1"/>
          <w:sz w:val="28"/>
          <w:szCs w:val="28"/>
        </w:rPr>
        <w:t>DESMIELINIZANTES</w:t>
      </w:r>
      <w:proofErr w:type="spellEnd"/>
      <w:r w:rsidRPr="2D2ED69C">
        <w:rPr>
          <w:rFonts w:ascii="Arial" w:hAnsi="Arial" w:eastAsia="Arial" w:cs="Arial"/>
          <w:b/>
          <w:bCs/>
          <w:color w:val="000000" w:themeColor="text1"/>
          <w:sz w:val="28"/>
          <w:szCs w:val="28"/>
        </w:rPr>
        <w:t xml:space="preserve"> NA FUNÇÃO </w:t>
      </w:r>
      <w:proofErr w:type="spellStart"/>
      <w:r w:rsidRPr="2D2ED69C">
        <w:rPr>
          <w:rFonts w:ascii="Arial" w:hAnsi="Arial" w:eastAsia="Arial" w:cs="Arial"/>
          <w:b/>
          <w:bCs/>
          <w:color w:val="000000" w:themeColor="text1"/>
          <w:sz w:val="28"/>
          <w:szCs w:val="28"/>
        </w:rPr>
        <w:t>NEUROMUSCULAR</w:t>
      </w:r>
      <w:proofErr w:type="spellEnd"/>
      <w:r w:rsidRPr="2D2ED69C">
        <w:rPr>
          <w:rFonts w:ascii="Arial" w:hAnsi="Arial" w:eastAsia="Arial" w:cs="Arial"/>
          <w:b/>
          <w:bCs/>
          <w:color w:val="000000" w:themeColor="text1"/>
          <w:sz w:val="28"/>
          <w:szCs w:val="28"/>
        </w:rPr>
        <w:t xml:space="preserve"> PEDIÁTRICA:</w:t>
      </w:r>
      <w:r w:rsidRPr="2D2ED69C">
        <w:rPr>
          <w:rFonts w:ascii="Arial" w:hAnsi="Arial" w:eastAsia="Arial" w:cs="Arial"/>
          <w:color w:val="000000" w:themeColor="text1"/>
          <w:sz w:val="28"/>
          <w:szCs w:val="28"/>
        </w:rPr>
        <w:t xml:space="preserve"> IMPACTO NA </w:t>
      </w:r>
      <w:proofErr w:type="spellStart"/>
      <w:r w:rsidRPr="2D2ED69C">
        <w:rPr>
          <w:rFonts w:ascii="Arial" w:hAnsi="Arial" w:eastAsia="Arial" w:cs="Arial"/>
          <w:color w:val="000000" w:themeColor="text1"/>
          <w:sz w:val="28"/>
          <w:szCs w:val="28"/>
        </w:rPr>
        <w:t>SINAPSE</w:t>
      </w:r>
      <w:proofErr w:type="spellEnd"/>
      <w:r w:rsidRPr="2D2ED69C">
        <w:rPr>
          <w:rFonts w:ascii="Arial" w:hAnsi="Arial" w:eastAsia="Arial" w:cs="Arial"/>
          <w:color w:val="000000" w:themeColor="text1"/>
          <w:sz w:val="28"/>
          <w:szCs w:val="28"/>
        </w:rPr>
        <w:t xml:space="preserve"> E NA CONTRAÇÃO MUSCULAR.</w:t>
      </w:r>
    </w:p>
    <w:p w:rsidR="00880E69" w:rsidP="2D2ED69C" w:rsidRDefault="00880E69" w14:paraId="3E8E50B4" w14:textId="015EE1FE">
      <w:pPr>
        <w:pBdr>
          <w:top w:val="nil"/>
          <w:left w:val="nil"/>
          <w:bottom w:val="nil"/>
          <w:right w:val="nil"/>
          <w:between w:val="nil"/>
        </w:pBdr>
        <w:spacing w:line="240" w:lineRule="auto"/>
        <w:ind w:left="1" w:hanging="3"/>
        <w:jc w:val="center"/>
        <w:rPr>
          <w:rFonts w:ascii="Arial" w:hAnsi="Arial" w:eastAsia="Arial" w:cs="Arial"/>
          <w:color w:val="000000" w:themeColor="text1"/>
          <w:sz w:val="28"/>
          <w:szCs w:val="28"/>
        </w:rPr>
      </w:pPr>
    </w:p>
    <w:p w:rsidR="00880E69" w:rsidP="2D2ED69C" w:rsidRDefault="751AA0C6" w14:paraId="25D0F3E6" w14:textId="1640D6D5">
      <w:pPr>
        <w:pBdr>
          <w:top w:val="nil"/>
          <w:left w:val="nil"/>
          <w:bottom w:val="nil"/>
          <w:right w:val="nil"/>
          <w:between w:val="nil"/>
        </w:pBdr>
        <w:spacing w:line="240" w:lineRule="auto"/>
        <w:ind w:left="0" w:hanging="2"/>
        <w:jc w:val="center"/>
        <w:rPr>
          <w:rFonts w:ascii="Arial" w:hAnsi="Arial" w:eastAsia="Arial" w:cs="Arial"/>
          <w:color w:val="000000" w:themeColor="text1"/>
        </w:rPr>
      </w:pPr>
      <w:r w:rsidRPr="2D2ED69C">
        <w:rPr>
          <w:color w:val="000000" w:themeColor="text1"/>
        </w:rPr>
        <w:t xml:space="preserve">        </w:t>
      </w:r>
      <w:r w:rsidRPr="2D2ED69C">
        <w:rPr>
          <w:rFonts w:ascii="Arial" w:hAnsi="Arial" w:eastAsia="Arial" w:cs="Arial"/>
          <w:color w:val="000000" w:themeColor="text1"/>
        </w:rPr>
        <w:t xml:space="preserve">João Paulo Fidelis Gomes </w:t>
      </w:r>
    </w:p>
    <w:p w:rsidR="00880E69" w:rsidP="2D2ED69C" w:rsidRDefault="751AA0C6" w14:paraId="76ECCEF6" w14:textId="30B40369">
      <w:pPr>
        <w:pBdr>
          <w:top w:val="nil"/>
          <w:left w:val="nil"/>
          <w:bottom w:val="nil"/>
          <w:right w:val="nil"/>
          <w:between w:val="nil"/>
        </w:pBdr>
        <w:spacing w:line="240" w:lineRule="auto"/>
        <w:ind w:left="0" w:hanging="2"/>
        <w:jc w:val="center"/>
        <w:rPr>
          <w:rFonts w:ascii="Arial" w:hAnsi="Arial" w:eastAsia="Arial" w:cs="Arial"/>
          <w:color w:val="000000" w:themeColor="text1"/>
          <w:sz w:val="20"/>
          <w:szCs w:val="20"/>
          <w:lang w:val="pt-BR"/>
        </w:rPr>
      </w:pPr>
      <w:r w:rsidRPr="2D2ED69C">
        <w:rPr>
          <w:rFonts w:ascii="Arial" w:hAnsi="Arial" w:eastAsia="Arial" w:cs="Arial"/>
          <w:color w:val="000000" w:themeColor="text1"/>
          <w:sz w:val="20"/>
          <w:szCs w:val="20"/>
        </w:rPr>
        <w:t xml:space="preserve">Centro Universitário de Patos - UNIFIP </w:t>
      </w:r>
    </w:p>
    <w:p w:rsidR="00880E69" w:rsidP="2D2ED69C" w:rsidRDefault="751AA0C6" w14:paraId="3B775B67" w14:textId="5BB1120F">
      <w:pPr>
        <w:pBdr>
          <w:top w:val="nil"/>
          <w:left w:val="nil"/>
          <w:bottom w:val="nil"/>
          <w:right w:val="nil"/>
          <w:between w:val="nil"/>
        </w:pBdr>
        <w:spacing w:line="240" w:lineRule="auto"/>
        <w:ind w:left="0" w:hanging="2"/>
        <w:jc w:val="center"/>
        <w:rPr>
          <w:rFonts w:ascii="Arial" w:hAnsi="Arial" w:eastAsia="Arial" w:cs="Arial"/>
          <w:color w:val="000000" w:themeColor="text1"/>
          <w:sz w:val="20"/>
          <w:szCs w:val="20"/>
        </w:rPr>
      </w:pPr>
      <w:hyperlink r:id="rId8">
        <w:r w:rsidRPr="2D2ED69C">
          <w:rPr>
            <w:rStyle w:val="Hyperlink"/>
            <w:rFonts w:ascii="Arial" w:hAnsi="Arial" w:eastAsia="Arial" w:cs="Arial"/>
            <w:sz w:val="20"/>
            <w:szCs w:val="20"/>
          </w:rPr>
          <w:t>fidelis.pjoao@gmail.com</w:t>
        </w:r>
      </w:hyperlink>
    </w:p>
    <w:p w:rsidR="00880E69" w:rsidP="2D2ED69C" w:rsidRDefault="00880E69" w14:paraId="381A929B" w14:textId="0901A1EE">
      <w:pPr>
        <w:pBdr>
          <w:top w:val="nil"/>
          <w:left w:val="nil"/>
          <w:bottom w:val="nil"/>
          <w:right w:val="nil"/>
          <w:between w:val="nil"/>
        </w:pBdr>
        <w:spacing w:line="240" w:lineRule="auto"/>
        <w:ind w:left="0" w:hanging="2"/>
        <w:jc w:val="center"/>
        <w:rPr>
          <w:rFonts w:ascii="Arial" w:hAnsi="Arial" w:eastAsia="Arial" w:cs="Arial"/>
          <w:color w:val="000000" w:themeColor="text1"/>
        </w:rPr>
      </w:pPr>
    </w:p>
    <w:p w:rsidR="00880E69" w:rsidP="2D2ED69C" w:rsidRDefault="751AA0C6" w14:paraId="6AA374DC" w14:textId="603FFA96">
      <w:pPr>
        <w:pBdr>
          <w:top w:val="nil"/>
          <w:left w:val="nil"/>
          <w:bottom w:val="nil"/>
          <w:right w:val="nil"/>
          <w:between w:val="nil"/>
        </w:pBdr>
        <w:spacing w:line="240" w:lineRule="auto"/>
        <w:ind w:left="0" w:hanging="2"/>
        <w:jc w:val="center"/>
        <w:rPr>
          <w:rFonts w:ascii="Arial" w:hAnsi="Arial" w:eastAsia="Arial" w:cs="Arial"/>
          <w:color w:val="000000" w:themeColor="text1"/>
        </w:rPr>
      </w:pPr>
      <w:r w:rsidRPr="2D2ED69C">
        <w:rPr>
          <w:rFonts w:ascii="Arial" w:hAnsi="Arial" w:eastAsia="Arial" w:cs="Arial"/>
          <w:color w:val="000000" w:themeColor="text1"/>
        </w:rPr>
        <w:t xml:space="preserve">Ingrid </w:t>
      </w:r>
      <w:proofErr w:type="spellStart"/>
      <w:r w:rsidRPr="2D2ED69C">
        <w:rPr>
          <w:rFonts w:ascii="Arial" w:hAnsi="Arial" w:eastAsia="Arial" w:cs="Arial"/>
          <w:color w:val="000000" w:themeColor="text1"/>
        </w:rPr>
        <w:t>Dayanna</w:t>
      </w:r>
      <w:proofErr w:type="spellEnd"/>
      <w:r w:rsidRPr="2D2ED69C">
        <w:rPr>
          <w:rFonts w:ascii="Arial" w:hAnsi="Arial" w:eastAsia="Arial" w:cs="Arial"/>
          <w:color w:val="000000" w:themeColor="text1"/>
        </w:rPr>
        <w:t xml:space="preserve"> da Costa Marinho</w:t>
      </w:r>
    </w:p>
    <w:p w:rsidR="00880E69" w:rsidP="2D2ED69C" w:rsidRDefault="751AA0C6" w14:paraId="50ACB631" w14:textId="79E948AA">
      <w:pPr>
        <w:pBdr>
          <w:top w:val="nil"/>
          <w:left w:val="nil"/>
          <w:bottom w:val="nil"/>
          <w:right w:val="nil"/>
          <w:between w:val="nil"/>
        </w:pBdr>
        <w:spacing w:line="240" w:lineRule="auto"/>
        <w:ind w:left="0" w:hanging="2"/>
        <w:jc w:val="center"/>
        <w:rPr>
          <w:rFonts w:ascii="Arial" w:hAnsi="Arial" w:eastAsia="Arial" w:cs="Arial"/>
          <w:color w:val="000000" w:themeColor="text1"/>
          <w:sz w:val="20"/>
          <w:szCs w:val="20"/>
        </w:rPr>
      </w:pPr>
      <w:r w:rsidRPr="2D2ED69C">
        <w:rPr>
          <w:rFonts w:ascii="Arial" w:hAnsi="Arial" w:eastAsia="Arial" w:cs="Arial"/>
          <w:color w:val="000000" w:themeColor="text1"/>
          <w:sz w:val="20"/>
          <w:szCs w:val="20"/>
        </w:rPr>
        <w:t xml:space="preserve">Centro Universitário de Patos - UNIFIP </w:t>
      </w:r>
    </w:p>
    <w:p w:rsidR="00880E69" w:rsidP="2D709C40" w:rsidRDefault="3BE66F19" w14:paraId="006B7D1E" w14:textId="26AAE98F">
      <w:pPr>
        <w:pBdr>
          <w:top w:val="nil" w:color="000000" w:sz="0" w:space="0"/>
          <w:left w:val="nil" w:color="000000" w:sz="0" w:space="0"/>
          <w:bottom w:val="nil" w:color="000000" w:sz="0" w:space="0"/>
          <w:right w:val="nil" w:color="000000" w:sz="0" w:space="0"/>
          <w:between w:val="nil" w:color="000000" w:sz="0" w:space="0"/>
        </w:pBdr>
        <w:spacing w:line="240" w:lineRule="auto"/>
        <w:ind w:left="0" w:hanging="2"/>
        <w:jc w:val="center"/>
        <w:rPr>
          <w:rFonts w:ascii="Arial" w:hAnsi="Arial" w:eastAsia="Arial" w:cs="Arial"/>
          <w:sz w:val="20"/>
          <w:szCs w:val="20"/>
        </w:rPr>
      </w:pPr>
      <w:hyperlink r:id="R2ea4c82783e5482c">
        <w:r w:rsidRPr="2D709C40" w:rsidR="3BE66F19">
          <w:rPr>
            <w:rStyle w:val="Hyperlink"/>
            <w:rFonts w:ascii="Arial" w:hAnsi="Arial" w:eastAsia="Arial" w:cs="Arial"/>
            <w:sz w:val="20"/>
            <w:szCs w:val="20"/>
          </w:rPr>
          <w:t>Dayanna.ingrid.marinho</w:t>
        </w:r>
        <w:r w:rsidRPr="2D709C40" w:rsidR="3BE66F19">
          <w:rPr>
            <w:rStyle w:val="Hyperlink"/>
            <w:rFonts w:ascii="Arial" w:hAnsi="Arial" w:eastAsia="Arial" w:cs="Arial"/>
            <w:sz w:val="20"/>
            <w:szCs w:val="20"/>
          </w:rPr>
          <w:t>@gmail.com</w:t>
        </w:r>
      </w:hyperlink>
    </w:p>
    <w:p w:rsidR="2D709C40" w:rsidP="2D709C40" w:rsidRDefault="2D709C40" w14:paraId="72BC3451" w14:textId="334161D1">
      <w:pPr>
        <w:pStyle w:val="Normal1"/>
      </w:pPr>
    </w:p>
    <w:p w:rsidR="2832302B" w:rsidP="2D709C40" w:rsidRDefault="2832302B" w14:paraId="6DFE8BB5" w14:textId="323E8BA6">
      <w:pPr>
        <w:pBdr>
          <w:top w:val="nil" w:color="000000" w:sz="0" w:space="0"/>
          <w:left w:val="nil" w:color="000000" w:sz="0" w:space="0"/>
          <w:bottom w:val="nil" w:color="000000" w:sz="0" w:space="0"/>
          <w:right w:val="nil" w:color="000000" w:sz="0" w:space="0"/>
          <w:between w:val="nil" w:color="000000" w:sz="0" w:space="0"/>
        </w:pBdr>
        <w:spacing w:line="240" w:lineRule="auto"/>
        <w:ind w:left="0" w:hanging="2"/>
        <w:jc w:val="center"/>
        <w:rPr>
          <w:rFonts w:ascii="Arial" w:hAnsi="Arial" w:eastAsia="Arial" w:cs="Arial"/>
          <w:color w:val="000000" w:themeColor="text1" w:themeTint="FF" w:themeShade="FF"/>
        </w:rPr>
      </w:pPr>
      <w:r w:rsidRPr="2D709C40" w:rsidR="2832302B">
        <w:rPr>
          <w:rFonts w:ascii="Arial" w:hAnsi="Arial" w:eastAsia="Arial" w:cs="Arial"/>
          <w:color w:val="000000" w:themeColor="text1" w:themeTint="FF" w:themeShade="FF"/>
        </w:rPr>
        <w:t>Cristina Costa Melquiades de Medeiros</w:t>
      </w:r>
    </w:p>
    <w:p w:rsidR="2832302B" w:rsidP="2D709C40" w:rsidRDefault="2832302B" w14:paraId="07DC0B6A" w14:textId="5F4FDB49">
      <w:pPr>
        <w:pBdr>
          <w:top w:val="nil" w:color="000000" w:sz="0" w:space="0"/>
          <w:left w:val="nil" w:color="000000" w:sz="0" w:space="0"/>
          <w:bottom w:val="nil" w:color="000000" w:sz="0" w:space="0"/>
          <w:right w:val="nil" w:color="000000" w:sz="0" w:space="0"/>
          <w:between w:val="nil" w:color="000000" w:sz="0" w:space="0"/>
        </w:pBdr>
        <w:spacing w:line="240" w:lineRule="auto"/>
        <w:ind w:left="0" w:hanging="2"/>
        <w:jc w:val="center"/>
        <w:rPr>
          <w:rFonts w:ascii="Arial" w:hAnsi="Arial" w:eastAsia="Arial" w:cs="Arial"/>
          <w:color w:val="000000" w:themeColor="text1" w:themeTint="FF" w:themeShade="FF"/>
          <w:sz w:val="20"/>
          <w:szCs w:val="20"/>
        </w:rPr>
      </w:pPr>
      <w:r w:rsidRPr="2D709C40" w:rsidR="2832302B">
        <w:rPr>
          <w:rFonts w:ascii="Arial" w:hAnsi="Arial" w:eastAsia="Arial" w:cs="Arial"/>
          <w:color w:val="000000" w:themeColor="text1" w:themeTint="FF" w:themeShade="FF"/>
          <w:sz w:val="20"/>
          <w:szCs w:val="20"/>
        </w:rPr>
        <w:t>Centro Universitário de Patos - UNIFIP</w:t>
      </w:r>
    </w:p>
    <w:p w:rsidR="2832302B" w:rsidP="1A6B2C7A" w:rsidRDefault="2832302B" w14:paraId="4D9A3961" w14:textId="4C8D5467">
      <w:pPr>
        <w:pBdr>
          <w:top w:val="nil" w:color="000000" w:sz="0" w:space="0"/>
          <w:left w:val="nil" w:color="000000" w:sz="0" w:space="0"/>
          <w:bottom w:val="nil" w:color="000000" w:sz="0" w:space="0"/>
          <w:right w:val="nil" w:color="000000" w:sz="0" w:space="0"/>
          <w:between w:val="nil" w:color="000000" w:sz="0" w:space="0"/>
        </w:pBdr>
        <w:spacing w:line="240" w:lineRule="auto"/>
        <w:ind w:left="0" w:hanging="2"/>
        <w:jc w:val="center"/>
        <w:rPr>
          <w:rFonts w:ascii="Arial" w:hAnsi="Arial" w:eastAsia="Arial" w:cs="Arial"/>
          <w:sz w:val="20"/>
          <w:szCs w:val="20"/>
        </w:rPr>
      </w:pPr>
      <w:hyperlink r:id="R018392889f914edc">
        <w:r w:rsidRPr="1A6B2C7A" w:rsidR="0B45CA38">
          <w:rPr>
            <w:rStyle w:val="Hyperlink"/>
            <w:rFonts w:ascii="Arial" w:hAnsi="Arial" w:eastAsia="Arial" w:cs="Arial"/>
            <w:sz w:val="20"/>
            <w:szCs w:val="20"/>
          </w:rPr>
          <w:t>C</w:t>
        </w:r>
        <w:r w:rsidRPr="1A6B2C7A" w:rsidR="350CA4DA">
          <w:rPr>
            <w:rStyle w:val="Hyperlink"/>
            <w:rFonts w:ascii="Arial" w:hAnsi="Arial" w:eastAsia="Arial" w:cs="Arial"/>
            <w:sz w:val="20"/>
            <w:szCs w:val="20"/>
          </w:rPr>
          <w:t>ristinabarret</w:t>
        </w:r>
        <w:r w:rsidRPr="1A6B2C7A" w:rsidR="4E0981F0">
          <w:rPr>
            <w:rStyle w:val="Hyperlink"/>
            <w:rFonts w:ascii="Arial" w:hAnsi="Arial" w:eastAsia="Arial" w:cs="Arial"/>
            <w:sz w:val="20"/>
            <w:szCs w:val="20"/>
          </w:rPr>
          <w:t>o@</w:t>
        </w:r>
        <w:r w:rsidRPr="1A6B2C7A" w:rsidR="7196ED5B">
          <w:rPr>
            <w:rStyle w:val="Hyperlink"/>
            <w:rFonts w:ascii="Arial" w:hAnsi="Arial" w:eastAsia="Arial" w:cs="Arial"/>
            <w:sz w:val="20"/>
            <w:szCs w:val="20"/>
          </w:rPr>
          <w:t>fiponline</w:t>
        </w:r>
        <w:r w:rsidRPr="1A6B2C7A" w:rsidR="7196ED5B">
          <w:rPr>
            <w:rStyle w:val="Hyperlink"/>
            <w:rFonts w:ascii="Arial" w:hAnsi="Arial" w:eastAsia="Arial" w:cs="Arial"/>
            <w:sz w:val="20"/>
            <w:szCs w:val="20"/>
          </w:rPr>
          <w:t>.edu.br</w:t>
        </w:r>
      </w:hyperlink>
    </w:p>
    <w:p w:rsidR="00880E69" w:rsidP="2D2ED69C" w:rsidRDefault="00880E69" w14:paraId="00000014" w14:textId="3FC01B8C">
      <w:pPr>
        <w:pBdr>
          <w:top w:val="nil"/>
          <w:left w:val="nil"/>
          <w:bottom w:val="nil"/>
          <w:right w:val="nil"/>
          <w:between w:val="nil"/>
        </w:pBdr>
        <w:spacing w:line="240" w:lineRule="auto"/>
        <w:ind w:left="0" w:hanging="2"/>
        <w:jc w:val="center"/>
        <w:rPr>
          <w:rFonts w:ascii="Arial" w:hAnsi="Arial" w:eastAsia="Arial" w:cs="Arial"/>
          <w:color w:val="000000"/>
        </w:rPr>
      </w:pPr>
    </w:p>
    <w:p w:rsidR="00880E69" w:rsidP="2D2ED69C" w:rsidRDefault="751AA0C6" w14:paraId="3D11404D" w14:textId="6CD03933">
      <w:pPr>
        <w:pBdr>
          <w:top w:val="nil"/>
          <w:left w:val="nil"/>
          <w:bottom w:val="nil"/>
          <w:right w:val="nil"/>
          <w:between w:val="nil"/>
        </w:pBdr>
        <w:spacing w:line="240" w:lineRule="auto"/>
        <w:ind w:left="0" w:hanging="2"/>
        <w:jc w:val="center"/>
        <w:rPr>
          <w:rFonts w:ascii="Arial" w:hAnsi="Arial" w:eastAsia="Arial" w:cs="Arial"/>
          <w:color w:val="000000" w:themeColor="text1"/>
        </w:rPr>
      </w:pPr>
      <w:r w:rsidRPr="2D2ED69C">
        <w:rPr>
          <w:rFonts w:ascii="Arial" w:hAnsi="Arial" w:eastAsia="Arial" w:cs="Arial"/>
          <w:b/>
          <w:bCs/>
          <w:color w:val="000000" w:themeColor="text1"/>
        </w:rPr>
        <w:t>Resumo</w:t>
      </w:r>
    </w:p>
    <w:p w:rsidR="00880E69" w:rsidP="2D709C40" w:rsidRDefault="751AA0C6" w14:paraId="1F505CCC" w14:textId="0B72126D">
      <w:pPr>
        <w:spacing w:line="240" w:lineRule="auto"/>
        <w:ind w:left="-2" w:firstLine="720"/>
        <w:jc w:val="both"/>
        <w:rPr>
          <w:rFonts w:ascii="Arial" w:hAnsi="Arial" w:eastAsia="Arial" w:cs="Arial"/>
          <w:color w:val="000000" w:themeColor="text1"/>
          <w:lang w:val="pt-BR"/>
        </w:rPr>
      </w:pPr>
      <w:r w:rsidRPr="2D709C40" w:rsidR="751AA0C6">
        <w:rPr>
          <w:rFonts w:ascii="Arial" w:hAnsi="Arial" w:eastAsia="Arial" w:cs="Arial"/>
          <w:color w:val="000000" w:themeColor="text1" w:themeTint="FF" w:themeShade="FF"/>
        </w:rPr>
        <w:t xml:space="preserve">As doenças </w:t>
      </w:r>
      <w:r w:rsidRPr="2D709C40" w:rsidR="751AA0C6">
        <w:rPr>
          <w:rFonts w:ascii="Arial" w:hAnsi="Arial" w:eastAsia="Arial" w:cs="Arial"/>
          <w:color w:val="000000" w:themeColor="text1" w:themeTint="FF" w:themeShade="FF"/>
        </w:rPr>
        <w:t>desmielinizantes</w:t>
      </w:r>
      <w:r w:rsidRPr="2D709C40" w:rsidR="751AA0C6">
        <w:rPr>
          <w:rFonts w:ascii="Arial" w:hAnsi="Arial" w:eastAsia="Arial" w:cs="Arial"/>
          <w:color w:val="000000" w:themeColor="text1" w:themeTint="FF" w:themeShade="FF"/>
        </w:rPr>
        <w:t xml:space="preserve"> (</w:t>
      </w:r>
      <w:r w:rsidRPr="2D709C40" w:rsidR="751AA0C6">
        <w:rPr>
          <w:rFonts w:ascii="Arial" w:hAnsi="Arial" w:eastAsia="Arial" w:cs="Arial"/>
          <w:color w:val="000000" w:themeColor="text1" w:themeTint="FF" w:themeShade="FF"/>
        </w:rPr>
        <w:t>DDs</w:t>
      </w:r>
      <w:r w:rsidRPr="2D709C40" w:rsidR="751AA0C6">
        <w:rPr>
          <w:rFonts w:ascii="Arial" w:hAnsi="Arial" w:eastAsia="Arial" w:cs="Arial"/>
          <w:color w:val="000000" w:themeColor="text1" w:themeTint="FF" w:themeShade="FF"/>
        </w:rPr>
        <w:t xml:space="preserve">) do sistema nervoso na infância são um desafio diagnóstico e terapêutico, por afetarem diretamente a função </w:t>
      </w:r>
      <w:r w:rsidRPr="2D709C40" w:rsidR="751AA0C6">
        <w:rPr>
          <w:rFonts w:ascii="Arial" w:hAnsi="Arial" w:eastAsia="Arial" w:cs="Arial"/>
          <w:color w:val="000000" w:themeColor="text1" w:themeTint="FF" w:themeShade="FF"/>
        </w:rPr>
        <w:t>neuromuscular</w:t>
      </w:r>
      <w:r w:rsidRPr="2D709C40" w:rsidR="751AA0C6">
        <w:rPr>
          <w:rFonts w:ascii="Arial" w:hAnsi="Arial" w:eastAsia="Arial" w:cs="Arial"/>
          <w:color w:val="000000" w:themeColor="text1" w:themeTint="FF" w:themeShade="FF"/>
        </w:rPr>
        <w:t xml:space="preserve"> em fase de desenvolvimento. Este estudo revisou a literatura para investigar os efeitos das </w:t>
      </w:r>
      <w:r w:rsidRPr="2D709C40" w:rsidR="751AA0C6">
        <w:rPr>
          <w:rFonts w:ascii="Arial" w:hAnsi="Arial" w:eastAsia="Arial" w:cs="Arial"/>
          <w:color w:val="000000" w:themeColor="text1" w:themeTint="FF" w:themeShade="FF"/>
        </w:rPr>
        <w:t>DDs</w:t>
      </w:r>
      <w:r w:rsidRPr="2D709C40" w:rsidR="751AA0C6">
        <w:rPr>
          <w:rFonts w:ascii="Arial" w:hAnsi="Arial" w:eastAsia="Arial" w:cs="Arial"/>
          <w:color w:val="000000" w:themeColor="text1" w:themeTint="FF" w:themeShade="FF"/>
        </w:rPr>
        <w:t xml:space="preserve"> na</w:t>
      </w:r>
      <w:r w:rsidRPr="2D709C40" w:rsidR="751AA0C6">
        <w:rPr>
          <w:rFonts w:ascii="Arial" w:hAnsi="Arial" w:eastAsia="Arial" w:cs="Arial"/>
          <w:color w:val="000000" w:themeColor="text1" w:themeTint="FF" w:themeShade="FF"/>
        </w:rPr>
        <w:t xml:space="preserve"> </w:t>
      </w:r>
      <w:r w:rsidRPr="2D709C40" w:rsidR="751AA0C6">
        <w:rPr>
          <w:rFonts w:ascii="Arial" w:hAnsi="Arial" w:eastAsia="Arial" w:cs="Arial"/>
          <w:color w:val="000000" w:themeColor="text1" w:themeTint="FF" w:themeShade="FF"/>
        </w:rPr>
        <w:t>si</w:t>
      </w:r>
      <w:r w:rsidRPr="2D709C40" w:rsidR="751AA0C6">
        <w:rPr>
          <w:rFonts w:ascii="Arial" w:hAnsi="Arial" w:eastAsia="Arial" w:cs="Arial"/>
          <w:color w:val="000000" w:themeColor="text1" w:themeTint="FF" w:themeShade="FF"/>
        </w:rPr>
        <w:t>napse</w:t>
      </w:r>
      <w:r w:rsidRPr="2D709C40" w:rsidR="751AA0C6">
        <w:rPr>
          <w:rFonts w:ascii="Arial" w:hAnsi="Arial" w:eastAsia="Arial" w:cs="Arial"/>
          <w:color w:val="000000" w:themeColor="text1" w:themeTint="FF" w:themeShade="FF"/>
        </w:rPr>
        <w:t xml:space="preserve"> e contração muscular em crianças. A pesquisa, realizada entre março e abril de 2025, resultou na seleção de oito artigos. Os achados indicam que a </w:t>
      </w:r>
      <w:r w:rsidRPr="2D709C40" w:rsidR="751AA0C6">
        <w:rPr>
          <w:rFonts w:ascii="Arial" w:hAnsi="Arial" w:eastAsia="Arial" w:cs="Arial"/>
          <w:color w:val="000000" w:themeColor="text1" w:themeTint="FF" w:themeShade="FF"/>
        </w:rPr>
        <w:t>desmielinização</w:t>
      </w:r>
      <w:r w:rsidRPr="2D709C40" w:rsidR="751AA0C6">
        <w:rPr>
          <w:rFonts w:ascii="Arial" w:hAnsi="Arial" w:eastAsia="Arial" w:cs="Arial"/>
          <w:color w:val="000000" w:themeColor="text1" w:themeTint="FF" w:themeShade="FF"/>
        </w:rPr>
        <w:t xml:space="preserve"> prejudica a condução nervosa, reduz a eficiência </w:t>
      </w:r>
      <w:r w:rsidRPr="2D709C40" w:rsidR="751AA0C6">
        <w:rPr>
          <w:rFonts w:ascii="Arial" w:hAnsi="Arial" w:eastAsia="Arial" w:cs="Arial"/>
          <w:color w:val="000000" w:themeColor="text1" w:themeTint="FF" w:themeShade="FF"/>
        </w:rPr>
        <w:t>sináptica</w:t>
      </w:r>
      <w:r w:rsidRPr="2D709C40" w:rsidR="751AA0C6">
        <w:rPr>
          <w:rFonts w:ascii="Arial" w:hAnsi="Arial" w:eastAsia="Arial" w:cs="Arial"/>
          <w:color w:val="000000" w:themeColor="text1" w:themeTint="FF" w:themeShade="FF"/>
        </w:rPr>
        <w:t xml:space="preserve"> e compromete a contração muscular, causando fraqueza, alterações de marcha, desequilíbrio </w:t>
      </w:r>
      <w:r w:rsidRPr="2D709C40" w:rsidR="751AA0C6">
        <w:rPr>
          <w:rFonts w:ascii="Arial" w:hAnsi="Arial" w:eastAsia="Arial" w:cs="Arial"/>
          <w:color w:val="000000" w:themeColor="text1" w:themeTint="FF" w:themeShade="FF"/>
        </w:rPr>
        <w:t>postural</w:t>
      </w:r>
      <w:r w:rsidRPr="2D709C40" w:rsidR="751AA0C6">
        <w:rPr>
          <w:rFonts w:ascii="Arial" w:hAnsi="Arial" w:eastAsia="Arial" w:cs="Arial"/>
          <w:color w:val="000000" w:themeColor="text1" w:themeTint="FF" w:themeShade="FF"/>
        </w:rPr>
        <w:t xml:space="preserve"> e dependência para locomoção. Mesmo com diagnóstico precoce, as sequelas podem persistir, afetando a qualidade de vida e a autonomia. Conclui-se que são necessários mais estudos sobre os mecanismos </w:t>
      </w:r>
      <w:r w:rsidRPr="2D709C40" w:rsidR="751AA0C6">
        <w:rPr>
          <w:rFonts w:ascii="Arial" w:hAnsi="Arial" w:eastAsia="Arial" w:cs="Arial"/>
          <w:color w:val="000000" w:themeColor="text1" w:themeTint="FF" w:themeShade="FF"/>
        </w:rPr>
        <w:t>fisiopatológicos</w:t>
      </w:r>
      <w:r w:rsidRPr="2D709C40" w:rsidR="751AA0C6">
        <w:rPr>
          <w:rFonts w:ascii="Arial" w:hAnsi="Arial" w:eastAsia="Arial" w:cs="Arial"/>
          <w:color w:val="000000" w:themeColor="text1" w:themeTint="FF" w:themeShade="FF"/>
        </w:rPr>
        <w:t xml:space="preserve"> dessas doenças na infância, visando aprimorar o diagnóstico e o manejo clínico.</w:t>
      </w:r>
    </w:p>
    <w:p w:rsidR="00880E69" w:rsidP="2D2ED69C" w:rsidRDefault="751AA0C6" w14:paraId="217BBF2A" w14:textId="65143690">
      <w:pPr>
        <w:ind w:left="0" w:hanging="2"/>
        <w:rPr>
          <w:rFonts w:ascii="Arial" w:hAnsi="Arial" w:eastAsia="Arial" w:cs="Arial"/>
          <w:color w:val="000000" w:themeColor="text1"/>
        </w:rPr>
      </w:pPr>
      <w:r w:rsidRPr="2D2ED69C">
        <w:rPr>
          <w:rFonts w:ascii="Arial" w:hAnsi="Arial" w:eastAsia="Arial" w:cs="Arial"/>
          <w:b/>
          <w:bCs/>
          <w:color w:val="000000" w:themeColor="text1"/>
        </w:rPr>
        <w:t>Descritores:</w:t>
      </w:r>
      <w:r w:rsidRPr="2D2ED69C">
        <w:rPr>
          <w:rFonts w:ascii="Arial" w:hAnsi="Arial" w:eastAsia="Arial" w:cs="Arial"/>
          <w:color w:val="000000" w:themeColor="text1"/>
        </w:rPr>
        <w:t xml:space="preserve"> Contração muscular. </w:t>
      </w:r>
      <w:proofErr w:type="spellStart"/>
      <w:r w:rsidRPr="2D2ED69C">
        <w:rPr>
          <w:rFonts w:ascii="Arial" w:hAnsi="Arial" w:eastAsia="Arial" w:cs="Arial"/>
          <w:color w:val="000000" w:themeColor="text1"/>
        </w:rPr>
        <w:t>Desmielinização</w:t>
      </w:r>
      <w:proofErr w:type="spellEnd"/>
      <w:r w:rsidRPr="2D2ED69C">
        <w:rPr>
          <w:rFonts w:ascii="Arial" w:hAnsi="Arial" w:eastAsia="Arial" w:cs="Arial"/>
          <w:color w:val="000000" w:themeColor="text1"/>
        </w:rPr>
        <w:t xml:space="preserve">. Função </w:t>
      </w:r>
      <w:proofErr w:type="spellStart"/>
      <w:r w:rsidRPr="2D2ED69C">
        <w:rPr>
          <w:rFonts w:ascii="Arial" w:hAnsi="Arial" w:eastAsia="Arial" w:cs="Arial"/>
          <w:color w:val="000000" w:themeColor="text1"/>
        </w:rPr>
        <w:t>neuromuscular</w:t>
      </w:r>
      <w:proofErr w:type="spellEnd"/>
      <w:r w:rsidRPr="2D2ED69C">
        <w:rPr>
          <w:rFonts w:ascii="Arial" w:hAnsi="Arial" w:eastAsia="Arial" w:cs="Arial"/>
          <w:color w:val="000000" w:themeColor="text1"/>
        </w:rPr>
        <w:t xml:space="preserve">. Infância. </w:t>
      </w:r>
      <w:proofErr w:type="spellStart"/>
      <w:r w:rsidRPr="2D2ED69C">
        <w:rPr>
          <w:rFonts w:ascii="Arial" w:hAnsi="Arial" w:eastAsia="Arial" w:cs="Arial"/>
          <w:color w:val="000000" w:themeColor="text1"/>
        </w:rPr>
        <w:t>Sinapse</w:t>
      </w:r>
      <w:proofErr w:type="spellEnd"/>
      <w:r w:rsidRPr="2D2ED69C">
        <w:rPr>
          <w:rFonts w:ascii="Arial" w:hAnsi="Arial" w:eastAsia="Arial" w:cs="Arial"/>
          <w:color w:val="000000" w:themeColor="text1"/>
        </w:rPr>
        <w:t>.</w:t>
      </w:r>
    </w:p>
    <w:p w:rsidR="00880E69" w:rsidP="2D2ED69C" w:rsidRDefault="00880E69" w14:paraId="17BF5A7D" w14:textId="393221E1">
      <w:pPr>
        <w:pBdr>
          <w:top w:val="nil"/>
          <w:left w:val="nil"/>
          <w:bottom w:val="nil"/>
          <w:right w:val="nil"/>
          <w:between w:val="nil"/>
        </w:pBdr>
        <w:spacing w:line="240" w:lineRule="auto"/>
        <w:ind w:left="0" w:hanging="2"/>
        <w:jc w:val="center"/>
        <w:rPr>
          <w:rFonts w:ascii="Arial" w:hAnsi="Arial" w:eastAsia="Arial" w:cs="Arial"/>
          <w:color w:val="000000" w:themeColor="text1"/>
        </w:rPr>
      </w:pPr>
    </w:p>
    <w:p w:rsidR="00880E69" w:rsidP="2D2ED69C" w:rsidRDefault="751AA0C6" w14:paraId="20BE54A9" w14:textId="7D121F4A">
      <w:pPr>
        <w:pBdr>
          <w:top w:val="nil"/>
          <w:left w:val="nil"/>
          <w:bottom w:val="nil"/>
          <w:right w:val="nil"/>
          <w:between w:val="nil"/>
        </w:pBdr>
        <w:spacing w:line="240" w:lineRule="auto"/>
        <w:ind w:left="0" w:hanging="2"/>
        <w:jc w:val="center"/>
        <w:rPr>
          <w:rFonts w:ascii="Arial" w:hAnsi="Arial" w:eastAsia="Arial" w:cs="Arial"/>
          <w:color w:val="000000" w:themeColor="text1"/>
        </w:rPr>
      </w:pPr>
      <w:proofErr w:type="spellStart"/>
      <w:r w:rsidRPr="2D2ED69C">
        <w:rPr>
          <w:rFonts w:ascii="Arial" w:hAnsi="Arial" w:eastAsia="Arial" w:cs="Arial"/>
          <w:b/>
          <w:bCs/>
          <w:color w:val="000000" w:themeColor="text1"/>
        </w:rPr>
        <w:t>Abstract</w:t>
      </w:r>
      <w:proofErr w:type="spellEnd"/>
    </w:p>
    <w:p w:rsidR="00880E69" w:rsidP="2D709C40" w:rsidRDefault="751AA0C6" w14:paraId="72FD9F5D" w14:textId="49B1C8CD">
      <w:pPr>
        <w:ind w:left="-2" w:firstLine="720"/>
        <w:jc w:val="both"/>
        <w:rPr>
          <w:rFonts w:ascii="Arial" w:hAnsi="Arial" w:eastAsia="Arial" w:cs="Arial"/>
          <w:color w:val="000000" w:themeColor="text1"/>
          <w:lang w:val="pt-BR"/>
        </w:rPr>
      </w:pPr>
      <w:r w:rsidRPr="2D709C40" w:rsidR="751AA0C6">
        <w:rPr>
          <w:rFonts w:ascii="Arial" w:hAnsi="Arial" w:eastAsia="Arial" w:cs="Arial"/>
          <w:color w:val="000000" w:themeColor="text1" w:themeTint="FF" w:themeShade="FF"/>
          <w:lang w:val="en-US"/>
        </w:rPr>
        <w:t xml:space="preserve">Demyelinating diseases (DDs) of the central nervous system in childhood pose diagnostic and therapeutic challenges due to their impact on neuromuscular function during development. This study reviewed the literature to examine the effects of DDs on synapse and muscle contraction in children. The research, conducted between March and April 2025, included eight selected articles. Findings show that demyelination impairs nerve conduction, reduces synaptic efficiency, and affects muscle contraction, leading to weakness, gait changes, postural imbalance, and mobility dependence. Even with early diagnosis, sequelae may persist, </w:t>
      </w:r>
      <w:r w:rsidRPr="2D709C40" w:rsidR="751AA0C6">
        <w:rPr>
          <w:rFonts w:ascii="Arial" w:hAnsi="Arial" w:eastAsia="Arial" w:cs="Arial"/>
          <w:color w:val="000000" w:themeColor="text1" w:themeTint="FF" w:themeShade="FF"/>
          <w:lang w:val="en-US"/>
        </w:rPr>
        <w:t>impacting</w:t>
      </w:r>
      <w:r w:rsidRPr="2D709C40" w:rsidR="751AA0C6">
        <w:rPr>
          <w:rFonts w:ascii="Arial" w:hAnsi="Arial" w:eastAsia="Arial" w:cs="Arial"/>
          <w:color w:val="000000" w:themeColor="text1" w:themeTint="FF" w:themeShade="FF"/>
          <w:lang w:val="en-US"/>
        </w:rPr>
        <w:t xml:space="preserve"> quality of life and autonomy. Further studies on the pathophysiological mechanisms in childhood are needed to improve diagnosis and clinical management.</w:t>
      </w:r>
    </w:p>
    <w:p w:rsidR="00880E69" w:rsidP="2D2ED69C" w:rsidRDefault="751AA0C6" w14:paraId="0000001B" w14:textId="29A551C1">
      <w:pPr>
        <w:spacing w:after="240"/>
        <w:ind w:left="0" w:hanging="2"/>
        <w:jc w:val="both"/>
        <w:rPr>
          <w:rFonts w:ascii="Arial" w:hAnsi="Arial" w:eastAsia="Arial" w:cs="Arial"/>
          <w:color w:val="000000"/>
        </w:rPr>
      </w:pPr>
      <w:proofErr w:type="spellStart"/>
      <w:r w:rsidRPr="2D2ED69C">
        <w:rPr>
          <w:rFonts w:ascii="Arial" w:hAnsi="Arial" w:eastAsia="Arial" w:cs="Arial"/>
          <w:b/>
          <w:bCs/>
          <w:color w:val="000000" w:themeColor="text1"/>
        </w:rPr>
        <w:t>Keywords</w:t>
      </w:r>
      <w:proofErr w:type="spellEnd"/>
      <w:r w:rsidRPr="2D2ED69C">
        <w:rPr>
          <w:rFonts w:ascii="Arial" w:hAnsi="Arial" w:eastAsia="Arial" w:cs="Arial"/>
          <w:b/>
          <w:bCs/>
          <w:color w:val="000000" w:themeColor="text1"/>
        </w:rPr>
        <w:t xml:space="preserve">: </w:t>
      </w:r>
      <w:proofErr w:type="spellStart"/>
      <w:r w:rsidRPr="2D2ED69C">
        <w:rPr>
          <w:rFonts w:ascii="Arial" w:hAnsi="Arial" w:eastAsia="Arial" w:cs="Arial"/>
          <w:color w:val="000000" w:themeColor="text1"/>
        </w:rPr>
        <w:t>Childhood</w:t>
      </w:r>
      <w:proofErr w:type="spellEnd"/>
      <w:r w:rsidRPr="2D2ED69C">
        <w:rPr>
          <w:rFonts w:ascii="Arial" w:hAnsi="Arial" w:eastAsia="Arial" w:cs="Arial"/>
          <w:color w:val="000000" w:themeColor="text1"/>
        </w:rPr>
        <w:t xml:space="preserve">. </w:t>
      </w:r>
      <w:proofErr w:type="spellStart"/>
      <w:r w:rsidRPr="2D2ED69C">
        <w:rPr>
          <w:rFonts w:ascii="Arial" w:hAnsi="Arial" w:eastAsia="Arial" w:cs="Arial"/>
          <w:color w:val="000000" w:themeColor="text1"/>
        </w:rPr>
        <w:t>Demyelination</w:t>
      </w:r>
      <w:proofErr w:type="spellEnd"/>
      <w:r w:rsidRPr="2D2ED69C">
        <w:rPr>
          <w:rFonts w:ascii="Arial" w:hAnsi="Arial" w:eastAsia="Arial" w:cs="Arial"/>
          <w:color w:val="000000" w:themeColor="text1"/>
        </w:rPr>
        <w:t xml:space="preserve">. </w:t>
      </w:r>
      <w:proofErr w:type="spellStart"/>
      <w:r w:rsidRPr="2D2ED69C">
        <w:rPr>
          <w:rFonts w:ascii="Arial" w:hAnsi="Arial" w:eastAsia="Arial" w:cs="Arial"/>
          <w:color w:val="000000" w:themeColor="text1"/>
        </w:rPr>
        <w:t>Muscle</w:t>
      </w:r>
      <w:proofErr w:type="spellEnd"/>
      <w:r w:rsidRPr="2D2ED69C">
        <w:rPr>
          <w:rFonts w:ascii="Arial" w:hAnsi="Arial" w:eastAsia="Arial" w:cs="Arial"/>
          <w:color w:val="000000" w:themeColor="text1"/>
        </w:rPr>
        <w:t xml:space="preserve"> </w:t>
      </w:r>
      <w:proofErr w:type="spellStart"/>
      <w:r w:rsidRPr="2D2ED69C">
        <w:rPr>
          <w:rFonts w:ascii="Arial" w:hAnsi="Arial" w:eastAsia="Arial" w:cs="Arial"/>
          <w:color w:val="000000" w:themeColor="text1"/>
        </w:rPr>
        <w:t>contraction</w:t>
      </w:r>
      <w:proofErr w:type="spellEnd"/>
      <w:r w:rsidRPr="2D2ED69C">
        <w:rPr>
          <w:rFonts w:ascii="Arial" w:hAnsi="Arial" w:eastAsia="Arial" w:cs="Arial"/>
          <w:color w:val="000000" w:themeColor="text1"/>
        </w:rPr>
        <w:t xml:space="preserve">. </w:t>
      </w:r>
      <w:proofErr w:type="spellStart"/>
      <w:r w:rsidRPr="2D2ED69C">
        <w:rPr>
          <w:rFonts w:ascii="Arial" w:hAnsi="Arial" w:eastAsia="Arial" w:cs="Arial"/>
          <w:color w:val="000000" w:themeColor="text1"/>
        </w:rPr>
        <w:t>Neuromuscular</w:t>
      </w:r>
      <w:proofErr w:type="spellEnd"/>
      <w:r w:rsidRPr="2D2ED69C">
        <w:rPr>
          <w:rFonts w:ascii="Arial" w:hAnsi="Arial" w:eastAsia="Arial" w:cs="Arial"/>
          <w:color w:val="000000" w:themeColor="text1"/>
        </w:rPr>
        <w:t xml:space="preserve"> </w:t>
      </w:r>
      <w:proofErr w:type="spellStart"/>
      <w:r w:rsidRPr="2D2ED69C">
        <w:rPr>
          <w:rFonts w:ascii="Arial" w:hAnsi="Arial" w:eastAsia="Arial" w:cs="Arial"/>
          <w:color w:val="000000" w:themeColor="text1"/>
        </w:rPr>
        <w:t>function</w:t>
      </w:r>
      <w:proofErr w:type="spellEnd"/>
      <w:r w:rsidRPr="2D2ED69C">
        <w:rPr>
          <w:rFonts w:ascii="Arial" w:hAnsi="Arial" w:eastAsia="Arial" w:cs="Arial"/>
          <w:color w:val="000000" w:themeColor="text1"/>
        </w:rPr>
        <w:t>. Synapse.</w:t>
      </w:r>
    </w:p>
    <w:p w:rsidR="00880E69" w:rsidRDefault="00880E69" w14:paraId="0000001C" w14:textId="77777777">
      <w:pPr>
        <w:pBdr>
          <w:top w:val="nil"/>
          <w:left w:val="nil"/>
          <w:bottom w:val="nil"/>
          <w:right w:val="nil"/>
          <w:between w:val="nil"/>
        </w:pBdr>
        <w:spacing w:line="240" w:lineRule="auto"/>
        <w:ind w:left="0" w:hanging="2"/>
        <w:rPr>
          <w:rFonts w:ascii="Arial" w:hAnsi="Arial" w:eastAsia="Arial" w:cs="Arial"/>
          <w:color w:val="000000"/>
        </w:rPr>
        <w:sectPr w:rsidR="00880E69" w:rsidSect="008F661D">
          <w:headerReference w:type="even" r:id="rId9"/>
          <w:headerReference w:type="default" r:id="rId10"/>
          <w:footerReference w:type="even" r:id="rId11"/>
          <w:footerReference w:type="default" r:id="rId12"/>
          <w:headerReference w:type="first" r:id="rId13"/>
          <w:footerReference w:type="first" r:id="rId14"/>
          <w:pgSz w:w="11906" w:h="16838" w:orient="portrait"/>
          <w:pgMar w:top="1418" w:right="1418" w:bottom="1418" w:left="1418" w:header="709" w:footer="709" w:gutter="0"/>
          <w:pgNumType w:start="1"/>
          <w:cols w:space="720"/>
          <w:docGrid w:linePitch="326"/>
        </w:sectPr>
      </w:pPr>
    </w:p>
    <w:p w:rsidR="00880E69" w:rsidP="2D2ED69C" w:rsidRDefault="3358524B" w14:paraId="0000002D" w14:textId="4F648432">
      <w:pPr>
        <w:pBdr>
          <w:top w:val="nil"/>
          <w:left w:val="nil"/>
          <w:bottom w:val="nil"/>
          <w:right w:val="nil"/>
          <w:between w:val="nil"/>
        </w:pBdr>
        <w:spacing w:line="240" w:lineRule="auto"/>
        <w:ind w:left="-2" w:leftChars="0" w:firstLine="0" w:firstLineChars="0"/>
        <w:rPr>
          <w:rFonts w:ascii="Arial" w:hAnsi="Arial" w:eastAsia="Arial" w:cs="Arial"/>
          <w:color w:val="000000"/>
        </w:rPr>
      </w:pPr>
      <w:r w:rsidRPr="2D2ED69C">
        <w:rPr>
          <w:rFonts w:ascii="Arial" w:hAnsi="Arial" w:eastAsia="Arial" w:cs="Arial"/>
          <w:b/>
          <w:bCs/>
          <w:color w:val="000000" w:themeColor="text1"/>
        </w:rPr>
        <w:t xml:space="preserve">1 </w:t>
      </w:r>
      <w:r w:rsidRPr="2D2ED69C" w:rsidR="1EDFCA0C">
        <w:rPr>
          <w:rFonts w:ascii="Arial" w:hAnsi="Arial" w:eastAsia="Arial" w:cs="Arial"/>
          <w:b/>
          <w:bCs/>
          <w:color w:val="000000" w:themeColor="text1"/>
        </w:rPr>
        <w:t>INTRODUÇÃO</w:t>
      </w:r>
    </w:p>
    <w:p w:rsidR="00880E69" w:rsidP="416867E3" w:rsidRDefault="00880E69" w14:paraId="0000002E" w14:textId="77777777" w14:noSpellErr="1">
      <w:pPr>
        <w:pBdr>
          <w:top w:val="nil" w:color="000000" w:sz="0" w:space="0"/>
          <w:left w:val="nil" w:color="000000" w:sz="0" w:space="0"/>
          <w:bottom w:val="nil" w:color="000000" w:sz="0" w:space="0"/>
          <w:right w:val="nil" w:color="000000" w:sz="0" w:space="0"/>
          <w:between w:val="nil" w:color="000000" w:sz="0" w:space="0"/>
        </w:pBdr>
        <w:spacing w:line="240" w:lineRule="auto"/>
        <w:ind w:left="-2" w:firstLine="720"/>
        <w:jc w:val="both"/>
        <w:rPr>
          <w:rFonts w:ascii="Arial" w:hAnsi="Arial" w:eastAsia="Arial" w:cs="Arial"/>
          <w:color w:val="000000"/>
        </w:rPr>
      </w:pPr>
    </w:p>
    <w:p w:rsidR="00880E69" w:rsidP="416867E3" w:rsidRDefault="7DE82A29" w14:paraId="763419C3" w14:textId="52DE19B4">
      <w:pPr>
        <w:spacing w:line="240" w:lineRule="auto"/>
        <w:ind w:left="-2" w:firstLine="720"/>
        <w:jc w:val="both"/>
        <w:rPr>
          <w:rFonts w:ascii="Arial" w:hAnsi="Arial" w:eastAsia="Arial" w:cs="Arial"/>
          <w:color w:val="000000" w:themeColor="text1"/>
        </w:rPr>
      </w:pPr>
      <w:r w:rsidRPr="2D709C40" w:rsidR="677F03F7">
        <w:rPr>
          <w:rFonts w:ascii="Arial" w:hAnsi="Arial" w:eastAsia="Arial" w:cs="Arial"/>
          <w:color w:val="000000" w:themeColor="text1" w:themeTint="FF" w:themeShade="FF"/>
          <w:lang w:val="pt-BR"/>
        </w:rPr>
        <w:t xml:space="preserve">As doenças </w:t>
      </w:r>
      <w:r w:rsidRPr="2D709C40" w:rsidR="677F03F7">
        <w:rPr>
          <w:rFonts w:ascii="Arial" w:hAnsi="Arial" w:eastAsia="Arial" w:cs="Arial"/>
          <w:color w:val="000000" w:themeColor="text1" w:themeTint="FF" w:themeShade="FF"/>
          <w:lang w:val="pt-BR"/>
        </w:rPr>
        <w:t>desmielinizantes</w:t>
      </w:r>
      <w:r w:rsidRPr="2D709C40" w:rsidR="677F03F7">
        <w:rPr>
          <w:rFonts w:ascii="Arial" w:hAnsi="Arial" w:eastAsia="Arial" w:cs="Arial"/>
          <w:color w:val="000000" w:themeColor="text1" w:themeTint="FF" w:themeShade="FF"/>
          <w:lang w:val="pt-BR"/>
        </w:rPr>
        <w:t xml:space="preserve"> (</w:t>
      </w:r>
      <w:r w:rsidRPr="2D709C40" w:rsidR="677F03F7">
        <w:rPr>
          <w:rFonts w:ascii="Arial" w:hAnsi="Arial" w:eastAsia="Arial" w:cs="Arial"/>
          <w:color w:val="000000" w:themeColor="text1" w:themeTint="FF" w:themeShade="FF"/>
          <w:lang w:val="pt-BR"/>
        </w:rPr>
        <w:t>DDs</w:t>
      </w:r>
      <w:r w:rsidRPr="2D709C40" w:rsidR="677F03F7">
        <w:rPr>
          <w:rFonts w:ascii="Arial" w:hAnsi="Arial" w:eastAsia="Arial" w:cs="Arial"/>
          <w:color w:val="000000" w:themeColor="text1" w:themeTint="FF" w:themeShade="FF"/>
          <w:lang w:val="pt-BR"/>
        </w:rPr>
        <w:t xml:space="preserve">) são um grupo de afecções inflamatórias </w:t>
      </w:r>
      <w:r w:rsidRPr="2D709C40" w:rsidR="677F03F7">
        <w:rPr>
          <w:rFonts w:ascii="Arial" w:hAnsi="Arial" w:eastAsia="Arial" w:cs="Arial"/>
          <w:color w:val="000000" w:themeColor="text1" w:themeTint="FF" w:themeShade="FF"/>
          <w:lang w:val="pt-BR"/>
        </w:rPr>
        <w:t>imunomediadas</w:t>
      </w:r>
      <w:r w:rsidRPr="2D709C40" w:rsidR="25CE22AA">
        <w:rPr>
          <w:rFonts w:ascii="Arial" w:hAnsi="Arial" w:eastAsia="Arial" w:cs="Arial"/>
          <w:color w:val="000000" w:themeColor="text1" w:themeTint="FF" w:themeShade="FF"/>
          <w:lang w:val="pt-BR"/>
        </w:rPr>
        <w:t xml:space="preserve"> que </w:t>
      </w:r>
      <w:r w:rsidRPr="2D709C40" w:rsidR="677F03F7">
        <w:rPr>
          <w:rFonts w:ascii="Arial" w:hAnsi="Arial" w:eastAsia="Arial" w:cs="Arial"/>
          <w:color w:val="000000" w:themeColor="text1" w:themeTint="FF" w:themeShade="FF"/>
          <w:lang w:val="pt-BR"/>
        </w:rPr>
        <w:t>causa</w:t>
      </w:r>
      <w:r w:rsidRPr="2D709C40" w:rsidR="3F0BC4FF">
        <w:rPr>
          <w:rFonts w:ascii="Arial" w:hAnsi="Arial" w:eastAsia="Arial" w:cs="Arial"/>
          <w:color w:val="000000" w:themeColor="text1" w:themeTint="FF" w:themeShade="FF"/>
          <w:lang w:val="pt-BR"/>
        </w:rPr>
        <w:t>m</w:t>
      </w:r>
      <w:r w:rsidRPr="2D709C40" w:rsidR="677F03F7">
        <w:rPr>
          <w:rFonts w:ascii="Arial" w:hAnsi="Arial" w:eastAsia="Arial" w:cs="Arial"/>
          <w:color w:val="000000" w:themeColor="text1" w:themeTint="FF" w:themeShade="FF"/>
          <w:lang w:val="pt-BR"/>
        </w:rPr>
        <w:t xml:space="preserve"> danos à </w:t>
      </w:r>
      <w:r w:rsidRPr="2D709C40" w:rsidR="677F03F7">
        <w:rPr>
          <w:rFonts w:ascii="Arial" w:hAnsi="Arial" w:eastAsia="Arial" w:cs="Arial"/>
          <w:color w:val="000000" w:themeColor="text1" w:themeTint="FF" w:themeShade="FF"/>
          <w:lang w:val="pt-BR"/>
        </w:rPr>
        <w:t>mielina.</w:t>
      </w:r>
      <w:r w:rsidRPr="2D709C40" w:rsidR="677F03F7">
        <w:rPr>
          <w:rFonts w:ascii="Arial" w:hAnsi="Arial" w:eastAsia="Arial" w:cs="Arial"/>
          <w:color w:val="000000" w:themeColor="text1" w:themeTint="FF" w:themeShade="FF"/>
          <w:lang w:val="pt-BR"/>
        </w:rPr>
        <w:t xml:space="preserve"> Esses danos podem levar à destruição parcial ou total dos </w:t>
      </w:r>
      <w:r w:rsidRPr="2D709C40" w:rsidR="677F03F7">
        <w:rPr>
          <w:rFonts w:ascii="Arial" w:hAnsi="Arial" w:eastAsia="Arial" w:cs="Arial"/>
          <w:color w:val="000000" w:themeColor="text1" w:themeTint="FF" w:themeShade="FF"/>
          <w:lang w:val="pt-BR"/>
        </w:rPr>
        <w:t>axônios</w:t>
      </w:r>
      <w:r w:rsidRPr="2D709C40" w:rsidR="677F03F7">
        <w:rPr>
          <w:rFonts w:ascii="Arial" w:hAnsi="Arial" w:eastAsia="Arial" w:cs="Arial"/>
          <w:color w:val="000000" w:themeColor="text1" w:themeTint="FF" w:themeShade="FF"/>
          <w:lang w:val="pt-BR"/>
        </w:rPr>
        <w:t xml:space="preserve"> e neurônios, comprometendo a funcionalidade neuromuscular e resultando em déficits motores e cognitivos (SÁ; SALLES, 2020). Quando a bainha de mielina é afetada, ocorrem alterações nos sentidos e funções, podendo levar a processos irreversíveis. Entre as principais enfermidades</w:t>
      </w:r>
      <w:r w:rsidRPr="2D709C40" w:rsidR="677F03F7">
        <w:rPr>
          <w:rFonts w:ascii="Arial" w:hAnsi="Arial" w:eastAsia="Arial" w:cs="Arial"/>
          <w:color w:val="000000" w:themeColor="text1" w:themeTint="FF" w:themeShade="FF"/>
          <w:lang w:val="pt-BR"/>
        </w:rPr>
        <w:t xml:space="preserve">, destacam-se a esclerose múltipla (EM), a </w:t>
      </w:r>
      <w:r w:rsidRPr="2D709C40" w:rsidR="677F03F7">
        <w:rPr>
          <w:rFonts w:ascii="Arial" w:hAnsi="Arial" w:eastAsia="Arial" w:cs="Arial"/>
          <w:color w:val="000000" w:themeColor="text1" w:themeTint="FF" w:themeShade="FF"/>
          <w:lang w:val="pt-BR"/>
        </w:rPr>
        <w:t>neuromielite</w:t>
      </w:r>
      <w:r w:rsidRPr="2D709C40" w:rsidR="677F03F7">
        <w:rPr>
          <w:rFonts w:ascii="Arial" w:hAnsi="Arial" w:eastAsia="Arial" w:cs="Arial"/>
          <w:color w:val="000000" w:themeColor="text1" w:themeTint="FF" w:themeShade="FF"/>
          <w:lang w:val="pt-BR"/>
        </w:rPr>
        <w:t xml:space="preserve"> óptica (NMO) e a encefalomielite aguda disseminada (ADEM). A distinção dessas doenças é essencial para um diagnóstico e tratamento adequados, pois podem ser confundidas com outras patologias (SILVA </w:t>
      </w:r>
      <w:r w:rsidRPr="2D709C40" w:rsidR="677F03F7">
        <w:rPr>
          <w:rFonts w:ascii="Arial" w:hAnsi="Arial" w:eastAsia="Arial" w:cs="Arial"/>
          <w:i w:val="1"/>
          <w:iCs w:val="1"/>
          <w:color w:val="000000" w:themeColor="text1" w:themeTint="FF" w:themeShade="FF"/>
          <w:lang w:val="pt-BR"/>
        </w:rPr>
        <w:t>et al</w:t>
      </w:r>
      <w:r w:rsidRPr="2D709C40" w:rsidR="677F03F7">
        <w:rPr>
          <w:rFonts w:ascii="Arial" w:hAnsi="Arial" w:eastAsia="Arial" w:cs="Arial"/>
          <w:color w:val="000000" w:themeColor="text1" w:themeTint="FF" w:themeShade="FF"/>
          <w:lang w:val="pt-BR"/>
        </w:rPr>
        <w:t xml:space="preserve">., 2022). </w:t>
      </w:r>
    </w:p>
    <w:p w:rsidR="00880E69" w:rsidP="2D709C40" w:rsidRDefault="7DE82A29" w14:paraId="7DB91368" w14:textId="75B87AD8">
      <w:pPr>
        <w:spacing w:line="240" w:lineRule="auto"/>
        <w:ind w:left="-2" w:firstLine="720"/>
        <w:jc w:val="both"/>
        <w:rPr>
          <w:rFonts w:ascii="Arial" w:hAnsi="Arial" w:eastAsia="Arial" w:cs="Arial"/>
          <w:color w:val="000000" w:themeColor="text1" w:themeTint="FF" w:themeShade="FF"/>
          <w:lang w:val="pt-BR"/>
        </w:rPr>
      </w:pPr>
      <w:r w:rsidRPr="2D709C40" w:rsidR="677F03F7">
        <w:rPr>
          <w:rFonts w:ascii="Arial" w:hAnsi="Arial" w:eastAsia="Arial" w:cs="Arial"/>
          <w:color w:val="000000" w:themeColor="text1" w:themeTint="FF" w:themeShade="FF"/>
          <w:lang w:val="pt-BR"/>
        </w:rPr>
        <w:t xml:space="preserve">A relevância desse tema se destaca pelo impacto das </w:t>
      </w:r>
      <w:r w:rsidRPr="2D709C40" w:rsidR="677F03F7">
        <w:rPr>
          <w:rFonts w:ascii="Arial" w:hAnsi="Arial" w:eastAsia="Arial" w:cs="Arial"/>
          <w:color w:val="000000" w:themeColor="text1" w:themeTint="FF" w:themeShade="FF"/>
          <w:lang w:val="pt-BR"/>
        </w:rPr>
        <w:t>DDs</w:t>
      </w:r>
      <w:r w:rsidRPr="2D709C40" w:rsidR="677F03F7">
        <w:rPr>
          <w:rFonts w:ascii="Arial" w:hAnsi="Arial" w:eastAsia="Arial" w:cs="Arial"/>
          <w:color w:val="000000" w:themeColor="text1" w:themeTint="FF" w:themeShade="FF"/>
          <w:lang w:val="pt-BR"/>
        </w:rPr>
        <w:t xml:space="preserve"> na população mundial.</w:t>
      </w:r>
      <w:r w:rsidRPr="2D709C40" w:rsidR="54536B49">
        <w:rPr>
          <w:rFonts w:ascii="Arial" w:hAnsi="Arial" w:eastAsia="Arial" w:cs="Arial"/>
          <w:noProof w:val="0"/>
          <w:sz w:val="24"/>
          <w:szCs w:val="24"/>
          <w:lang w:val="pt-BR"/>
        </w:rPr>
        <w:t xml:space="preserve"> A EM afeta de 5 a 30 pessoas a cada 100 mil adultos</w:t>
      </w:r>
      <w:r w:rsidRPr="2D709C40" w:rsidR="677F03F7">
        <w:rPr>
          <w:rFonts w:ascii="Arial" w:hAnsi="Arial" w:eastAsia="Arial" w:cs="Arial"/>
          <w:color w:val="000000" w:themeColor="text1" w:themeTint="FF" w:themeShade="FF"/>
          <w:lang w:val="pt-BR"/>
        </w:rPr>
        <w:t xml:space="preserve">, e estima-se que cerca de 2,5 a 5,0% dos pacientes com EM apresentem sua primeira manifestação antes dos 16 anos de idade (SÁ; SALLES, 2020). </w:t>
      </w:r>
    </w:p>
    <w:p w:rsidR="00880E69" w:rsidP="2D709C40" w:rsidRDefault="7DE82A29" w14:paraId="4653B7C8" w14:textId="6419F598">
      <w:pPr>
        <w:spacing w:line="240" w:lineRule="auto"/>
        <w:ind w:left="-2" w:firstLine="720"/>
        <w:jc w:val="both"/>
        <w:rPr>
          <w:rFonts w:ascii="Arial" w:hAnsi="Arial" w:eastAsia="Arial" w:cs="Arial"/>
          <w:color w:val="000000" w:themeColor="text1"/>
          <w:lang w:val="pt-BR"/>
        </w:rPr>
      </w:pPr>
      <w:r w:rsidRPr="2D709C40" w:rsidR="0315C202">
        <w:rPr>
          <w:rFonts w:ascii="Arial" w:hAnsi="Arial" w:eastAsia="Arial" w:cs="Arial"/>
          <w:noProof w:val="0"/>
          <w:sz w:val="24"/>
          <w:szCs w:val="24"/>
          <w:lang w:val="pt-BR"/>
        </w:rPr>
        <w:t>Na infância, afetam um sistema nervoso em desenvolvimento, dificultando o diagnóstico e manejo</w:t>
      </w:r>
      <w:r w:rsidRPr="2D709C40" w:rsidR="677F03F7">
        <w:rPr>
          <w:rFonts w:ascii="Arial" w:hAnsi="Arial" w:eastAsia="Arial" w:cs="Arial"/>
          <w:color w:val="000000" w:themeColor="text1" w:themeTint="FF" w:themeShade="FF"/>
          <w:lang w:val="pt-BR"/>
        </w:rPr>
        <w:t>.</w:t>
      </w:r>
      <w:r w:rsidRPr="2D709C40" w:rsidR="61A05944">
        <w:rPr>
          <w:rFonts w:ascii="Arial" w:hAnsi="Arial" w:eastAsia="Arial" w:cs="Arial"/>
          <w:color w:val="000000" w:themeColor="text1" w:themeTint="FF" w:themeShade="FF"/>
          <w:lang w:val="pt-BR"/>
        </w:rPr>
        <w:t xml:space="preserve"> A</w:t>
      </w:r>
      <w:r w:rsidRPr="2D709C40" w:rsidR="677F03F7">
        <w:rPr>
          <w:rFonts w:ascii="Arial" w:hAnsi="Arial" w:eastAsia="Arial" w:cs="Arial"/>
          <w:color w:val="000000" w:themeColor="text1" w:themeTint="FF" w:themeShade="FF"/>
          <w:lang w:val="pt-BR"/>
        </w:rPr>
        <w:t xml:space="preserve"> evolução das </w:t>
      </w:r>
      <w:r w:rsidRPr="2D709C40" w:rsidR="677F03F7">
        <w:rPr>
          <w:rFonts w:ascii="Arial" w:hAnsi="Arial" w:eastAsia="Arial" w:cs="Arial"/>
          <w:color w:val="000000" w:themeColor="text1" w:themeTint="FF" w:themeShade="FF"/>
          <w:lang w:val="pt-BR"/>
        </w:rPr>
        <w:t>DDs</w:t>
      </w:r>
      <w:r w:rsidRPr="2D709C40" w:rsidR="677F03F7">
        <w:rPr>
          <w:rFonts w:ascii="Arial" w:hAnsi="Arial" w:eastAsia="Arial" w:cs="Arial"/>
          <w:color w:val="000000" w:themeColor="text1" w:themeTint="FF" w:themeShade="FF"/>
          <w:lang w:val="pt-BR"/>
        </w:rPr>
        <w:t xml:space="preserve"> na população pediátrica difere da observada em adultos, com progressão acelerada para estágios mais graves da doença. Aproximadamente 50% dos casos de esclerose múltipla pediátrica (EMP) evoluem para a fase secundariamente progressiva em um período de 20 anos, cerca de 10 anos antes do que ocorre em adultos. Como consequência, há um aumento na incidência de incapacidades severas, como a perda da autonomia na marcha (SÁ; SALLES, 2020).</w:t>
      </w:r>
    </w:p>
    <w:p w:rsidR="00880E69" w:rsidP="416867E3" w:rsidRDefault="7DE82A29" w14:paraId="464ECE5D" w14:textId="4AEE3E57">
      <w:pPr>
        <w:spacing w:line="240" w:lineRule="auto"/>
        <w:ind w:left="-2" w:firstLine="720"/>
        <w:jc w:val="both"/>
        <w:rPr>
          <w:rFonts w:ascii="Arial" w:hAnsi="Arial" w:eastAsia="Arial" w:cs="Arial"/>
          <w:color w:val="000000" w:themeColor="text1"/>
          <w:lang w:val="pt-BR"/>
        </w:rPr>
      </w:pPr>
      <w:r w:rsidRPr="416867E3" w:rsidR="677F03F7">
        <w:rPr>
          <w:rFonts w:ascii="Arial" w:hAnsi="Arial" w:eastAsia="Arial" w:cs="Arial"/>
          <w:color w:val="000000" w:themeColor="text1" w:themeTint="FF" w:themeShade="FF"/>
          <w:lang w:val="pt-BR"/>
        </w:rPr>
        <w:t xml:space="preserve">Gilmore </w:t>
      </w:r>
      <w:r w:rsidRPr="416867E3" w:rsidR="677F03F7">
        <w:rPr>
          <w:rFonts w:ascii="Arial" w:hAnsi="Arial" w:eastAsia="Arial" w:cs="Arial"/>
          <w:i w:val="1"/>
          <w:iCs w:val="1"/>
          <w:color w:val="000000" w:themeColor="text1" w:themeTint="FF" w:themeShade="FF"/>
          <w:lang w:val="pt-BR"/>
        </w:rPr>
        <w:t>et al.</w:t>
      </w:r>
      <w:r w:rsidRPr="416867E3" w:rsidR="677F03F7">
        <w:rPr>
          <w:rFonts w:ascii="Arial" w:hAnsi="Arial" w:eastAsia="Arial" w:cs="Arial"/>
          <w:color w:val="000000" w:themeColor="text1" w:themeTint="FF" w:themeShade="FF"/>
          <w:lang w:val="pt-BR"/>
        </w:rPr>
        <w:t xml:space="preserve"> (2018) mostraram que a </w:t>
      </w:r>
      <w:r w:rsidRPr="416867E3" w:rsidR="677F03F7">
        <w:rPr>
          <w:rFonts w:ascii="Arial" w:hAnsi="Arial" w:eastAsia="Arial" w:cs="Arial"/>
          <w:color w:val="000000" w:themeColor="text1" w:themeTint="FF" w:themeShade="FF"/>
          <w:lang w:val="pt-BR"/>
        </w:rPr>
        <w:t>desmielinização</w:t>
      </w:r>
      <w:r w:rsidRPr="416867E3" w:rsidR="677F03F7">
        <w:rPr>
          <w:rFonts w:ascii="Arial" w:hAnsi="Arial" w:eastAsia="Arial" w:cs="Arial"/>
          <w:color w:val="000000" w:themeColor="text1" w:themeTint="FF" w:themeShade="FF"/>
          <w:lang w:val="pt-BR"/>
        </w:rPr>
        <w:t xml:space="preserve"> compromete não apenas a condução nervosa, mas também a função muscular, evidenciado por redução da força, infiltração de gordura e menor amplitude do potencial de ação muscular composto (CMAP) em pacientes com </w:t>
      </w:r>
      <w:r w:rsidRPr="416867E3" w:rsidR="677F03F7">
        <w:rPr>
          <w:rFonts w:ascii="Arial" w:hAnsi="Arial" w:eastAsia="Arial" w:cs="Arial"/>
          <w:color w:val="000000" w:themeColor="text1" w:themeTint="FF" w:themeShade="FF"/>
          <w:lang w:val="pt-BR"/>
        </w:rPr>
        <w:t>Po</w:t>
      </w:r>
      <w:r w:rsidRPr="416867E3" w:rsidR="677F03F7">
        <w:rPr>
          <w:rFonts w:ascii="Arial" w:hAnsi="Arial" w:eastAsia="Arial" w:cs="Arial"/>
          <w:color w:val="000000" w:themeColor="text1" w:themeTint="FF" w:themeShade="FF"/>
          <w:lang w:val="pt-BR"/>
        </w:rPr>
        <w:t>lirradiculoneuropatia</w:t>
      </w:r>
      <w:r w:rsidRPr="416867E3" w:rsidR="677F03F7">
        <w:rPr>
          <w:rFonts w:ascii="Arial" w:hAnsi="Arial" w:eastAsia="Arial" w:cs="Arial"/>
          <w:color w:val="000000" w:themeColor="text1" w:themeTint="FF" w:themeShade="FF"/>
          <w:lang w:val="pt-BR"/>
        </w:rPr>
        <w:t xml:space="preserve"> </w:t>
      </w:r>
      <w:r w:rsidRPr="416867E3" w:rsidR="677F03F7">
        <w:rPr>
          <w:rFonts w:ascii="Arial" w:hAnsi="Arial" w:eastAsia="Arial" w:cs="Arial"/>
          <w:color w:val="000000" w:themeColor="text1" w:themeTint="FF" w:themeShade="FF"/>
          <w:lang w:val="pt-BR"/>
        </w:rPr>
        <w:t>D</w:t>
      </w:r>
      <w:r w:rsidRPr="416867E3" w:rsidR="677F03F7">
        <w:rPr>
          <w:rFonts w:ascii="Arial" w:hAnsi="Arial" w:eastAsia="Arial" w:cs="Arial"/>
          <w:color w:val="000000" w:themeColor="text1" w:themeTint="FF" w:themeShade="FF"/>
          <w:lang w:val="pt-BR"/>
        </w:rPr>
        <w:t>esmielinizante</w:t>
      </w:r>
      <w:r w:rsidRPr="416867E3" w:rsidR="677F03F7">
        <w:rPr>
          <w:rFonts w:ascii="Arial" w:hAnsi="Arial" w:eastAsia="Arial" w:cs="Arial"/>
          <w:color w:val="000000" w:themeColor="text1" w:themeTint="FF" w:themeShade="FF"/>
          <w:lang w:val="pt-BR"/>
        </w:rPr>
        <w:t xml:space="preserve"> Inflamatória Crônica (CIDP). Isso sugere que doenças </w:t>
      </w:r>
      <w:r w:rsidRPr="416867E3" w:rsidR="677F03F7">
        <w:rPr>
          <w:rFonts w:ascii="Arial" w:hAnsi="Arial" w:eastAsia="Arial" w:cs="Arial"/>
          <w:color w:val="000000" w:themeColor="text1" w:themeTint="FF" w:themeShade="FF"/>
          <w:lang w:val="pt-BR"/>
        </w:rPr>
        <w:t>desmielinizantes</w:t>
      </w:r>
      <w:r w:rsidRPr="416867E3" w:rsidR="677F03F7">
        <w:rPr>
          <w:rFonts w:ascii="Arial" w:hAnsi="Arial" w:eastAsia="Arial" w:cs="Arial"/>
          <w:color w:val="000000" w:themeColor="text1" w:themeTint="FF" w:themeShade="FF"/>
          <w:lang w:val="pt-BR"/>
        </w:rPr>
        <w:t xml:space="preserve"> podem impactar diretamente a sinapse e a contração muscular.</w:t>
      </w:r>
    </w:p>
    <w:p w:rsidR="00880E69" w:rsidP="416867E3" w:rsidRDefault="7DE82A29" w14:paraId="1E434E5D" w14:textId="3A4E2A20">
      <w:pPr>
        <w:spacing w:line="240" w:lineRule="auto"/>
        <w:ind w:left="-2" w:firstLine="720"/>
        <w:jc w:val="both"/>
        <w:rPr>
          <w:rFonts w:ascii="Arial" w:hAnsi="Arial" w:eastAsia="Arial" w:cs="Arial"/>
          <w:color w:val="000000" w:themeColor="text1"/>
          <w:lang w:val="pt-BR"/>
        </w:rPr>
      </w:pPr>
      <w:r w:rsidRPr="416867E3" w:rsidR="677F03F7">
        <w:rPr>
          <w:rFonts w:ascii="Arial" w:hAnsi="Arial" w:eastAsia="Arial" w:cs="Arial"/>
          <w:color w:val="000000" w:themeColor="text1" w:themeTint="FF" w:themeShade="FF"/>
          <w:lang w:val="pt-BR"/>
        </w:rPr>
        <w:t xml:space="preserve">No entanto, a maioria dos estudos se concentra na população adulta, e ainda há uma lacuna na compreensão dos efeitos das doenças </w:t>
      </w:r>
      <w:r w:rsidRPr="416867E3" w:rsidR="677F03F7">
        <w:rPr>
          <w:rFonts w:ascii="Arial" w:hAnsi="Arial" w:eastAsia="Arial" w:cs="Arial"/>
          <w:color w:val="000000" w:themeColor="text1" w:themeTint="FF" w:themeShade="FF"/>
          <w:lang w:val="pt-BR"/>
        </w:rPr>
        <w:t>desmielinizantes</w:t>
      </w:r>
      <w:r w:rsidRPr="416867E3" w:rsidR="677F03F7">
        <w:rPr>
          <w:rFonts w:ascii="Arial" w:hAnsi="Arial" w:eastAsia="Arial" w:cs="Arial"/>
          <w:color w:val="000000" w:themeColor="text1" w:themeTint="FF" w:themeShade="FF"/>
          <w:lang w:val="pt-BR"/>
        </w:rPr>
        <w:t xml:space="preserve"> na função neuromuscular de pacientes pediátricos. Considerando que o sistema nervoso central das crianças ainda está em desenvolvimento, é fundamental investigar como essas alterações afetam a sinapse e a contração muscular nessa faixa etária. Diante desse contexto, questiona-se: como as doenças </w:t>
      </w:r>
      <w:r w:rsidRPr="416867E3" w:rsidR="677F03F7">
        <w:rPr>
          <w:rFonts w:ascii="Arial" w:hAnsi="Arial" w:eastAsia="Arial" w:cs="Arial"/>
          <w:color w:val="000000" w:themeColor="text1" w:themeTint="FF" w:themeShade="FF"/>
          <w:lang w:val="pt-BR"/>
        </w:rPr>
        <w:t>desmielinizantes</w:t>
      </w:r>
      <w:r w:rsidRPr="416867E3" w:rsidR="677F03F7">
        <w:rPr>
          <w:rFonts w:ascii="Arial" w:hAnsi="Arial" w:eastAsia="Arial" w:cs="Arial"/>
          <w:color w:val="000000" w:themeColor="text1" w:themeTint="FF" w:themeShade="FF"/>
          <w:lang w:val="pt-BR"/>
        </w:rPr>
        <w:t xml:space="preserve"> afetam a função neuromuscular em pacientes pediátricos, impactando a sinapse e a contração muscular?</w:t>
      </w:r>
    </w:p>
    <w:p w:rsidR="00880E69" w:rsidP="416867E3" w:rsidRDefault="7DE82A29" w14:paraId="34298DBF" w14:textId="0302F19A">
      <w:pPr>
        <w:spacing w:line="240" w:lineRule="auto"/>
        <w:ind w:left="-2" w:firstLine="720"/>
        <w:jc w:val="both"/>
        <w:rPr>
          <w:rFonts w:ascii="Arial" w:hAnsi="Arial" w:eastAsia="Arial" w:cs="Arial"/>
          <w:color w:val="000000" w:themeColor="text1"/>
        </w:rPr>
      </w:pPr>
      <w:r w:rsidRPr="416867E3" w:rsidR="677F03F7">
        <w:rPr>
          <w:rFonts w:ascii="Arial" w:hAnsi="Arial" w:eastAsia="Arial" w:cs="Arial"/>
          <w:color w:val="000000" w:themeColor="text1" w:themeTint="FF" w:themeShade="FF"/>
          <w:lang w:val="pt-BR"/>
        </w:rPr>
        <w:t xml:space="preserve">Assim, este estudo tem como objetivo investigar os efeitos das doenças </w:t>
      </w:r>
      <w:r w:rsidRPr="416867E3" w:rsidR="677F03F7">
        <w:rPr>
          <w:rFonts w:ascii="Arial" w:hAnsi="Arial" w:eastAsia="Arial" w:cs="Arial"/>
          <w:color w:val="000000" w:themeColor="text1" w:themeTint="FF" w:themeShade="FF"/>
          <w:lang w:val="pt-BR"/>
        </w:rPr>
        <w:t>desmielinizantes</w:t>
      </w:r>
      <w:r w:rsidRPr="416867E3" w:rsidR="677F03F7">
        <w:rPr>
          <w:rFonts w:ascii="Arial" w:hAnsi="Arial" w:eastAsia="Arial" w:cs="Arial"/>
          <w:color w:val="000000" w:themeColor="text1" w:themeTint="FF" w:themeShade="FF"/>
          <w:lang w:val="pt-BR"/>
        </w:rPr>
        <w:t xml:space="preserve"> na função neuromuscular pediátrica, analisando as alterações na sinapse e na contração muscular, bem como os possíveis impactos dessas condições no desenvolvimento motor e na qualidade de vida das crianças afetadas.</w:t>
      </w:r>
    </w:p>
    <w:p w:rsidR="00880E69" w:rsidP="416867E3" w:rsidRDefault="00880E69" w14:paraId="67ADF051" w14:textId="4D761136" w14:noSpellErr="1">
      <w:pPr>
        <w:pStyle w:val="Normal1"/>
        <w:spacing w:line="240" w:lineRule="auto"/>
        <w:ind w:left="-1" w:firstLine="720"/>
        <w:jc w:val="both"/>
        <w:rPr>
          <w:rFonts w:ascii="Arial" w:hAnsi="Arial" w:eastAsia="Arial" w:cs="Arial"/>
          <w:lang w:val="pt-BR"/>
        </w:rPr>
      </w:pPr>
    </w:p>
    <w:p w:rsidR="00880E69" w:rsidP="416867E3" w:rsidRDefault="77282C5D" w14:paraId="00000039" w14:textId="7BFEF506" w14:noSpellErr="1">
      <w:pPr>
        <w:spacing w:line="240" w:lineRule="auto"/>
        <w:ind w:left="-2" w:firstLine="0"/>
        <w:jc w:val="both"/>
        <w:rPr>
          <w:rFonts w:ascii="Arial" w:hAnsi="Arial" w:eastAsia="Arial" w:cs="Arial"/>
          <w:color w:val="000000"/>
        </w:rPr>
      </w:pPr>
      <w:r w:rsidRPr="416867E3" w:rsidR="4F923DE9">
        <w:rPr>
          <w:rFonts w:ascii="Arial" w:hAnsi="Arial" w:eastAsia="Arial" w:cs="Arial"/>
          <w:b w:val="1"/>
          <w:bCs w:val="1"/>
          <w:color w:val="000000" w:themeColor="text1" w:themeTint="FF" w:themeShade="FF"/>
        </w:rPr>
        <w:t xml:space="preserve">2 </w:t>
      </w:r>
      <w:r w:rsidRPr="416867E3" w:rsidR="5B8A132F">
        <w:rPr>
          <w:rFonts w:ascii="Arial" w:hAnsi="Arial" w:eastAsia="Arial" w:cs="Arial"/>
          <w:b w:val="1"/>
          <w:bCs w:val="1"/>
          <w:color w:val="000000" w:themeColor="text1" w:themeTint="FF" w:themeShade="FF"/>
        </w:rPr>
        <w:t>MÉ</w:t>
      </w:r>
      <w:r w:rsidRPr="416867E3" w:rsidR="0E9DCF28">
        <w:rPr>
          <w:rFonts w:ascii="Arial" w:hAnsi="Arial" w:eastAsia="Arial" w:cs="Arial"/>
          <w:b w:val="1"/>
          <w:bCs w:val="1"/>
          <w:color w:val="000000" w:themeColor="text1" w:themeTint="FF" w:themeShade="FF"/>
        </w:rPr>
        <w:t>TODO</w:t>
      </w:r>
    </w:p>
    <w:p w:rsidR="00880E69" w:rsidP="416867E3" w:rsidRDefault="00880E69" w14:paraId="0000003A" w14:textId="77777777" w14:noSpellErr="1">
      <w:pPr>
        <w:pBdr>
          <w:top w:val="nil" w:color="000000" w:sz="0" w:space="0"/>
          <w:left w:val="nil" w:color="000000" w:sz="0" w:space="0"/>
          <w:bottom w:val="nil" w:color="000000" w:sz="0" w:space="0"/>
          <w:right w:val="nil" w:color="000000" w:sz="0" w:space="0"/>
          <w:between w:val="nil" w:color="000000" w:sz="0" w:space="0"/>
        </w:pBdr>
        <w:spacing w:line="240" w:lineRule="auto"/>
        <w:ind w:left="-2" w:firstLine="720"/>
        <w:jc w:val="both"/>
        <w:rPr>
          <w:rFonts w:ascii="Arial" w:hAnsi="Arial" w:eastAsia="Arial" w:cs="Arial"/>
          <w:color w:val="000000"/>
        </w:rPr>
      </w:pPr>
    </w:p>
    <w:p w:rsidR="00880E69" w:rsidP="416867E3" w:rsidRDefault="5D6EE499" w14:paraId="667D7DC6" w14:textId="3C092555">
      <w:pPr>
        <w:spacing w:line="240" w:lineRule="auto"/>
        <w:ind w:left="-2" w:firstLine="720"/>
        <w:jc w:val="both"/>
        <w:rPr>
          <w:rFonts w:ascii="Arial" w:hAnsi="Arial" w:eastAsia="Arial" w:cs="Arial"/>
          <w:noProof w:val="0"/>
          <w:sz w:val="24"/>
          <w:szCs w:val="24"/>
          <w:lang w:val="pt-BR"/>
        </w:rPr>
      </w:pPr>
      <w:r w:rsidRPr="416867E3" w:rsidR="751E790E">
        <w:rPr>
          <w:rFonts w:ascii="Arial" w:hAnsi="Arial" w:eastAsia="Arial" w:cs="Arial"/>
          <w:color w:val="000000" w:themeColor="text1" w:themeTint="FF" w:themeShade="FF"/>
          <w:lang w:val="pt-BR"/>
        </w:rPr>
        <w:t>Trata-se de</w:t>
      </w:r>
      <w:r w:rsidRPr="416867E3" w:rsidR="74786642">
        <w:rPr>
          <w:rFonts w:ascii="Arial" w:hAnsi="Arial" w:eastAsia="Arial" w:cs="Arial"/>
          <w:color w:val="000000" w:themeColor="text1" w:themeTint="FF" w:themeShade="FF"/>
          <w:lang w:val="pt-BR"/>
        </w:rPr>
        <w:t xml:space="preserve"> uma</w:t>
      </w:r>
      <w:r w:rsidRPr="416867E3" w:rsidR="74786642">
        <w:rPr>
          <w:rFonts w:ascii="Arial" w:hAnsi="Arial" w:eastAsia="Arial" w:cs="Arial"/>
          <w:noProof w:val="0"/>
          <w:sz w:val="24"/>
          <w:szCs w:val="24"/>
          <w:lang w:val="pt-BR"/>
        </w:rPr>
        <w:t xml:space="preserve"> revisão de literatura qualitativa, descritiva e exploratória, com foco nos efeitos das doenças desmielinizantes na função neuromuscular pediátrica, especialmente sinapse e contração muscular</w:t>
      </w:r>
      <w:r w:rsidRPr="416867E3" w:rsidR="751E790E">
        <w:rPr>
          <w:rFonts w:ascii="Arial" w:hAnsi="Arial" w:eastAsia="Arial" w:cs="Arial"/>
          <w:color w:val="000000" w:themeColor="text1" w:themeTint="FF" w:themeShade="FF"/>
          <w:lang w:val="pt-BR"/>
        </w:rPr>
        <w:t xml:space="preserve">. </w:t>
      </w:r>
      <w:r w:rsidRPr="416867E3" w:rsidR="3988418A">
        <w:rPr>
          <w:rFonts w:ascii="Arial" w:hAnsi="Arial" w:eastAsia="Arial" w:cs="Arial"/>
          <w:noProof w:val="0"/>
          <w:sz w:val="24"/>
          <w:szCs w:val="24"/>
          <w:lang w:val="pt-BR"/>
        </w:rPr>
        <w:t xml:space="preserve">A pesquisa foi conduzida online, entre março e abril de 2025, com buscas sistemáticas em plataformas reconhecidas da área da saúde: </w:t>
      </w:r>
      <w:r w:rsidRPr="416867E3" w:rsidR="3988418A">
        <w:rPr>
          <w:rFonts w:ascii="Arial" w:hAnsi="Arial" w:eastAsia="Arial" w:cs="Arial"/>
          <w:noProof w:val="0"/>
          <w:sz w:val="24"/>
          <w:szCs w:val="24"/>
          <w:lang w:val="pt-BR"/>
        </w:rPr>
        <w:t>PubMed</w:t>
      </w:r>
      <w:r w:rsidRPr="416867E3" w:rsidR="3988418A">
        <w:rPr>
          <w:rFonts w:ascii="Arial" w:hAnsi="Arial" w:eastAsia="Arial" w:cs="Arial"/>
          <w:noProof w:val="0"/>
          <w:sz w:val="24"/>
          <w:szCs w:val="24"/>
          <w:lang w:val="pt-BR"/>
        </w:rPr>
        <w:t xml:space="preserve">, SciELO Brasil, BVS, </w:t>
      </w:r>
      <w:r w:rsidRPr="416867E3" w:rsidR="3988418A">
        <w:rPr>
          <w:rFonts w:ascii="Arial" w:hAnsi="Arial" w:eastAsia="Arial" w:cs="Arial"/>
          <w:noProof w:val="0"/>
          <w:sz w:val="24"/>
          <w:szCs w:val="24"/>
          <w:lang w:val="pt-BR"/>
        </w:rPr>
        <w:t>Secad</w:t>
      </w:r>
      <w:r w:rsidRPr="416867E3" w:rsidR="3988418A">
        <w:rPr>
          <w:rFonts w:ascii="Arial" w:hAnsi="Arial" w:eastAsia="Arial" w:cs="Arial"/>
          <w:noProof w:val="0"/>
          <w:sz w:val="24"/>
          <w:szCs w:val="24"/>
          <w:lang w:val="pt-BR"/>
        </w:rPr>
        <w:t xml:space="preserve"> Artmed e </w:t>
      </w:r>
      <w:r w:rsidRPr="416867E3" w:rsidR="3988418A">
        <w:rPr>
          <w:rFonts w:ascii="Arial" w:hAnsi="Arial" w:eastAsia="Arial" w:cs="Arial"/>
          <w:noProof w:val="0"/>
          <w:sz w:val="24"/>
          <w:szCs w:val="24"/>
          <w:lang w:val="pt-BR"/>
        </w:rPr>
        <w:t>Wiley</w:t>
      </w:r>
      <w:r w:rsidRPr="416867E3" w:rsidR="3988418A">
        <w:rPr>
          <w:rFonts w:ascii="Arial" w:hAnsi="Arial" w:eastAsia="Arial" w:cs="Arial"/>
          <w:noProof w:val="0"/>
          <w:sz w:val="24"/>
          <w:szCs w:val="24"/>
          <w:lang w:val="pt-BR"/>
        </w:rPr>
        <w:t xml:space="preserve"> Online Library.</w:t>
      </w:r>
      <w:proofErr w:type="spellStart"/>
      <w:proofErr w:type="spellEnd"/>
      <w:proofErr w:type="spellStart"/>
      <w:proofErr w:type="spellEnd"/>
    </w:p>
    <w:p w:rsidR="00880E69" w:rsidP="416867E3" w:rsidRDefault="5D6EE499" w14:paraId="38DFA741" w14:textId="550CD92A">
      <w:pPr>
        <w:spacing w:line="240" w:lineRule="auto"/>
        <w:ind w:left="-2" w:firstLine="720"/>
        <w:jc w:val="both"/>
        <w:rPr>
          <w:rFonts w:ascii="Arial" w:hAnsi="Arial" w:eastAsia="Arial" w:cs="Arial"/>
          <w:noProof w:val="0"/>
          <w:sz w:val="24"/>
          <w:szCs w:val="24"/>
          <w:lang w:val="pt-BR"/>
        </w:rPr>
      </w:pPr>
      <w:r w:rsidRPr="2D709C40" w:rsidR="1F64EC61">
        <w:rPr>
          <w:rFonts w:ascii="Arial" w:hAnsi="Arial" w:eastAsia="Arial" w:cs="Arial"/>
          <w:noProof w:val="0"/>
          <w:sz w:val="24"/>
          <w:szCs w:val="24"/>
          <w:lang w:val="pt-BR"/>
        </w:rPr>
        <w:t>A revisão incluiu artigos disponíveis nessas bases que tratam de doenças desmielinizantes do sistema nervos</w:t>
      </w:r>
      <w:r w:rsidRPr="2D709C40" w:rsidR="59286799">
        <w:rPr>
          <w:rFonts w:ascii="Arial" w:hAnsi="Arial" w:eastAsia="Arial" w:cs="Arial"/>
          <w:noProof w:val="0"/>
          <w:sz w:val="24"/>
          <w:szCs w:val="24"/>
          <w:lang w:val="pt-BR"/>
        </w:rPr>
        <w:t>o</w:t>
      </w:r>
      <w:r w:rsidRPr="2D709C40" w:rsidR="1F64EC61">
        <w:rPr>
          <w:rFonts w:ascii="Arial" w:hAnsi="Arial" w:eastAsia="Arial" w:cs="Arial"/>
          <w:noProof w:val="0"/>
          <w:sz w:val="24"/>
          <w:szCs w:val="24"/>
          <w:lang w:val="pt-BR"/>
        </w:rPr>
        <w:t>.</w:t>
      </w:r>
    </w:p>
    <w:p w:rsidR="00880E69" w:rsidP="416867E3" w:rsidRDefault="5D6EE499" w14:paraId="3AE9AD72" w14:textId="3CA52575">
      <w:pPr>
        <w:spacing w:line="240" w:lineRule="auto"/>
        <w:ind w:left="-2" w:firstLine="720"/>
        <w:jc w:val="both"/>
        <w:rPr>
          <w:rFonts w:ascii="Arial" w:hAnsi="Arial" w:eastAsia="Arial" w:cs="Arial"/>
          <w:color w:val="000000" w:themeColor="text1"/>
          <w:lang w:val="pt-BR"/>
        </w:rPr>
      </w:pPr>
      <w:r w:rsidRPr="416867E3" w:rsidR="751E790E">
        <w:rPr>
          <w:rFonts w:ascii="Arial" w:hAnsi="Arial" w:eastAsia="Arial" w:cs="Arial"/>
          <w:color w:val="000000" w:themeColor="text1" w:themeTint="FF" w:themeShade="FF"/>
          <w:lang w:val="pt-BR"/>
        </w:rPr>
        <w:t xml:space="preserve">Foram definidos os seguintes critérios de inclusão: artigos publicados entre os anos de 2018 e 2025; estudos disponíveis na íntegra, </w:t>
      </w:r>
      <w:r w:rsidRPr="416867E3" w:rsidR="751E790E">
        <w:rPr>
          <w:rFonts w:ascii="Arial" w:hAnsi="Arial" w:eastAsia="Arial" w:cs="Arial"/>
          <w:color w:val="000000" w:themeColor="text1" w:themeTint="FF" w:themeShade="FF"/>
          <w:lang w:val="pt-BR"/>
        </w:rPr>
        <w:t>nos idiomas português</w:t>
      </w:r>
      <w:r w:rsidRPr="416867E3" w:rsidR="751E790E">
        <w:rPr>
          <w:rFonts w:ascii="Arial" w:hAnsi="Arial" w:eastAsia="Arial" w:cs="Arial"/>
          <w:color w:val="000000" w:themeColor="text1" w:themeTint="FF" w:themeShade="FF"/>
          <w:lang w:val="pt-BR"/>
        </w:rPr>
        <w:t xml:space="preserve"> ou inglês; artigos que abordassem doenças </w:t>
      </w:r>
      <w:r w:rsidRPr="416867E3" w:rsidR="751E790E">
        <w:rPr>
          <w:rFonts w:ascii="Arial" w:hAnsi="Arial" w:eastAsia="Arial" w:cs="Arial"/>
          <w:color w:val="000000" w:themeColor="text1" w:themeTint="FF" w:themeShade="FF"/>
          <w:lang w:val="pt-BR"/>
        </w:rPr>
        <w:t>desmielinizantes</w:t>
      </w:r>
      <w:r w:rsidRPr="416867E3" w:rsidR="751E790E">
        <w:rPr>
          <w:rFonts w:ascii="Arial" w:hAnsi="Arial" w:eastAsia="Arial" w:cs="Arial"/>
          <w:color w:val="000000" w:themeColor="text1" w:themeTint="FF" w:themeShade="FF"/>
          <w:lang w:val="pt-BR"/>
        </w:rPr>
        <w:t xml:space="preserve"> em crianças e/ou adolescentes; e publicações que apresentassem dados sobre aspectos neuromusculares, como sinapse, condução nervosa e contração muscular. Foram excluídos da análise: artigos duplicados entre bases distintas; publicações que não abordavam diretamente a temática da função neuromuscular relacionada às doenças </w:t>
      </w:r>
      <w:r w:rsidRPr="416867E3" w:rsidR="751E790E">
        <w:rPr>
          <w:rFonts w:ascii="Arial" w:hAnsi="Arial" w:eastAsia="Arial" w:cs="Arial"/>
          <w:color w:val="000000" w:themeColor="text1" w:themeTint="FF" w:themeShade="FF"/>
          <w:lang w:val="pt-BR"/>
        </w:rPr>
        <w:t>desmielinizantes</w:t>
      </w:r>
      <w:r w:rsidRPr="416867E3" w:rsidR="751E790E">
        <w:rPr>
          <w:rFonts w:ascii="Arial" w:hAnsi="Arial" w:eastAsia="Arial" w:cs="Arial"/>
          <w:color w:val="000000" w:themeColor="text1" w:themeTint="FF" w:themeShade="FF"/>
          <w:lang w:val="pt-BR"/>
        </w:rPr>
        <w:t>; revisões sistemáticas e bibliográficas já consolidadas; e materiais publicados anteriormente a 2018.</w:t>
      </w:r>
    </w:p>
    <w:p w:rsidR="4D862D32" w:rsidP="416867E3" w:rsidRDefault="4D862D32" w14:paraId="74FB7E11" w14:textId="086D4C5E">
      <w:pPr>
        <w:spacing w:line="240" w:lineRule="auto"/>
        <w:ind w:left="-2" w:firstLine="720"/>
        <w:jc w:val="both"/>
        <w:rPr>
          <w:rFonts w:ascii="Arial" w:hAnsi="Arial" w:eastAsia="Arial" w:cs="Arial"/>
          <w:noProof w:val="0"/>
          <w:sz w:val="24"/>
          <w:szCs w:val="24"/>
          <w:lang w:val="pt-BR"/>
        </w:rPr>
      </w:pPr>
      <w:r w:rsidRPr="416867E3" w:rsidR="4D862D32">
        <w:rPr>
          <w:rFonts w:ascii="Arial" w:hAnsi="Arial" w:eastAsia="Arial" w:cs="Arial"/>
          <w:noProof w:val="0"/>
          <w:sz w:val="24"/>
          <w:szCs w:val="24"/>
          <w:lang w:val="pt-BR"/>
        </w:rPr>
        <w:t>Foram usados descritores como: “doenças desmielinizantes”, “esclerose múltipla”, “função neuromuscular”, “sinapse”, “contração muscular”, “pediatria” e “infância”</w:t>
      </w:r>
      <w:r w:rsidRPr="416867E3" w:rsidR="751E790E">
        <w:rPr>
          <w:rFonts w:ascii="Arial" w:hAnsi="Arial" w:eastAsia="Arial" w:cs="Arial"/>
          <w:color w:val="000000" w:themeColor="text1" w:themeTint="FF" w:themeShade="FF"/>
          <w:lang w:val="pt-BR"/>
        </w:rPr>
        <w:t>, entre outros.</w:t>
      </w:r>
      <w:r w:rsidRPr="416867E3" w:rsidR="54A3403A">
        <w:rPr>
          <w:rFonts w:ascii="Arial" w:hAnsi="Arial" w:eastAsia="Arial" w:cs="Arial"/>
          <w:color w:val="000000" w:themeColor="text1" w:themeTint="FF" w:themeShade="FF"/>
          <w:lang w:val="pt-BR"/>
        </w:rPr>
        <w:t xml:space="preserve"> </w:t>
      </w:r>
      <w:r w:rsidRPr="416867E3" w:rsidR="54A3403A">
        <w:rPr>
          <w:rFonts w:ascii="Arial" w:hAnsi="Arial" w:eastAsia="Arial" w:cs="Arial"/>
          <w:noProof w:val="0"/>
          <w:sz w:val="24"/>
          <w:szCs w:val="24"/>
          <w:lang w:val="pt-BR"/>
        </w:rPr>
        <w:t>Os descritores foram usados isoladamente ou combinados com operadores booleanos AND e OR</w:t>
      </w:r>
      <w:r w:rsidRPr="416867E3" w:rsidR="751E790E">
        <w:rPr>
          <w:rFonts w:ascii="Arial" w:hAnsi="Arial" w:eastAsia="Arial" w:cs="Arial"/>
          <w:color w:val="000000" w:themeColor="text1" w:themeTint="FF" w:themeShade="FF"/>
          <w:lang w:val="pt-BR"/>
        </w:rPr>
        <w:t xml:space="preserve">. </w:t>
      </w:r>
      <w:r w:rsidRPr="416867E3" w:rsidR="08FBBA8B">
        <w:rPr>
          <w:rFonts w:ascii="Arial" w:hAnsi="Arial" w:eastAsia="Arial" w:cs="Arial"/>
          <w:noProof w:val="0"/>
          <w:sz w:val="24"/>
          <w:szCs w:val="24"/>
          <w:lang w:val="pt-BR"/>
        </w:rPr>
        <w:t>Das 39 publicações iniciais, após triagem por títulos, resumos e critérios de elegibilidade, restaram 8 artigos para a amostra final.</w:t>
      </w:r>
    </w:p>
    <w:p w:rsidR="00880E69" w:rsidP="416867E3" w:rsidRDefault="00880E69" w14:paraId="0000003C" w14:textId="15F84B10" w14:noSpellErr="1">
      <w:pPr>
        <w:spacing w:line="240" w:lineRule="auto"/>
        <w:ind w:left="-2" w:firstLine="720"/>
        <w:jc w:val="both"/>
        <w:rPr>
          <w:rFonts w:ascii="Arial" w:hAnsi="Arial" w:eastAsia="Arial" w:cs="Arial"/>
        </w:rPr>
      </w:pPr>
    </w:p>
    <w:p w:rsidR="00880E69" w:rsidP="00E90FB5" w:rsidRDefault="77282C5D" w14:paraId="0000003D" w14:textId="16C29B9A">
      <w:pPr>
        <w:pBdr>
          <w:top w:val="nil"/>
          <w:left w:val="nil"/>
          <w:bottom w:val="nil"/>
          <w:right w:val="nil"/>
          <w:between w:val="nil"/>
        </w:pBdr>
        <w:spacing w:line="240" w:lineRule="auto"/>
        <w:ind w:left="-2" w:leftChars="0" w:firstLine="0" w:firstLineChars="0"/>
        <w:rPr>
          <w:rFonts w:ascii="Arial" w:hAnsi="Arial" w:eastAsia="Arial" w:cs="Arial"/>
          <w:color w:val="000000"/>
        </w:rPr>
      </w:pPr>
      <w:r w:rsidRPr="2D2ED69C">
        <w:rPr>
          <w:rFonts w:ascii="Arial" w:hAnsi="Arial" w:eastAsia="Arial" w:cs="Arial"/>
          <w:b/>
          <w:bCs/>
          <w:color w:val="000000" w:themeColor="text1"/>
        </w:rPr>
        <w:t xml:space="preserve">3 </w:t>
      </w:r>
      <w:r w:rsidRPr="2D2ED69C" w:rsidR="1EDFCA0C">
        <w:rPr>
          <w:rFonts w:ascii="Arial" w:hAnsi="Arial" w:eastAsia="Arial" w:cs="Arial"/>
          <w:b/>
          <w:bCs/>
          <w:color w:val="000000" w:themeColor="text1"/>
        </w:rPr>
        <w:t>RESULTADOS</w:t>
      </w:r>
      <w:r w:rsidRPr="2D2ED69C" w:rsidR="76B7F464">
        <w:rPr>
          <w:rFonts w:ascii="Arial" w:hAnsi="Arial" w:eastAsia="Arial" w:cs="Arial"/>
          <w:b/>
          <w:bCs/>
          <w:color w:val="000000" w:themeColor="text1"/>
        </w:rPr>
        <w:t xml:space="preserve"> </w:t>
      </w:r>
    </w:p>
    <w:p w:rsidR="00880E69" w:rsidP="2D2ED69C" w:rsidRDefault="00880E69" w14:paraId="011E8559" w14:textId="07059858">
      <w:pPr>
        <w:pStyle w:val="Normal1"/>
      </w:pPr>
    </w:p>
    <w:p w:rsidR="00880E69" w:rsidP="2D709C40" w:rsidRDefault="00880E69" w14:paraId="22A0282A" w14:textId="59A10FB9">
      <w:pPr>
        <w:spacing w:line="240" w:lineRule="auto"/>
        <w:ind w:left="-2" w:firstLine="720"/>
        <w:jc w:val="both"/>
        <w:rPr>
          <w:rFonts w:ascii="Arial" w:hAnsi="Arial" w:eastAsia="Arial" w:cs="Arial"/>
          <w:b w:val="0"/>
          <w:bCs w:val="0"/>
          <w:i w:val="0"/>
          <w:iCs w:val="0"/>
          <w:caps w:val="0"/>
          <w:smallCaps w:val="0"/>
          <w:noProof w:val="0"/>
          <w:color w:val="000000" w:themeColor="text1" w:themeTint="FF" w:themeShade="FF"/>
          <w:sz w:val="24"/>
          <w:szCs w:val="24"/>
          <w:lang w:val="pt-PT"/>
        </w:rPr>
      </w:pPr>
      <w:r w:rsidRPr="2D709C40" w:rsidR="3491BA0D">
        <w:rPr>
          <w:rFonts w:ascii="Arial" w:hAnsi="Arial" w:eastAsia="Arial" w:cs="Arial"/>
          <w:b w:val="0"/>
          <w:bCs w:val="0"/>
          <w:i w:val="0"/>
          <w:iCs w:val="0"/>
          <w:caps w:val="0"/>
          <w:smallCaps w:val="0"/>
          <w:noProof w:val="0"/>
          <w:color w:val="000000" w:themeColor="text1" w:themeTint="FF" w:themeShade="FF"/>
          <w:sz w:val="24"/>
          <w:szCs w:val="24"/>
          <w:lang w:val="pt-PT"/>
        </w:rPr>
        <w:t xml:space="preserve">Os achados apresentados a seguir foram extraídos de estudos relevantes sobre doenças </w:t>
      </w:r>
      <w:r w:rsidRPr="2D709C40" w:rsidR="3491BA0D">
        <w:rPr>
          <w:rFonts w:ascii="Arial" w:hAnsi="Arial" w:eastAsia="Arial" w:cs="Arial"/>
          <w:b w:val="0"/>
          <w:bCs w:val="0"/>
          <w:i w:val="0"/>
          <w:iCs w:val="0"/>
          <w:caps w:val="0"/>
          <w:smallCaps w:val="0"/>
          <w:noProof w:val="0"/>
          <w:color w:val="000000" w:themeColor="text1" w:themeTint="FF" w:themeShade="FF"/>
          <w:sz w:val="24"/>
          <w:szCs w:val="24"/>
          <w:lang w:val="pt-PT"/>
        </w:rPr>
        <w:t>desmielinizantes</w:t>
      </w:r>
      <w:r w:rsidRPr="2D709C40" w:rsidR="3491BA0D">
        <w:rPr>
          <w:rFonts w:ascii="Arial" w:hAnsi="Arial" w:eastAsia="Arial" w:cs="Arial"/>
          <w:b w:val="0"/>
          <w:bCs w:val="0"/>
          <w:i w:val="0"/>
          <w:iCs w:val="0"/>
          <w:caps w:val="0"/>
          <w:smallCaps w:val="0"/>
          <w:noProof w:val="0"/>
          <w:color w:val="000000" w:themeColor="text1" w:themeTint="FF" w:themeShade="FF"/>
          <w:sz w:val="24"/>
          <w:szCs w:val="24"/>
          <w:lang w:val="pt-PT"/>
        </w:rPr>
        <w:t xml:space="preserve"> na população pediátrica, com foco nas repercussões funcionais e neuromusculares associadas. A análise abrange dados sobre o comprometimento motor, alterações na condução nervosa</w:t>
      </w:r>
      <w:r w:rsidRPr="2D709C40" w:rsidR="0662A196">
        <w:rPr>
          <w:rFonts w:ascii="Arial" w:hAnsi="Arial" w:eastAsia="Arial" w:cs="Arial"/>
          <w:b w:val="0"/>
          <w:bCs w:val="0"/>
          <w:i w:val="0"/>
          <w:iCs w:val="0"/>
          <w:caps w:val="0"/>
          <w:smallCaps w:val="0"/>
          <w:noProof w:val="0"/>
          <w:color w:val="000000" w:themeColor="text1" w:themeTint="FF" w:themeShade="FF"/>
          <w:sz w:val="24"/>
          <w:szCs w:val="24"/>
          <w:lang w:val="pt-PT"/>
        </w:rPr>
        <w:t xml:space="preserve"> e</w:t>
      </w:r>
      <w:r w:rsidRPr="2D709C40" w:rsidR="3491BA0D">
        <w:rPr>
          <w:rFonts w:ascii="Arial" w:hAnsi="Arial" w:eastAsia="Arial" w:cs="Arial"/>
          <w:b w:val="0"/>
          <w:bCs w:val="0"/>
          <w:i w:val="0"/>
          <w:iCs w:val="0"/>
          <w:caps w:val="0"/>
          <w:smallCaps w:val="0"/>
          <w:noProof w:val="0"/>
          <w:color w:val="000000" w:themeColor="text1" w:themeTint="FF" w:themeShade="FF"/>
          <w:sz w:val="24"/>
          <w:szCs w:val="24"/>
          <w:lang w:val="pt-PT"/>
        </w:rPr>
        <w:t xml:space="preserve"> desequilíbrios musculares.</w:t>
      </w:r>
      <w:r w:rsidRPr="2D709C40" w:rsidR="7AFBE229">
        <w:rPr>
          <w:rFonts w:ascii="Arial" w:hAnsi="Arial" w:eastAsia="Arial" w:cs="Arial"/>
          <w:b w:val="0"/>
          <w:bCs w:val="0"/>
          <w:i w:val="0"/>
          <w:iCs w:val="0"/>
          <w:caps w:val="0"/>
          <w:smallCaps w:val="0"/>
          <w:noProof w:val="0"/>
          <w:color w:val="000000" w:themeColor="text1" w:themeTint="FF" w:themeShade="FF"/>
          <w:sz w:val="24"/>
          <w:szCs w:val="24"/>
          <w:lang w:val="pt-PT"/>
        </w:rPr>
        <w:t xml:space="preserve"> O quadro </w:t>
      </w:r>
      <w:r w:rsidRPr="2D709C40" w:rsidR="3491BA0D">
        <w:rPr>
          <w:rFonts w:ascii="Arial" w:hAnsi="Arial" w:eastAsia="Arial" w:cs="Arial"/>
          <w:b w:val="0"/>
          <w:bCs w:val="0"/>
          <w:i w:val="0"/>
          <w:iCs w:val="0"/>
          <w:caps w:val="0"/>
          <w:smallCaps w:val="0"/>
          <w:noProof w:val="0"/>
          <w:color w:val="000000" w:themeColor="text1" w:themeTint="FF" w:themeShade="FF"/>
          <w:sz w:val="24"/>
          <w:szCs w:val="24"/>
          <w:lang w:val="pt-PT"/>
        </w:rPr>
        <w:t>1 sintetiza os principais resultados encontrados, organizando os estudos conforme seus</w:t>
      </w:r>
      <w:r w:rsidRPr="2D709C40" w:rsidR="6B94A091">
        <w:rPr>
          <w:rFonts w:ascii="Arial" w:hAnsi="Arial" w:eastAsia="Arial" w:cs="Arial"/>
          <w:b w:val="0"/>
          <w:bCs w:val="0"/>
          <w:i w:val="0"/>
          <w:iCs w:val="0"/>
          <w:caps w:val="0"/>
          <w:smallCaps w:val="0"/>
          <w:noProof w:val="0"/>
          <w:color w:val="000000" w:themeColor="text1" w:themeTint="FF" w:themeShade="FF"/>
          <w:sz w:val="24"/>
          <w:szCs w:val="24"/>
          <w:lang w:val="pt-PT"/>
        </w:rPr>
        <w:t xml:space="preserve"> </w:t>
      </w:r>
      <w:r w:rsidRPr="2D709C40" w:rsidR="3491BA0D">
        <w:rPr>
          <w:rFonts w:ascii="Arial" w:hAnsi="Arial" w:eastAsia="Arial" w:cs="Arial"/>
          <w:b w:val="0"/>
          <w:bCs w:val="0"/>
          <w:i w:val="0"/>
          <w:iCs w:val="0"/>
          <w:caps w:val="0"/>
          <w:smallCaps w:val="0"/>
          <w:noProof w:val="0"/>
          <w:color w:val="000000" w:themeColor="text1" w:themeTint="FF" w:themeShade="FF"/>
          <w:sz w:val="24"/>
          <w:szCs w:val="24"/>
          <w:lang w:val="pt-PT"/>
        </w:rPr>
        <w:t>títulos, seguidos por uma descrição detalhada dos desfechos clínicos observados.</w:t>
      </w:r>
    </w:p>
    <w:p w:rsidR="00880E69" w:rsidP="416867E3" w:rsidRDefault="00880E69" w14:paraId="7176AA78" w14:textId="4FD56F18">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PT"/>
        </w:rPr>
      </w:pPr>
    </w:p>
    <w:p w:rsidR="00880E69" w:rsidP="416867E3" w:rsidRDefault="00880E69" w14:paraId="0E1D80CA" w14:textId="206B6DEA">
      <w:pPr>
        <w:spacing w:line="1" w:lineRule="atLeast"/>
        <w:ind w:left="-1"/>
        <w:rPr>
          <w:rFonts w:ascii="Arial" w:hAnsi="Arial" w:eastAsia="Arial" w:cs="Arial"/>
          <w:b w:val="0"/>
          <w:bCs w:val="0"/>
          <w:i w:val="0"/>
          <w:iCs w:val="0"/>
          <w:caps w:val="0"/>
          <w:smallCaps w:val="0"/>
          <w:noProof w:val="0"/>
          <w:color w:val="000000" w:themeColor="text1" w:themeTint="FF" w:themeShade="FF"/>
          <w:sz w:val="24"/>
          <w:szCs w:val="24"/>
          <w:lang w:val="pt-PT"/>
        </w:rPr>
      </w:pPr>
      <w:r w:rsidRPr="416867E3" w:rsidR="3491BA0D">
        <w:rPr>
          <w:rFonts w:ascii="Arial" w:hAnsi="Arial" w:eastAsia="Arial" w:cs="Arial"/>
          <w:b w:val="1"/>
          <w:bCs w:val="1"/>
          <w:i w:val="0"/>
          <w:iCs w:val="0"/>
          <w:caps w:val="0"/>
          <w:smallCaps w:val="0"/>
          <w:noProof w:val="0"/>
          <w:color w:val="000000" w:themeColor="text1" w:themeTint="FF" w:themeShade="FF"/>
          <w:sz w:val="24"/>
          <w:szCs w:val="24"/>
          <w:lang w:val="pt-PT"/>
        </w:rPr>
        <w:t xml:space="preserve">Quadro 1 – </w:t>
      </w:r>
      <w:r w:rsidRPr="416867E3" w:rsidR="3491BA0D">
        <w:rPr>
          <w:rFonts w:ascii="Arial" w:hAnsi="Arial" w:eastAsia="Arial" w:cs="Arial"/>
          <w:b w:val="0"/>
          <w:bCs w:val="0"/>
          <w:i w:val="0"/>
          <w:iCs w:val="0"/>
          <w:caps w:val="0"/>
          <w:smallCaps w:val="0"/>
          <w:noProof w:val="0"/>
          <w:color w:val="000000" w:themeColor="text1" w:themeTint="FF" w:themeShade="FF"/>
          <w:sz w:val="24"/>
          <w:szCs w:val="24"/>
          <w:lang w:val="pt-PT"/>
        </w:rPr>
        <w:t>Resultados funcionais e neuromusculares em doenças desmielinizantes pediátricas com base em estudos selecionados.</w:t>
      </w:r>
    </w:p>
    <w:tbl>
      <w:tblPr>
        <w:tblStyle w:val="TableGrid"/>
        <w:tblW w:w="0" w:type="auto"/>
        <w:tblBorders>
          <w:top w:val="single" w:sz="6"/>
          <w:left w:val="single" w:sz="6"/>
          <w:bottom w:val="single" w:sz="6"/>
          <w:right w:val="single" w:sz="6"/>
        </w:tblBorders>
        <w:tblLayout w:type="fixed"/>
        <w:tblLook w:val="0000" w:firstRow="0" w:lastRow="0" w:firstColumn="0" w:lastColumn="0" w:noHBand="0" w:noVBand="0"/>
      </w:tblPr>
      <w:tblGrid>
        <w:gridCol w:w="2790"/>
        <w:gridCol w:w="6120"/>
      </w:tblGrid>
      <w:tr w:rsidR="416867E3" w:rsidTr="416867E3" w14:paraId="0237CDD5">
        <w:trPr>
          <w:trHeight w:val="300"/>
        </w:trPr>
        <w:tc>
          <w:tcPr>
            <w:tcW w:w="279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16867E3" w:rsidP="416867E3" w:rsidRDefault="416867E3" w14:paraId="437623C1" w14:textId="1B1A6C48">
            <w:pPr>
              <w:pBdr>
                <w:top w:val="nil" w:color="000000" w:sz="0" w:space="0"/>
                <w:left w:val="nil" w:color="000000" w:sz="0" w:space="0"/>
                <w:bottom w:val="nil" w:color="000000" w:sz="0" w:space="0"/>
                <w:right w:val="nil" w:color="000000" w:sz="0" w:space="0"/>
                <w:between w:val="nil" w:color="000000" w:sz="0" w:space="0"/>
              </w:pBdr>
              <w:spacing w:line="240" w:lineRule="auto"/>
              <w:ind w:left="0" w:hanging="2"/>
              <w:jc w:val="center"/>
              <w:rPr>
                <w:rFonts w:ascii="Arial" w:hAnsi="Arial" w:eastAsia="Arial" w:cs="Arial"/>
                <w:b w:val="0"/>
                <w:bCs w:val="0"/>
                <w:i w:val="0"/>
                <w:iCs w:val="0"/>
                <w:color w:val="000000" w:themeColor="text1" w:themeTint="FF" w:themeShade="FF"/>
                <w:sz w:val="24"/>
                <w:szCs w:val="24"/>
              </w:rPr>
            </w:pPr>
            <w:r w:rsidRPr="416867E3" w:rsidR="416867E3">
              <w:rPr>
                <w:rFonts w:ascii="Arial" w:hAnsi="Arial" w:eastAsia="Arial" w:cs="Arial"/>
                <w:b w:val="1"/>
                <w:bCs w:val="1"/>
                <w:i w:val="1"/>
                <w:iCs w:val="1"/>
                <w:color w:val="000000" w:themeColor="text1" w:themeTint="FF" w:themeShade="FF"/>
                <w:sz w:val="24"/>
                <w:szCs w:val="24"/>
                <w:lang w:val="pt-PT"/>
              </w:rPr>
              <w:t>Título</w:t>
            </w:r>
          </w:p>
        </w:tc>
        <w:tc>
          <w:tcPr>
            <w:tcW w:w="612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16867E3" w:rsidP="416867E3" w:rsidRDefault="416867E3" w14:paraId="06B07189" w14:textId="2C124734">
            <w:pPr>
              <w:pBdr>
                <w:top w:val="nil" w:color="000000" w:sz="0" w:space="0"/>
                <w:left w:val="nil" w:color="000000" w:sz="0" w:space="0"/>
                <w:bottom w:val="nil" w:color="000000" w:sz="0" w:space="0"/>
                <w:right w:val="nil" w:color="000000" w:sz="0" w:space="0"/>
                <w:between w:val="nil" w:color="000000" w:sz="0" w:space="0"/>
              </w:pBdr>
              <w:spacing w:line="240" w:lineRule="auto"/>
              <w:ind w:left="0" w:hanging="2"/>
              <w:jc w:val="center"/>
              <w:rPr>
                <w:rFonts w:ascii="Arial" w:hAnsi="Arial" w:eastAsia="Arial" w:cs="Arial"/>
                <w:b w:val="0"/>
                <w:bCs w:val="0"/>
                <w:i w:val="0"/>
                <w:iCs w:val="0"/>
                <w:color w:val="000000" w:themeColor="text1" w:themeTint="FF" w:themeShade="FF"/>
                <w:sz w:val="24"/>
                <w:szCs w:val="24"/>
              </w:rPr>
            </w:pPr>
            <w:r w:rsidRPr="416867E3" w:rsidR="416867E3">
              <w:rPr>
                <w:rFonts w:ascii="Arial" w:hAnsi="Arial" w:eastAsia="Arial" w:cs="Arial"/>
                <w:b w:val="1"/>
                <w:bCs w:val="1"/>
                <w:i w:val="1"/>
                <w:iCs w:val="1"/>
                <w:color w:val="000000" w:themeColor="text1" w:themeTint="FF" w:themeShade="FF"/>
                <w:sz w:val="24"/>
                <w:szCs w:val="24"/>
                <w:lang w:val="pt-PT"/>
              </w:rPr>
              <w:t>Resultados</w:t>
            </w:r>
          </w:p>
        </w:tc>
      </w:tr>
      <w:tr w:rsidR="416867E3" w:rsidTr="416867E3" w14:paraId="6BA0B194">
        <w:trPr>
          <w:trHeight w:val="300"/>
        </w:trPr>
        <w:tc>
          <w:tcPr>
            <w:tcW w:w="279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16867E3" w:rsidP="416867E3" w:rsidRDefault="416867E3" w14:paraId="7B00F7E0" w14:textId="5162F57D">
            <w:pPr>
              <w:pBdr>
                <w:top w:val="nil" w:color="000000" w:sz="0" w:space="0"/>
                <w:left w:val="nil" w:color="000000" w:sz="0" w:space="0"/>
                <w:bottom w:val="nil" w:color="000000" w:sz="0" w:space="0"/>
                <w:right w:val="nil" w:color="000000" w:sz="0" w:space="0"/>
                <w:between w:val="nil" w:color="000000" w:sz="0" w:space="0"/>
              </w:pBdr>
              <w:spacing w:line="240" w:lineRule="auto"/>
              <w:ind w:left="0" w:hanging="2"/>
              <w:jc w:val="center"/>
              <w:rPr>
                <w:rFonts w:ascii="Arial" w:hAnsi="Arial" w:eastAsia="Arial" w:cs="Arial"/>
                <w:b w:val="0"/>
                <w:bCs w:val="0"/>
                <w:i w:val="0"/>
                <w:iCs w:val="0"/>
                <w:color w:val="000000" w:themeColor="text1" w:themeTint="FF" w:themeShade="FF"/>
                <w:sz w:val="24"/>
                <w:szCs w:val="24"/>
              </w:rPr>
            </w:pPr>
            <w:r w:rsidRPr="416867E3" w:rsidR="416867E3">
              <w:rPr>
                <w:rFonts w:ascii="Arial" w:hAnsi="Arial" w:eastAsia="Arial" w:cs="Arial"/>
                <w:b w:val="0"/>
                <w:bCs w:val="0"/>
                <w:i w:val="0"/>
                <w:iCs w:val="0"/>
                <w:color w:val="000000" w:themeColor="text1" w:themeTint="FF" w:themeShade="FF"/>
                <w:sz w:val="24"/>
                <w:szCs w:val="24"/>
                <w:lang w:val="pt-PT"/>
              </w:rPr>
              <w:t>A perspectiva da funcionalidade em crianças e adolescentes com disfunções neuromotoras: um olhar</w:t>
            </w:r>
          </w:p>
        </w:tc>
        <w:tc>
          <w:tcPr>
            <w:tcW w:w="612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416867E3" w:rsidP="416867E3" w:rsidRDefault="416867E3" w14:paraId="761965E6" w14:textId="60A51BA6">
            <w:pPr>
              <w:spacing w:line="1" w:lineRule="atLeast"/>
              <w:ind w:left="-1"/>
              <w:rPr>
                <w:rFonts w:ascii="Arial" w:hAnsi="Arial" w:eastAsia="Arial" w:cs="Arial"/>
                <w:b w:val="0"/>
                <w:bCs w:val="0"/>
                <w:i w:val="0"/>
                <w:iCs w:val="0"/>
                <w:sz w:val="24"/>
                <w:szCs w:val="24"/>
                <w:lang w:val="pt-PT"/>
              </w:rPr>
            </w:pPr>
            <w:r w:rsidRPr="416867E3" w:rsidR="416867E3">
              <w:rPr>
                <w:rFonts w:ascii="Arial" w:hAnsi="Arial" w:eastAsia="Arial" w:cs="Arial"/>
                <w:b w:val="0"/>
                <w:bCs w:val="0"/>
                <w:i w:val="0"/>
                <w:iCs w:val="0"/>
                <w:sz w:val="24"/>
                <w:szCs w:val="24"/>
                <w:lang w:val="pt-PT"/>
              </w:rPr>
              <w:t>As doenças desmielinizantes em crianças representam um desafio diagnóstico, principalmente nas fases iniciais do desenvolvimento motor. A imaturidade do sistema nervoso central dificulta distinguir entre variações normais e sinais patológicos, o que retarda a identificação de alterações neurológicas. A ausência de protocolos diagnósticos validados para crianças agrava a situação, especialmente em menores que ainda não atingiram marcos motores esperados.</w:t>
            </w:r>
          </w:p>
        </w:tc>
      </w:tr>
      <w:tr w:rsidR="416867E3" w:rsidTr="416867E3" w14:paraId="6FC1F00C">
        <w:trPr>
          <w:trHeight w:val="300"/>
        </w:trPr>
        <w:tc>
          <w:tcPr>
            <w:tcW w:w="279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16867E3" w:rsidP="416867E3" w:rsidRDefault="416867E3" w14:paraId="5E564100" w14:textId="77342E57">
            <w:pPr>
              <w:spacing w:line="1" w:lineRule="atLeast"/>
              <w:ind w:left="-1"/>
              <w:jc w:val="center"/>
              <w:rPr>
                <w:rFonts w:ascii="Arial" w:hAnsi="Arial" w:eastAsia="Arial" w:cs="Arial"/>
                <w:b w:val="0"/>
                <w:bCs w:val="0"/>
                <w:i w:val="0"/>
                <w:iCs w:val="0"/>
                <w:sz w:val="24"/>
                <w:szCs w:val="24"/>
                <w:lang w:val="pt-PT"/>
              </w:rPr>
            </w:pPr>
            <w:r w:rsidRPr="416867E3" w:rsidR="416867E3">
              <w:rPr>
                <w:rFonts w:ascii="Arial" w:hAnsi="Arial" w:eastAsia="Arial" w:cs="Arial"/>
                <w:b w:val="0"/>
                <w:bCs w:val="0"/>
                <w:i w:val="0"/>
                <w:iCs w:val="0"/>
                <w:sz w:val="24"/>
                <w:szCs w:val="24"/>
                <w:lang w:val="pt-PT"/>
              </w:rPr>
              <w:t>Abordagem prática para a criança que apresenta fraqueza generalizada aguda</w:t>
            </w:r>
          </w:p>
        </w:tc>
        <w:tc>
          <w:tcPr>
            <w:tcW w:w="612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416867E3" w:rsidP="416867E3" w:rsidRDefault="416867E3" w14:paraId="0192B9C7" w14:textId="48A2192B">
            <w:pPr>
              <w:spacing w:line="1" w:lineRule="atLeast"/>
              <w:ind w:left="-1"/>
              <w:rPr>
                <w:rFonts w:ascii="Arial" w:hAnsi="Arial" w:eastAsia="Arial" w:cs="Arial"/>
                <w:b w:val="0"/>
                <w:bCs w:val="0"/>
                <w:i w:val="0"/>
                <w:iCs w:val="0"/>
                <w:sz w:val="24"/>
                <w:szCs w:val="24"/>
                <w:lang w:val="pt-PT"/>
              </w:rPr>
            </w:pPr>
            <w:r w:rsidRPr="416867E3" w:rsidR="416867E3">
              <w:rPr>
                <w:rFonts w:ascii="Arial" w:hAnsi="Arial" w:eastAsia="Arial" w:cs="Arial"/>
                <w:b w:val="0"/>
                <w:bCs w:val="0"/>
                <w:i w:val="0"/>
                <w:iCs w:val="0"/>
                <w:sz w:val="24"/>
                <w:szCs w:val="24"/>
                <w:lang w:val="pt-PT"/>
              </w:rPr>
              <w:t xml:space="preserve">A </w:t>
            </w:r>
            <w:r w:rsidRPr="416867E3" w:rsidR="416867E3">
              <w:rPr>
                <w:rFonts w:ascii="Arial" w:hAnsi="Arial" w:eastAsia="Arial" w:cs="Arial"/>
                <w:b w:val="0"/>
                <w:bCs w:val="0"/>
                <w:i w:val="0"/>
                <w:iCs w:val="0"/>
                <w:caps w:val="0"/>
                <w:smallCaps w:val="0"/>
                <w:strike w:val="0"/>
                <w:dstrike w:val="0"/>
                <w:color w:val="000000" w:themeColor="text1" w:themeTint="FF" w:themeShade="FF"/>
                <w:sz w:val="24"/>
                <w:szCs w:val="24"/>
                <w:u w:val="none"/>
                <w:lang w:val="pt-BR"/>
              </w:rPr>
              <w:t>mielite transversa aguda</w:t>
            </w:r>
            <w:r w:rsidRPr="416867E3" w:rsidR="416867E3">
              <w:rPr>
                <w:rFonts w:ascii="Arial" w:hAnsi="Arial" w:eastAsia="Arial" w:cs="Arial"/>
                <w:b w:val="0"/>
                <w:bCs w:val="0"/>
                <w:i w:val="0"/>
                <w:iCs w:val="0"/>
                <w:sz w:val="24"/>
                <w:szCs w:val="24"/>
                <w:lang w:val="pt-PT"/>
              </w:rPr>
              <w:t xml:space="preserve"> (ATM) causa fraqueza muscular bilateral, predominantemente em membros inferiores, podendo também afetar membros superiores. Esse padrão impacta o controle postural e a coordenação. Cerca de 55% dos casos apresentam nível sensorial bem definido, auxiliando no diagnóstico diferencial frente a outras etiologias como mielopatias compressivas e infartos medulares.</w:t>
            </w:r>
          </w:p>
        </w:tc>
      </w:tr>
      <w:tr w:rsidR="416867E3" w:rsidTr="416867E3" w14:paraId="531548AF">
        <w:trPr>
          <w:trHeight w:val="300"/>
        </w:trPr>
        <w:tc>
          <w:tcPr>
            <w:tcW w:w="279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16867E3" w:rsidP="416867E3" w:rsidRDefault="416867E3" w14:paraId="02C45727" w14:textId="2B9851BE">
            <w:pPr>
              <w:spacing w:line="1" w:lineRule="atLeast"/>
              <w:ind w:left="-1"/>
              <w:jc w:val="center"/>
              <w:rPr>
                <w:rFonts w:ascii="Arial" w:hAnsi="Arial" w:eastAsia="Arial" w:cs="Arial"/>
                <w:b w:val="0"/>
                <w:bCs w:val="0"/>
                <w:i w:val="0"/>
                <w:iCs w:val="0"/>
                <w:sz w:val="24"/>
                <w:szCs w:val="24"/>
                <w:lang w:val="pt-PT"/>
              </w:rPr>
            </w:pPr>
            <w:r w:rsidRPr="416867E3" w:rsidR="416867E3">
              <w:rPr>
                <w:rFonts w:ascii="Arial" w:hAnsi="Arial" w:eastAsia="Arial" w:cs="Arial"/>
                <w:b w:val="0"/>
                <w:bCs w:val="0"/>
                <w:i w:val="0"/>
                <w:iCs w:val="0"/>
                <w:sz w:val="24"/>
                <w:szCs w:val="24"/>
                <w:lang w:val="pt-PT"/>
              </w:rPr>
              <w:t>Abordagem prática para a criança que apresenta fraqueza generalizada aguda</w:t>
            </w:r>
          </w:p>
        </w:tc>
        <w:tc>
          <w:tcPr>
            <w:tcW w:w="612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416867E3" w:rsidP="416867E3" w:rsidRDefault="416867E3" w14:paraId="5F243489" w14:textId="6957E571">
            <w:pPr>
              <w:spacing w:line="1" w:lineRule="atLeast"/>
              <w:ind w:left="-1"/>
              <w:rPr>
                <w:rFonts w:ascii="Arial" w:hAnsi="Arial" w:eastAsia="Arial" w:cs="Arial"/>
                <w:b w:val="0"/>
                <w:bCs w:val="0"/>
                <w:i w:val="0"/>
                <w:iCs w:val="0"/>
                <w:sz w:val="24"/>
                <w:szCs w:val="24"/>
                <w:lang w:val="pt-PT"/>
              </w:rPr>
            </w:pPr>
            <w:r w:rsidRPr="416867E3" w:rsidR="416867E3">
              <w:rPr>
                <w:rFonts w:ascii="Arial" w:hAnsi="Arial" w:eastAsia="Arial" w:cs="Arial"/>
                <w:b w:val="0"/>
                <w:bCs w:val="0"/>
                <w:i w:val="0"/>
                <w:iCs w:val="0"/>
                <w:sz w:val="24"/>
                <w:szCs w:val="24"/>
                <w:lang w:val="pt-PT"/>
              </w:rPr>
              <w:t>Na Síndrome de Guillain-Barré, a progressão ascendente da fraqueza compromete funções motoras e sensitivas, afetando marcha, deglutição e controle ocular. Em pediatria, sinais inespecíficos como dor e recusa a caminhar dificultam o diagnóstico precoce.</w:t>
            </w:r>
          </w:p>
        </w:tc>
      </w:tr>
      <w:tr w:rsidR="416867E3" w:rsidTr="416867E3" w14:paraId="0204AB7E">
        <w:trPr>
          <w:trHeight w:val="300"/>
        </w:trPr>
        <w:tc>
          <w:tcPr>
            <w:tcW w:w="279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16867E3" w:rsidP="416867E3" w:rsidRDefault="416867E3" w14:paraId="6E0459CE" w14:textId="4CE696D9">
            <w:pPr>
              <w:spacing w:line="1" w:lineRule="atLeast"/>
              <w:ind w:left="-1"/>
              <w:jc w:val="center"/>
              <w:rPr>
                <w:rFonts w:ascii="Arial" w:hAnsi="Arial" w:eastAsia="Arial" w:cs="Arial"/>
                <w:b w:val="0"/>
                <w:bCs w:val="0"/>
                <w:i w:val="0"/>
                <w:iCs w:val="0"/>
                <w:sz w:val="24"/>
                <w:szCs w:val="24"/>
                <w:lang w:val="pt-PT"/>
              </w:rPr>
            </w:pPr>
            <w:r w:rsidRPr="416867E3" w:rsidR="416867E3">
              <w:rPr>
                <w:rFonts w:ascii="Arial" w:hAnsi="Arial" w:eastAsia="Arial" w:cs="Arial"/>
                <w:b w:val="0"/>
                <w:bCs w:val="0"/>
                <w:i w:val="0"/>
                <w:iCs w:val="0"/>
                <w:sz w:val="24"/>
                <w:szCs w:val="24"/>
                <w:lang w:val="pt-PT"/>
              </w:rPr>
              <w:t>Risco de incapacidade persistente em pacientes com esclerose múltipla de início pediátrico</w:t>
            </w:r>
          </w:p>
        </w:tc>
        <w:tc>
          <w:tcPr>
            <w:tcW w:w="612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416867E3" w:rsidP="416867E3" w:rsidRDefault="416867E3" w14:paraId="618C96EC" w14:textId="65B4670C">
            <w:pPr>
              <w:spacing w:line="1" w:lineRule="atLeast"/>
              <w:ind w:left="-1"/>
              <w:rPr>
                <w:rFonts w:ascii="Arial" w:hAnsi="Arial" w:eastAsia="Arial" w:cs="Arial"/>
                <w:b w:val="0"/>
                <w:bCs w:val="0"/>
                <w:i w:val="0"/>
                <w:iCs w:val="0"/>
                <w:sz w:val="24"/>
                <w:szCs w:val="24"/>
                <w:lang w:val="pt-PT"/>
              </w:rPr>
            </w:pPr>
            <w:r w:rsidRPr="416867E3" w:rsidR="416867E3">
              <w:rPr>
                <w:rFonts w:ascii="Arial" w:hAnsi="Arial" w:eastAsia="Arial" w:cs="Arial"/>
                <w:b w:val="0"/>
                <w:bCs w:val="0"/>
                <w:i w:val="0"/>
                <w:iCs w:val="0"/>
                <w:sz w:val="24"/>
                <w:szCs w:val="24"/>
                <w:lang w:val="pt-PT"/>
              </w:rPr>
              <w:t xml:space="preserve">Cerca de 40% das crianças com </w:t>
            </w:r>
            <w:r w:rsidRPr="416867E3" w:rsidR="416867E3">
              <w:rPr>
                <w:rFonts w:ascii="Arial" w:hAnsi="Arial" w:eastAsia="Arial" w:cs="Arial"/>
                <w:b w:val="0"/>
                <w:bCs w:val="0"/>
                <w:i w:val="0"/>
                <w:iCs w:val="0"/>
                <w:caps w:val="0"/>
                <w:smallCaps w:val="0"/>
                <w:color w:val="000000" w:themeColor="text1" w:themeTint="FF" w:themeShade="FF"/>
                <w:sz w:val="24"/>
                <w:szCs w:val="24"/>
                <w:lang w:val="pt-PT"/>
              </w:rPr>
              <w:t>espectro da neuromielite óptica</w:t>
            </w:r>
            <w:r w:rsidRPr="416867E3" w:rsidR="416867E3">
              <w:rPr>
                <w:rFonts w:ascii="Arial" w:hAnsi="Arial" w:eastAsia="Arial" w:cs="Arial"/>
                <w:b w:val="0"/>
                <w:bCs w:val="0"/>
                <w:i w:val="0"/>
                <w:iCs w:val="0"/>
                <w:sz w:val="24"/>
                <w:szCs w:val="24"/>
                <w:lang w:val="pt-PT"/>
              </w:rPr>
              <w:t xml:space="preserve"> (NMOSD) apresentam déficits motores persistentes, sendo necessário o uso de dispositivos auxiliares </w:t>
            </w:r>
            <w:r w:rsidRPr="416867E3" w:rsidR="416867E3">
              <w:rPr>
                <w:rFonts w:ascii="Arial" w:hAnsi="Arial" w:eastAsia="Arial" w:cs="Arial"/>
                <w:b w:val="0"/>
                <w:bCs w:val="0"/>
                <w:i w:val="0"/>
                <w:iCs w:val="0"/>
                <w:caps w:val="0"/>
                <w:smallCaps w:val="0"/>
                <w:strike w:val="0"/>
                <w:dstrike w:val="0"/>
                <w:color w:val="000000" w:themeColor="text1" w:themeTint="FF" w:themeShade="FF"/>
                <w:sz w:val="24"/>
                <w:szCs w:val="24"/>
                <w:u w:val="none"/>
                <w:lang w:val="pt-BR"/>
              </w:rPr>
              <w:t>para deambulação</w:t>
            </w:r>
            <w:r w:rsidRPr="416867E3" w:rsidR="416867E3">
              <w:rPr>
                <w:rFonts w:ascii="Arial" w:hAnsi="Arial" w:eastAsia="Arial" w:cs="Arial"/>
                <w:b w:val="0"/>
                <w:bCs w:val="0"/>
                <w:i w:val="0"/>
                <w:iCs w:val="0"/>
                <w:sz w:val="24"/>
                <w:szCs w:val="24"/>
                <w:lang w:val="pt-PT"/>
              </w:rPr>
              <w:t>. O comprometimento funcional atinge força, equilíbrio e coordenação motora, afetando diretamente a autonomia.</w:t>
            </w:r>
          </w:p>
        </w:tc>
      </w:tr>
      <w:tr w:rsidR="416867E3" w:rsidTr="416867E3" w14:paraId="73030E44">
        <w:trPr>
          <w:trHeight w:val="300"/>
        </w:trPr>
        <w:tc>
          <w:tcPr>
            <w:tcW w:w="279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16867E3" w:rsidP="416867E3" w:rsidRDefault="416867E3" w14:paraId="0A5E9F5C" w14:textId="4A14C059">
            <w:pPr>
              <w:spacing w:line="1" w:lineRule="atLeast"/>
              <w:ind w:left="-1"/>
              <w:jc w:val="center"/>
              <w:rPr>
                <w:rFonts w:ascii="Arial" w:hAnsi="Arial" w:eastAsia="Arial" w:cs="Arial"/>
                <w:b w:val="0"/>
                <w:bCs w:val="0"/>
                <w:i w:val="0"/>
                <w:iCs w:val="0"/>
                <w:sz w:val="24"/>
                <w:szCs w:val="24"/>
                <w:lang w:val="pt-PT"/>
              </w:rPr>
            </w:pPr>
            <w:r w:rsidRPr="416867E3" w:rsidR="416867E3">
              <w:rPr>
                <w:rFonts w:ascii="Arial" w:hAnsi="Arial" w:eastAsia="Arial" w:cs="Arial"/>
                <w:b w:val="0"/>
                <w:bCs w:val="0"/>
                <w:i w:val="0"/>
                <w:iCs w:val="0"/>
                <w:sz w:val="24"/>
                <w:szCs w:val="24"/>
                <w:lang w:val="pt-PT"/>
              </w:rPr>
              <w:t>Perda de saltação e falha do potencial de ação pré-sináptico em axônios desmielinizados</w:t>
            </w:r>
          </w:p>
        </w:tc>
        <w:tc>
          <w:tcPr>
            <w:tcW w:w="612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416867E3" w:rsidP="416867E3" w:rsidRDefault="416867E3" w14:paraId="642A0B39" w14:textId="69BCB765">
            <w:pPr>
              <w:spacing w:line="1" w:lineRule="atLeast"/>
              <w:ind w:left="-1"/>
              <w:rPr>
                <w:rFonts w:ascii="Arial" w:hAnsi="Arial" w:eastAsia="Arial" w:cs="Arial"/>
                <w:b w:val="0"/>
                <w:bCs w:val="0"/>
                <w:i w:val="0"/>
                <w:iCs w:val="0"/>
                <w:sz w:val="24"/>
                <w:szCs w:val="24"/>
                <w:lang w:val="pt-PT"/>
              </w:rPr>
            </w:pPr>
            <w:r w:rsidRPr="416867E3" w:rsidR="416867E3">
              <w:rPr>
                <w:rFonts w:ascii="Arial" w:hAnsi="Arial" w:eastAsia="Arial" w:cs="Arial"/>
                <w:b w:val="0"/>
                <w:bCs w:val="0"/>
                <w:i w:val="0"/>
                <w:iCs w:val="0"/>
                <w:sz w:val="24"/>
                <w:szCs w:val="24"/>
                <w:lang w:val="pt-PT"/>
              </w:rPr>
              <w:t>A desmielinização prejudica a condução saltatória dos impulsos, reduzindo a eficácia da ativação motora. Tentativas de regeneração resultam em alterações axonais, diminuindo a eficácia sináptica e afetando o controle motor fino.</w:t>
            </w:r>
          </w:p>
        </w:tc>
      </w:tr>
      <w:tr w:rsidR="416867E3" w:rsidTr="416867E3" w14:paraId="484D1D73">
        <w:trPr>
          <w:trHeight w:val="300"/>
        </w:trPr>
        <w:tc>
          <w:tcPr>
            <w:tcW w:w="279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16867E3" w:rsidP="416867E3" w:rsidRDefault="416867E3" w14:paraId="47488983" w14:textId="279F8140">
            <w:pPr>
              <w:spacing w:line="1" w:lineRule="atLeast"/>
              <w:ind w:left="-1"/>
              <w:jc w:val="center"/>
              <w:rPr>
                <w:rFonts w:ascii="Arial" w:hAnsi="Arial" w:eastAsia="Arial" w:cs="Arial"/>
                <w:b w:val="0"/>
                <w:bCs w:val="0"/>
                <w:i w:val="0"/>
                <w:iCs w:val="0"/>
                <w:sz w:val="24"/>
                <w:szCs w:val="24"/>
                <w:lang w:val="pt-PT"/>
              </w:rPr>
            </w:pPr>
            <w:r w:rsidRPr="416867E3" w:rsidR="416867E3">
              <w:rPr>
                <w:rFonts w:ascii="Arial" w:hAnsi="Arial" w:eastAsia="Arial" w:cs="Arial"/>
                <w:b w:val="0"/>
                <w:bCs w:val="0"/>
                <w:i w:val="0"/>
                <w:iCs w:val="0"/>
                <w:sz w:val="24"/>
                <w:szCs w:val="24"/>
                <w:lang w:val="pt-PT"/>
              </w:rPr>
              <w:t>Estabilidade eletrofisiológica e neuromuscular de pessoas com polineuropatia desmielinizante inflamatória crônica</w:t>
            </w:r>
          </w:p>
        </w:tc>
        <w:tc>
          <w:tcPr>
            <w:tcW w:w="612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416867E3" w:rsidP="416867E3" w:rsidRDefault="416867E3" w14:paraId="24CFACE8" w14:textId="400996EB">
            <w:pPr>
              <w:spacing w:line="1" w:lineRule="atLeast"/>
              <w:ind w:left="-1"/>
              <w:rPr>
                <w:rFonts w:ascii="Arial" w:hAnsi="Arial" w:eastAsia="Arial" w:cs="Arial"/>
                <w:b w:val="0"/>
                <w:bCs w:val="0"/>
                <w:i w:val="0"/>
                <w:iCs w:val="0"/>
                <w:sz w:val="24"/>
                <w:szCs w:val="24"/>
                <w:lang w:val="pt-PT"/>
              </w:rPr>
            </w:pPr>
            <w:r w:rsidRPr="416867E3" w:rsidR="416867E3">
              <w:rPr>
                <w:rFonts w:ascii="Arial" w:hAnsi="Arial" w:eastAsia="Arial" w:cs="Arial"/>
                <w:b w:val="0"/>
                <w:bCs w:val="0"/>
                <w:i w:val="0"/>
                <w:iCs w:val="0"/>
                <w:sz w:val="24"/>
                <w:szCs w:val="24"/>
                <w:lang w:val="pt-PT"/>
              </w:rPr>
              <w:t xml:space="preserve">Pacientes com </w:t>
            </w:r>
            <w:r w:rsidRPr="416867E3" w:rsidR="416867E3">
              <w:rPr>
                <w:rFonts w:ascii="Arial" w:hAnsi="Arial" w:eastAsia="Arial" w:cs="Arial"/>
                <w:b w:val="0"/>
                <w:bCs w:val="0"/>
                <w:i w:val="0"/>
                <w:iCs w:val="0"/>
                <w:caps w:val="0"/>
                <w:smallCaps w:val="0"/>
                <w:color w:val="000000" w:themeColor="text1" w:themeTint="FF" w:themeShade="FF"/>
                <w:sz w:val="24"/>
                <w:szCs w:val="24"/>
                <w:lang w:val="pt-PT"/>
              </w:rPr>
              <w:t>polirradiculoneuropatia desmielinizante inflamatória crônica</w:t>
            </w:r>
            <w:r w:rsidRPr="416867E3" w:rsidR="416867E3">
              <w:rPr>
                <w:rFonts w:ascii="Arial" w:hAnsi="Arial" w:eastAsia="Arial" w:cs="Arial"/>
                <w:b w:val="0"/>
                <w:bCs w:val="0"/>
                <w:i w:val="0"/>
                <w:iCs w:val="0"/>
                <w:sz w:val="24"/>
                <w:szCs w:val="24"/>
                <w:lang w:val="pt-PT"/>
              </w:rPr>
              <w:t xml:space="preserve"> (CIDP) apresentam redução na qualidade e quantidade de unidades motoras. O </w:t>
            </w:r>
            <w:r w:rsidRPr="416867E3" w:rsidR="416867E3">
              <w:rPr>
                <w:rFonts w:ascii="Arial" w:hAnsi="Arial" w:eastAsia="Arial" w:cs="Arial"/>
                <w:b w:val="0"/>
                <w:bCs w:val="0"/>
                <w:i w:val="0"/>
                <w:iCs w:val="0"/>
                <w:caps w:val="0"/>
                <w:smallCaps w:val="0"/>
                <w:strike w:val="0"/>
                <w:dstrike w:val="0"/>
                <w:color w:val="000000" w:themeColor="text1" w:themeTint="FF" w:themeShade="FF"/>
                <w:sz w:val="24"/>
                <w:szCs w:val="24"/>
                <w:u w:val="none"/>
                <w:lang w:val="pt-BR"/>
              </w:rPr>
              <w:t>potencial de ação muscular composto</w:t>
            </w:r>
            <w:r w:rsidRPr="416867E3" w:rsidR="416867E3">
              <w:rPr>
                <w:rFonts w:ascii="Arial" w:hAnsi="Arial" w:eastAsia="Arial" w:cs="Arial"/>
                <w:b w:val="0"/>
                <w:bCs w:val="0"/>
                <w:i w:val="0"/>
                <w:iCs w:val="0"/>
                <w:sz w:val="24"/>
                <w:szCs w:val="24"/>
                <w:lang w:val="pt-PT"/>
              </w:rPr>
              <w:t xml:space="preserve"> (CMAP) é reduzido, indicando que a fraqueza decorre não apenas de atrofia muscular, mas da falha na condução periférica. Isso reforça o impacto primário das DDs nos nervos, com repercussão funcional na musculatura.</w:t>
            </w:r>
          </w:p>
        </w:tc>
      </w:tr>
      <w:tr w:rsidR="416867E3" w:rsidTr="416867E3" w14:paraId="3CAF6810">
        <w:trPr>
          <w:trHeight w:val="300"/>
        </w:trPr>
        <w:tc>
          <w:tcPr>
            <w:tcW w:w="279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16867E3" w:rsidP="416867E3" w:rsidRDefault="416867E3" w14:paraId="36344A1A" w14:textId="57870A25">
            <w:pPr>
              <w:spacing w:line="1" w:lineRule="atLeast"/>
              <w:ind w:left="-1"/>
              <w:jc w:val="center"/>
              <w:rPr>
                <w:rFonts w:ascii="Arial" w:hAnsi="Arial" w:eastAsia="Arial" w:cs="Arial"/>
                <w:b w:val="0"/>
                <w:bCs w:val="0"/>
                <w:i w:val="0"/>
                <w:iCs w:val="0"/>
                <w:sz w:val="24"/>
                <w:szCs w:val="24"/>
                <w:lang w:val="pt-PT"/>
              </w:rPr>
            </w:pPr>
            <w:r w:rsidRPr="416867E3" w:rsidR="416867E3">
              <w:rPr>
                <w:rFonts w:ascii="Arial" w:hAnsi="Arial" w:eastAsia="Arial" w:cs="Arial"/>
                <w:b w:val="0"/>
                <w:bCs w:val="0"/>
                <w:i w:val="0"/>
                <w:iCs w:val="0"/>
                <w:sz w:val="24"/>
                <w:szCs w:val="24"/>
                <w:lang w:val="pt-PT"/>
              </w:rPr>
              <w:t>Avaliação do equilíbrio muscular funcional na esclerose múltipla</w:t>
            </w:r>
          </w:p>
        </w:tc>
        <w:tc>
          <w:tcPr>
            <w:tcW w:w="612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416867E3" w:rsidP="416867E3" w:rsidRDefault="416867E3" w14:paraId="0DCDAAD7" w14:textId="38B15446">
            <w:pPr>
              <w:spacing w:line="1" w:lineRule="atLeast"/>
              <w:ind w:left="-1"/>
              <w:rPr>
                <w:rFonts w:ascii="Arial" w:hAnsi="Arial" w:eastAsia="Arial" w:cs="Arial"/>
                <w:b w:val="0"/>
                <w:bCs w:val="0"/>
                <w:i w:val="0"/>
                <w:iCs w:val="0"/>
                <w:sz w:val="24"/>
                <w:szCs w:val="24"/>
                <w:lang w:val="pt-PT"/>
              </w:rPr>
            </w:pPr>
            <w:r w:rsidRPr="416867E3" w:rsidR="416867E3">
              <w:rPr>
                <w:rFonts w:ascii="Arial" w:hAnsi="Arial" w:eastAsia="Arial" w:cs="Arial"/>
                <w:b w:val="0"/>
                <w:bCs w:val="0"/>
                <w:i w:val="0"/>
                <w:iCs w:val="0"/>
                <w:sz w:val="24"/>
                <w:szCs w:val="24"/>
                <w:lang w:val="pt-PT"/>
              </w:rPr>
              <w:t>Foram observadas alterações no equilíbrio muscular em pacientes com esclerose múltipla, incluindo hipertonia do reto femoral, encurtamento do tempo de contração e alteração no perfil de fibras musculares. A predominância de fibras tipo II nos músculos anteriores e a redução de tipo I nos posteriores prejudicam a marcha, a resistência e a estabilidade postural.</w:t>
            </w:r>
          </w:p>
        </w:tc>
      </w:tr>
      <w:tr w:rsidR="416867E3" w:rsidTr="416867E3" w14:paraId="32FD248C">
        <w:trPr>
          <w:trHeight w:val="300"/>
        </w:trPr>
        <w:tc>
          <w:tcPr>
            <w:tcW w:w="279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16867E3" w:rsidP="416867E3" w:rsidRDefault="416867E3" w14:paraId="7A3ADE58" w14:textId="5ED9EFDC">
            <w:pPr>
              <w:spacing w:line="1" w:lineRule="atLeast"/>
              <w:ind w:left="-1"/>
              <w:jc w:val="center"/>
              <w:rPr>
                <w:rFonts w:ascii="Arial" w:hAnsi="Arial" w:eastAsia="Arial" w:cs="Arial"/>
                <w:b w:val="0"/>
                <w:bCs w:val="0"/>
                <w:i w:val="0"/>
                <w:iCs w:val="0"/>
                <w:sz w:val="24"/>
                <w:szCs w:val="24"/>
                <w:lang w:val="pt-PT"/>
              </w:rPr>
            </w:pPr>
            <w:r w:rsidRPr="416867E3" w:rsidR="416867E3">
              <w:rPr>
                <w:rFonts w:ascii="Arial" w:hAnsi="Arial" w:eastAsia="Arial" w:cs="Arial"/>
                <w:b w:val="0"/>
                <w:bCs w:val="0"/>
                <w:i w:val="0"/>
                <w:iCs w:val="0"/>
                <w:sz w:val="24"/>
                <w:szCs w:val="24"/>
                <w:lang w:val="pt-PT"/>
              </w:rPr>
              <w:t>Risco de incapacidade persistente em pacientes com esclerose múltipla de início pediátrico</w:t>
            </w:r>
          </w:p>
        </w:tc>
        <w:tc>
          <w:tcPr>
            <w:tcW w:w="612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416867E3" w:rsidP="416867E3" w:rsidRDefault="416867E3" w14:paraId="3B5CD713" w14:textId="773B683A">
            <w:pPr>
              <w:spacing w:line="1" w:lineRule="atLeast"/>
              <w:ind w:left="-1"/>
              <w:rPr>
                <w:rFonts w:ascii="Arial" w:hAnsi="Arial" w:eastAsia="Arial" w:cs="Arial"/>
                <w:b w:val="0"/>
                <w:bCs w:val="0"/>
                <w:i w:val="0"/>
                <w:iCs w:val="0"/>
                <w:sz w:val="24"/>
                <w:szCs w:val="24"/>
                <w:lang w:val="pt-PT"/>
              </w:rPr>
            </w:pPr>
            <w:r w:rsidRPr="416867E3" w:rsidR="416867E3">
              <w:rPr>
                <w:rFonts w:ascii="Arial" w:hAnsi="Arial" w:eastAsia="Arial" w:cs="Arial"/>
                <w:b w:val="0"/>
                <w:bCs w:val="0"/>
                <w:i w:val="0"/>
                <w:iCs w:val="0"/>
                <w:sz w:val="24"/>
                <w:szCs w:val="24"/>
                <w:lang w:val="pt-PT"/>
              </w:rPr>
              <w:t xml:space="preserve">Apesar do diagnóstico e tratamento precoce, muitas crianças permanecem com incapacidades neuromusculares residuais. O início precoce do tratamento está associado a menores escores na </w:t>
            </w:r>
            <w:r w:rsidRPr="416867E3" w:rsidR="416867E3">
              <w:rPr>
                <w:rFonts w:ascii="Arial" w:hAnsi="Arial" w:eastAsia="Arial" w:cs="Arial"/>
                <w:b w:val="0"/>
                <w:bCs w:val="0"/>
                <w:i w:val="0"/>
                <w:iCs w:val="0"/>
                <w:caps w:val="0"/>
                <w:smallCaps w:val="0"/>
                <w:strike w:val="0"/>
                <w:dstrike w:val="0"/>
                <w:color w:val="000000" w:themeColor="text1" w:themeTint="FF" w:themeShade="FF"/>
                <w:sz w:val="24"/>
                <w:szCs w:val="24"/>
                <w:u w:val="none"/>
                <w:lang w:val="pt-BR"/>
              </w:rPr>
              <w:t>Escala Expandida do Estado de Incapacidade</w:t>
            </w:r>
            <w:r w:rsidRPr="416867E3" w:rsidR="416867E3">
              <w:rPr>
                <w:rFonts w:ascii="Arial" w:hAnsi="Arial" w:eastAsia="Arial" w:cs="Arial"/>
                <w:b w:val="0"/>
                <w:bCs w:val="0"/>
                <w:i w:val="0"/>
                <w:iCs w:val="0"/>
                <w:sz w:val="24"/>
                <w:szCs w:val="24"/>
                <w:lang w:val="pt-PT"/>
              </w:rPr>
              <w:t xml:space="preserve"> (EDSS), porém, déficits motores finos e prejuízos funcionais podem persistir, afetando atividades diárias.</w:t>
            </w:r>
          </w:p>
        </w:tc>
      </w:tr>
    </w:tbl>
    <w:p w:rsidR="00880E69" w:rsidP="2D709C40" w:rsidRDefault="00880E69" w14:paraId="3652E809" w14:textId="277B464A">
      <w:pPr>
        <w:pBdr>
          <w:top w:val="nil" w:color="000000" w:sz="0" w:space="0"/>
          <w:left w:val="nil" w:color="000000" w:sz="0" w:space="0"/>
          <w:bottom w:val="nil" w:color="000000" w:sz="0" w:space="0"/>
          <w:right w:val="nil" w:color="000000" w:sz="0" w:space="0"/>
          <w:between w:val="nil" w:color="000000" w:sz="0" w:space="0"/>
        </w:pBdr>
        <w:spacing w:line="240" w:lineRule="auto"/>
        <w:ind w:left="0" w:leftChars="0" w:firstLine="0" w:firstLineChars="0"/>
        <w:rPr>
          <w:rFonts w:ascii="Arial" w:hAnsi="Arial" w:eastAsia="Arial" w:cs="Arial"/>
          <w:b w:val="0"/>
          <w:bCs w:val="0"/>
          <w:i w:val="0"/>
          <w:iCs w:val="0"/>
          <w:caps w:val="0"/>
          <w:smallCaps w:val="0"/>
          <w:noProof w:val="0"/>
          <w:color w:val="000000" w:themeColor="text1" w:themeTint="FF" w:themeShade="FF"/>
          <w:sz w:val="20"/>
          <w:szCs w:val="20"/>
          <w:lang w:val="pt-PT"/>
        </w:rPr>
      </w:pPr>
      <w:r w:rsidRPr="2D709C40" w:rsidR="3491BA0D">
        <w:rPr>
          <w:rFonts w:ascii="Arial" w:hAnsi="Arial" w:eastAsia="Arial" w:cs="Arial"/>
          <w:b w:val="0"/>
          <w:bCs w:val="0"/>
          <w:i w:val="0"/>
          <w:iCs w:val="0"/>
          <w:caps w:val="0"/>
          <w:smallCaps w:val="0"/>
          <w:noProof w:val="0"/>
          <w:color w:val="000000" w:themeColor="text1" w:themeTint="FF" w:themeShade="FF"/>
          <w:sz w:val="20"/>
          <w:szCs w:val="20"/>
          <w:lang w:val="pt-PT"/>
        </w:rPr>
        <w:t xml:space="preserve">Fonte: </w:t>
      </w:r>
      <w:r w:rsidRPr="2D709C40" w:rsidR="53486BD6">
        <w:rPr>
          <w:rFonts w:ascii="Arial" w:hAnsi="Arial" w:eastAsia="Arial" w:cs="Arial"/>
          <w:b w:val="0"/>
          <w:bCs w:val="0"/>
          <w:i w:val="0"/>
          <w:iCs w:val="0"/>
          <w:caps w:val="0"/>
          <w:smallCaps w:val="0"/>
          <w:noProof w:val="0"/>
          <w:color w:val="000000" w:themeColor="text1" w:themeTint="FF" w:themeShade="FF"/>
          <w:sz w:val="20"/>
          <w:szCs w:val="20"/>
          <w:lang w:val="pt-PT"/>
        </w:rPr>
        <w:t>Próprio Autor, 2025</w:t>
      </w:r>
      <w:r w:rsidRPr="2D709C40" w:rsidR="3491BA0D">
        <w:rPr>
          <w:rFonts w:ascii="Arial" w:hAnsi="Arial" w:eastAsia="Arial" w:cs="Arial"/>
          <w:b w:val="0"/>
          <w:bCs w:val="0"/>
          <w:i w:val="0"/>
          <w:iCs w:val="0"/>
          <w:caps w:val="0"/>
          <w:smallCaps w:val="0"/>
          <w:noProof w:val="0"/>
          <w:color w:val="000000" w:themeColor="text1" w:themeTint="FF" w:themeShade="FF"/>
          <w:sz w:val="20"/>
          <w:szCs w:val="20"/>
          <w:lang w:val="pt-PT"/>
        </w:rPr>
        <w:t>.</w:t>
      </w:r>
    </w:p>
    <w:p w:rsidR="00880E69" w:rsidP="416867E3" w:rsidRDefault="00880E69" w14:paraId="01B7BD86" w14:textId="3B0E20B5">
      <w:pPr>
        <w:pBdr>
          <w:top w:val="nil" w:color="000000" w:sz="0" w:space="0"/>
          <w:left w:val="nil" w:color="000000" w:sz="0" w:space="0"/>
          <w:bottom w:val="nil" w:color="000000" w:sz="0" w:space="0"/>
          <w:right w:val="nil" w:color="000000" w:sz="0" w:space="0"/>
          <w:between w:val="nil" w:color="000000" w:sz="0" w:space="0"/>
        </w:pBdr>
        <w:spacing w:line="240" w:lineRule="auto"/>
        <w:ind w:left="0" w:hanging="2"/>
        <w:jc w:val="both"/>
        <w:rPr>
          <w:rFonts w:ascii="Arial" w:hAnsi="Arial" w:eastAsia="Arial" w:cs="Arial"/>
          <w:b w:val="0"/>
          <w:bCs w:val="0"/>
          <w:i w:val="0"/>
          <w:iCs w:val="0"/>
          <w:caps w:val="0"/>
          <w:smallCaps w:val="0"/>
          <w:noProof w:val="0"/>
          <w:color w:val="000000" w:themeColor="text1" w:themeTint="FF" w:themeShade="FF"/>
          <w:sz w:val="24"/>
          <w:szCs w:val="24"/>
          <w:lang w:val="pt-PT"/>
        </w:rPr>
      </w:pPr>
    </w:p>
    <w:p w:rsidR="00880E69" w:rsidP="416867E3" w:rsidRDefault="00880E69" w14:paraId="0000003E" w14:textId="0B26902B">
      <w:pPr>
        <w:spacing w:line="1" w:lineRule="atLeast"/>
        <w:ind w:left="-2" w:firstLine="720"/>
        <w:rPr>
          <w:rFonts w:ascii="Arial" w:hAnsi="Arial" w:eastAsia="Arial" w:cs="Arial"/>
          <w:b w:val="0"/>
          <w:bCs w:val="0"/>
          <w:i w:val="0"/>
          <w:iCs w:val="0"/>
          <w:caps w:val="0"/>
          <w:smallCaps w:val="0"/>
          <w:noProof w:val="0"/>
          <w:color w:val="000000" w:themeColor="text1" w:themeTint="FF" w:themeShade="FF"/>
          <w:sz w:val="24"/>
          <w:szCs w:val="24"/>
          <w:lang w:val="pt-PT"/>
        </w:rPr>
      </w:pPr>
      <w:r w:rsidRPr="416867E3" w:rsidR="3491BA0D">
        <w:rPr>
          <w:rFonts w:ascii="Arial" w:hAnsi="Arial" w:eastAsia="Arial" w:cs="Arial"/>
          <w:b w:val="0"/>
          <w:bCs w:val="0"/>
          <w:i w:val="0"/>
          <w:iCs w:val="0"/>
          <w:caps w:val="0"/>
          <w:smallCaps w:val="0"/>
          <w:noProof w:val="0"/>
          <w:color w:val="000000" w:themeColor="text1" w:themeTint="FF" w:themeShade="FF"/>
          <w:sz w:val="24"/>
          <w:szCs w:val="24"/>
          <w:lang w:val="pt-PT"/>
        </w:rPr>
        <w:t>Os resultados evidenciam o amplo espectro de comprometimentos neuromusculares associados às doenças desmielinizantes pediátricas, destacando sua relevância clínica e funcional. Esses achados sustentam a necessidade de maior atenção ao diagnóstico e ao manejo precoce dessas condições, como será discutido na próxima seção.</w:t>
      </w:r>
    </w:p>
    <w:p w:rsidR="416867E3" w:rsidP="416867E3" w:rsidRDefault="416867E3" w14:paraId="39E0E963" w14:textId="0D9B69A2">
      <w:pPr>
        <w:pStyle w:val="Normal1"/>
        <w:ind w:left="-1" w:hanging="0"/>
      </w:pPr>
    </w:p>
    <w:p w:rsidR="00880E69" w:rsidRDefault="00C81ACD" w14:paraId="00000060" w14:textId="77777777">
      <w:pPr>
        <w:pBdr>
          <w:top w:val="nil"/>
          <w:left w:val="nil"/>
          <w:bottom w:val="nil"/>
          <w:right w:val="nil"/>
          <w:between w:val="nil"/>
        </w:pBdr>
        <w:spacing w:line="240" w:lineRule="auto"/>
        <w:ind w:left="0" w:hanging="2"/>
        <w:rPr>
          <w:rFonts w:ascii="Arial" w:hAnsi="Arial" w:eastAsia="Arial" w:cs="Arial"/>
          <w:b/>
          <w:color w:val="000000"/>
        </w:rPr>
      </w:pPr>
      <w:r>
        <w:rPr>
          <w:rFonts w:ascii="Arial" w:hAnsi="Arial" w:eastAsia="Arial" w:cs="Arial"/>
          <w:b/>
          <w:color w:val="000000"/>
        </w:rPr>
        <w:t xml:space="preserve">4 DISCUSSÃO </w:t>
      </w:r>
    </w:p>
    <w:p w:rsidR="00880E69" w:rsidP="416867E3" w:rsidRDefault="00C81ACD" w14:paraId="00000061" w14:textId="77777777" w14:noSpellErr="1">
      <w:pPr>
        <w:pBdr>
          <w:top w:val="nil" w:color="000000" w:sz="0" w:space="0"/>
          <w:left w:val="nil" w:color="000000" w:sz="0" w:space="0"/>
          <w:bottom w:val="nil" w:color="000000" w:sz="0" w:space="0"/>
          <w:right w:val="nil" w:color="000000" w:sz="0" w:space="0"/>
          <w:between w:val="nil" w:color="000000" w:sz="0" w:space="0"/>
        </w:pBdr>
        <w:spacing w:line="240" w:lineRule="auto"/>
        <w:ind w:left="0" w:hanging="2"/>
        <w:rPr>
          <w:rFonts w:ascii="Arial" w:hAnsi="Arial" w:eastAsia="Arial" w:cs="Arial"/>
          <w:b w:val="1"/>
          <w:bCs w:val="1"/>
          <w:color w:val="000000"/>
        </w:rPr>
      </w:pPr>
    </w:p>
    <w:p w:rsidR="094F17E2" w:rsidP="416867E3" w:rsidRDefault="094F17E2" w14:paraId="7D6DB17F" w14:textId="079A7E76">
      <w:pPr>
        <w:spacing w:line="240" w:lineRule="auto"/>
        <w:ind w:left="-2" w:firstLine="720"/>
        <w:jc w:val="both"/>
        <w:rPr>
          <w:rFonts w:ascii="Arial" w:hAnsi="Arial" w:eastAsia="Arial" w:cs="Arial"/>
          <w:color w:val="000000" w:themeColor="text1"/>
          <w:lang w:val="pt-BR"/>
        </w:rPr>
      </w:pPr>
      <w:r w:rsidRPr="416867E3" w:rsidR="0B1BCA0D">
        <w:rPr>
          <w:rFonts w:ascii="Arial" w:hAnsi="Arial" w:eastAsia="Arial" w:cs="Arial"/>
          <w:noProof w:val="0"/>
          <w:sz w:val="24"/>
          <w:szCs w:val="24"/>
          <w:lang w:val="pt-PT"/>
        </w:rPr>
        <w:t xml:space="preserve">Os dados mostram que as doenças </w:t>
      </w:r>
      <w:r w:rsidRPr="416867E3" w:rsidR="0B1BCA0D">
        <w:rPr>
          <w:rFonts w:ascii="Arial" w:hAnsi="Arial" w:eastAsia="Arial" w:cs="Arial"/>
          <w:noProof w:val="0"/>
          <w:sz w:val="24"/>
          <w:szCs w:val="24"/>
          <w:lang w:val="pt-PT"/>
        </w:rPr>
        <w:t>desmielinizantes</w:t>
      </w:r>
      <w:r w:rsidRPr="416867E3" w:rsidR="0B1BCA0D">
        <w:rPr>
          <w:rFonts w:ascii="Arial" w:hAnsi="Arial" w:eastAsia="Arial" w:cs="Arial"/>
          <w:noProof w:val="0"/>
          <w:sz w:val="24"/>
          <w:szCs w:val="24"/>
          <w:lang w:val="pt-PT"/>
        </w:rPr>
        <w:t xml:space="preserve"> afetam significativamente a função neuromuscular pediátrica, comprometendo a condução nervosa, a transmissão sináptica e a contração muscular</w:t>
      </w:r>
      <w:r w:rsidRPr="416867E3" w:rsidR="0DBDB85F">
        <w:rPr>
          <w:rFonts w:ascii="Arial" w:hAnsi="Arial" w:eastAsia="Arial" w:cs="Arial"/>
          <w:color w:val="000000" w:themeColor="text1" w:themeTint="FF" w:themeShade="FF"/>
        </w:rPr>
        <w:t xml:space="preserve">. </w:t>
      </w:r>
      <w:r w:rsidRPr="416867E3" w:rsidR="4FA4E5DB">
        <w:rPr>
          <w:rFonts w:ascii="Arial" w:hAnsi="Arial" w:eastAsia="Arial" w:cs="Arial"/>
          <w:noProof w:val="0"/>
          <w:sz w:val="24"/>
          <w:szCs w:val="24"/>
          <w:lang w:val="pt-PT"/>
        </w:rPr>
        <w:t>O comprometimento é mais crítico na infância, quando o SNC ainda está em maturação</w:t>
      </w:r>
      <w:r w:rsidRPr="416867E3" w:rsidR="0DBDB85F">
        <w:rPr>
          <w:rFonts w:ascii="Arial" w:hAnsi="Arial" w:eastAsia="Arial" w:cs="Arial"/>
          <w:color w:val="000000" w:themeColor="text1" w:themeTint="FF" w:themeShade="FF"/>
        </w:rPr>
        <w:t xml:space="preserve">. A </w:t>
      </w:r>
      <w:r w:rsidRPr="416867E3" w:rsidR="0DBDB85F">
        <w:rPr>
          <w:rFonts w:ascii="Arial" w:hAnsi="Arial" w:eastAsia="Arial" w:cs="Arial"/>
          <w:color w:val="000000" w:themeColor="text1" w:themeTint="FF" w:themeShade="FF"/>
        </w:rPr>
        <w:t>desmielinização</w:t>
      </w:r>
      <w:r w:rsidRPr="416867E3" w:rsidR="0DBDB85F">
        <w:rPr>
          <w:rFonts w:ascii="Arial" w:hAnsi="Arial" w:eastAsia="Arial" w:cs="Arial"/>
          <w:color w:val="000000" w:themeColor="text1" w:themeTint="FF" w:themeShade="FF"/>
        </w:rPr>
        <w:t xml:space="preserve">, ao reduzir a condução </w:t>
      </w:r>
      <w:r w:rsidRPr="416867E3" w:rsidR="0DBDB85F">
        <w:rPr>
          <w:rFonts w:ascii="Arial" w:hAnsi="Arial" w:eastAsia="Arial" w:cs="Arial"/>
          <w:color w:val="000000" w:themeColor="text1" w:themeTint="FF" w:themeShade="FF"/>
        </w:rPr>
        <w:t>saltatória</w:t>
      </w:r>
      <w:r w:rsidRPr="416867E3" w:rsidR="0DBDB85F">
        <w:rPr>
          <w:rFonts w:ascii="Arial" w:hAnsi="Arial" w:eastAsia="Arial" w:cs="Arial"/>
          <w:color w:val="000000" w:themeColor="text1" w:themeTint="FF" w:themeShade="FF"/>
        </w:rPr>
        <w:t xml:space="preserve">, compromete a ativação motora eficaz, gerando fraqueza muscular, perda de coordenação e alterações do </w:t>
      </w:r>
      <w:r w:rsidRPr="416867E3" w:rsidR="0DBDB85F">
        <w:rPr>
          <w:rFonts w:ascii="Arial" w:hAnsi="Arial" w:eastAsia="Arial" w:cs="Arial"/>
          <w:color w:val="000000" w:themeColor="text1" w:themeTint="FF" w:themeShade="FF"/>
        </w:rPr>
        <w:t>tônus</w:t>
      </w:r>
      <w:r w:rsidRPr="416867E3" w:rsidR="0DBDB85F">
        <w:rPr>
          <w:rFonts w:ascii="Arial" w:hAnsi="Arial" w:eastAsia="Arial" w:cs="Arial"/>
          <w:color w:val="000000" w:themeColor="text1" w:themeTint="FF" w:themeShade="FF"/>
        </w:rPr>
        <w:t xml:space="preserve"> (</w:t>
      </w:r>
      <w:r w:rsidRPr="416867E3" w:rsidR="27E562DE">
        <w:rPr>
          <w:rFonts w:ascii="Arial" w:hAnsi="Arial" w:eastAsia="Arial" w:cs="Arial"/>
          <w:color w:val="000000" w:themeColor="text1" w:themeTint="FF" w:themeShade="FF"/>
        </w:rPr>
        <w:t>Hamada</w:t>
      </w:r>
      <w:r w:rsidRPr="416867E3" w:rsidR="0DBDB85F">
        <w:rPr>
          <w:rFonts w:ascii="Arial" w:hAnsi="Arial" w:eastAsia="Arial" w:cs="Arial"/>
          <w:i w:val="1"/>
          <w:iCs w:val="1"/>
          <w:color w:val="000000" w:themeColor="text1" w:themeTint="FF" w:themeShade="FF"/>
        </w:rPr>
        <w:t xml:space="preserve"> </w:t>
      </w:r>
      <w:r w:rsidRPr="416867E3" w:rsidR="0DBDB85F">
        <w:rPr>
          <w:rFonts w:ascii="Arial" w:hAnsi="Arial" w:eastAsia="Arial" w:cs="Arial"/>
          <w:i w:val="1"/>
          <w:iCs w:val="1"/>
          <w:color w:val="000000" w:themeColor="text1" w:themeTint="FF" w:themeShade="FF"/>
        </w:rPr>
        <w:t>et</w:t>
      </w:r>
      <w:r w:rsidRPr="416867E3" w:rsidR="0DBDB85F">
        <w:rPr>
          <w:rFonts w:ascii="Arial" w:hAnsi="Arial" w:eastAsia="Arial" w:cs="Arial"/>
          <w:i w:val="1"/>
          <w:iCs w:val="1"/>
          <w:color w:val="000000" w:themeColor="text1" w:themeTint="FF" w:themeShade="FF"/>
        </w:rPr>
        <w:t xml:space="preserve"> al.</w:t>
      </w:r>
      <w:r w:rsidRPr="416867E3" w:rsidR="0DBDB85F">
        <w:rPr>
          <w:rFonts w:ascii="Arial" w:hAnsi="Arial" w:eastAsia="Arial" w:cs="Arial"/>
          <w:color w:val="000000" w:themeColor="text1" w:themeTint="FF" w:themeShade="FF"/>
        </w:rPr>
        <w:t>, 2022).</w:t>
      </w:r>
    </w:p>
    <w:p w:rsidR="094F17E2" w:rsidP="416867E3" w:rsidRDefault="094F17E2" w14:paraId="6758C65C" w14:textId="5ECA8482">
      <w:pPr>
        <w:spacing w:line="240" w:lineRule="auto"/>
        <w:ind w:left="-2" w:firstLine="720"/>
        <w:jc w:val="both"/>
        <w:rPr>
          <w:rFonts w:ascii="Arial" w:hAnsi="Arial" w:eastAsia="Arial" w:cs="Arial"/>
          <w:color w:val="000000" w:themeColor="text1"/>
          <w:lang w:val="pt-BR"/>
        </w:rPr>
      </w:pPr>
      <w:r w:rsidRPr="416867E3" w:rsidR="0DBDB85F">
        <w:rPr>
          <w:rFonts w:ascii="Arial" w:hAnsi="Arial" w:eastAsia="Arial" w:cs="Arial"/>
          <w:color w:val="000000" w:themeColor="text1" w:themeTint="FF" w:themeShade="FF"/>
        </w:rPr>
        <w:t xml:space="preserve">Os estudos de Gilmore </w:t>
      </w:r>
      <w:r w:rsidRPr="416867E3" w:rsidR="0DBDB85F">
        <w:rPr>
          <w:rFonts w:ascii="Arial" w:hAnsi="Arial" w:eastAsia="Arial" w:cs="Arial"/>
          <w:i w:val="1"/>
          <w:iCs w:val="1"/>
          <w:color w:val="000000" w:themeColor="text1" w:themeTint="FF" w:themeShade="FF"/>
        </w:rPr>
        <w:t>et</w:t>
      </w:r>
      <w:r w:rsidRPr="416867E3" w:rsidR="0DBDB85F">
        <w:rPr>
          <w:rFonts w:ascii="Arial" w:hAnsi="Arial" w:eastAsia="Arial" w:cs="Arial"/>
          <w:i w:val="1"/>
          <w:iCs w:val="1"/>
          <w:color w:val="000000" w:themeColor="text1" w:themeTint="FF" w:themeShade="FF"/>
        </w:rPr>
        <w:t xml:space="preserve"> al</w:t>
      </w:r>
      <w:r w:rsidRPr="416867E3" w:rsidR="0DBDB85F">
        <w:rPr>
          <w:rFonts w:ascii="Arial" w:hAnsi="Arial" w:eastAsia="Arial" w:cs="Arial"/>
          <w:color w:val="000000" w:themeColor="text1" w:themeTint="FF" w:themeShade="FF"/>
        </w:rPr>
        <w:t xml:space="preserve">. (2018) e </w:t>
      </w:r>
      <w:r w:rsidRPr="416867E3" w:rsidR="0DBDB85F">
        <w:rPr>
          <w:rFonts w:ascii="Arial" w:hAnsi="Arial" w:eastAsia="Arial" w:cs="Arial"/>
          <w:color w:val="000000" w:themeColor="text1" w:themeTint="FF" w:themeShade="FF"/>
        </w:rPr>
        <w:t>Kaji</w:t>
      </w:r>
      <w:r w:rsidRPr="416867E3" w:rsidR="0DBDB85F">
        <w:rPr>
          <w:rFonts w:ascii="Arial" w:hAnsi="Arial" w:eastAsia="Arial" w:cs="Arial"/>
          <w:color w:val="000000" w:themeColor="text1" w:themeTint="FF" w:themeShade="FF"/>
        </w:rPr>
        <w:t xml:space="preserve"> </w:t>
      </w:r>
      <w:r w:rsidRPr="416867E3" w:rsidR="0DBDB85F">
        <w:rPr>
          <w:rFonts w:ascii="Arial" w:hAnsi="Arial" w:eastAsia="Arial" w:cs="Arial"/>
          <w:i w:val="1"/>
          <w:iCs w:val="1"/>
          <w:color w:val="000000" w:themeColor="text1" w:themeTint="FF" w:themeShade="FF"/>
        </w:rPr>
        <w:t>et</w:t>
      </w:r>
      <w:r w:rsidRPr="416867E3" w:rsidR="0DBDB85F">
        <w:rPr>
          <w:rFonts w:ascii="Arial" w:hAnsi="Arial" w:eastAsia="Arial" w:cs="Arial"/>
          <w:i w:val="1"/>
          <w:iCs w:val="1"/>
          <w:color w:val="000000" w:themeColor="text1" w:themeTint="FF" w:themeShade="FF"/>
        </w:rPr>
        <w:t xml:space="preserve"> al</w:t>
      </w:r>
      <w:r w:rsidRPr="416867E3" w:rsidR="0DBDB85F">
        <w:rPr>
          <w:rFonts w:ascii="Arial" w:hAnsi="Arial" w:eastAsia="Arial" w:cs="Arial"/>
          <w:color w:val="000000" w:themeColor="text1" w:themeTint="FF" w:themeShade="FF"/>
        </w:rPr>
        <w:t xml:space="preserve">. (2021) mostram que a perda da </w:t>
      </w:r>
      <w:r w:rsidRPr="416867E3" w:rsidR="0DBDB85F">
        <w:rPr>
          <w:rFonts w:ascii="Arial" w:hAnsi="Arial" w:eastAsia="Arial" w:cs="Arial"/>
          <w:color w:val="000000" w:themeColor="text1" w:themeTint="FF" w:themeShade="FF"/>
        </w:rPr>
        <w:t>mielina</w:t>
      </w:r>
      <w:r w:rsidRPr="416867E3" w:rsidR="0DBDB85F">
        <w:rPr>
          <w:rFonts w:ascii="Arial" w:hAnsi="Arial" w:eastAsia="Arial" w:cs="Arial"/>
          <w:color w:val="000000" w:themeColor="text1" w:themeTint="FF" w:themeShade="FF"/>
        </w:rPr>
        <w:t xml:space="preserve"> afeta tanto os nervos periféricos quanto a musculatura esquelética, ocasionando redução do potencial de ação muscular composto (CMAP), diminuição das unidades motoras ativas e fraqueza que não se explica apenas por atrofia muscular, mas por disfunção </w:t>
      </w:r>
      <w:r w:rsidRPr="416867E3" w:rsidR="0DBDB85F">
        <w:rPr>
          <w:rFonts w:ascii="Arial" w:hAnsi="Arial" w:eastAsia="Arial" w:cs="Arial"/>
          <w:color w:val="000000" w:themeColor="text1" w:themeTint="FF" w:themeShade="FF"/>
        </w:rPr>
        <w:t>neural</w:t>
      </w:r>
      <w:r w:rsidRPr="416867E3" w:rsidR="0DBDB85F">
        <w:rPr>
          <w:rFonts w:ascii="Arial" w:hAnsi="Arial" w:eastAsia="Arial" w:cs="Arial"/>
          <w:color w:val="000000" w:themeColor="text1" w:themeTint="FF" w:themeShade="FF"/>
        </w:rPr>
        <w:t xml:space="preserve">. Isso reforça a relação estreita entre integridade </w:t>
      </w:r>
      <w:r w:rsidRPr="416867E3" w:rsidR="0DBDB85F">
        <w:rPr>
          <w:rFonts w:ascii="Arial" w:hAnsi="Arial" w:eastAsia="Arial" w:cs="Arial"/>
          <w:color w:val="000000" w:themeColor="text1" w:themeTint="FF" w:themeShade="FF"/>
        </w:rPr>
        <w:t>mielínica</w:t>
      </w:r>
      <w:r w:rsidRPr="416867E3" w:rsidR="0DBDB85F">
        <w:rPr>
          <w:rFonts w:ascii="Arial" w:hAnsi="Arial" w:eastAsia="Arial" w:cs="Arial"/>
          <w:color w:val="000000" w:themeColor="text1" w:themeTint="FF" w:themeShade="FF"/>
        </w:rPr>
        <w:t xml:space="preserve"> e desempenho muscular.</w:t>
      </w:r>
    </w:p>
    <w:p w:rsidR="094F17E2" w:rsidP="416867E3" w:rsidRDefault="094F17E2" w14:paraId="55999C5A" w14:textId="0A961662">
      <w:pPr>
        <w:spacing w:line="240" w:lineRule="auto"/>
        <w:ind w:left="-2" w:firstLine="720"/>
        <w:jc w:val="both"/>
        <w:rPr>
          <w:rFonts w:ascii="Arial" w:hAnsi="Arial" w:eastAsia="Arial" w:cs="Arial"/>
          <w:color w:val="000000" w:themeColor="text1"/>
          <w:lang w:val="pt-BR"/>
        </w:rPr>
      </w:pPr>
      <w:r w:rsidRPr="416867E3" w:rsidR="0DBDB85F">
        <w:rPr>
          <w:rFonts w:ascii="Arial" w:hAnsi="Arial" w:eastAsia="Arial" w:cs="Arial"/>
          <w:color w:val="000000" w:themeColor="text1" w:themeTint="FF" w:themeShade="FF"/>
        </w:rPr>
        <w:t xml:space="preserve">Na população pediátrica, Leung e </w:t>
      </w:r>
      <w:r w:rsidRPr="416867E3" w:rsidR="0DBDB85F">
        <w:rPr>
          <w:rFonts w:ascii="Arial" w:hAnsi="Arial" w:eastAsia="Arial" w:cs="Arial"/>
          <w:color w:val="000000" w:themeColor="text1" w:themeTint="FF" w:themeShade="FF"/>
        </w:rPr>
        <w:t>Yiu</w:t>
      </w:r>
      <w:r w:rsidRPr="416867E3" w:rsidR="0DBDB85F">
        <w:rPr>
          <w:rFonts w:ascii="Arial" w:hAnsi="Arial" w:eastAsia="Arial" w:cs="Arial"/>
          <w:color w:val="000000" w:themeColor="text1" w:themeTint="FF" w:themeShade="FF"/>
        </w:rPr>
        <w:t xml:space="preserve"> (2024) destacam que sintomas </w:t>
      </w:r>
      <w:r w:rsidRPr="416867E3" w:rsidR="0DBDB85F">
        <w:rPr>
          <w:rFonts w:ascii="Arial" w:hAnsi="Arial" w:eastAsia="Arial" w:cs="Arial"/>
          <w:color w:val="000000" w:themeColor="text1" w:themeTint="FF" w:themeShade="FF"/>
        </w:rPr>
        <w:t>inespecíficos</w:t>
      </w:r>
      <w:r w:rsidRPr="416867E3" w:rsidR="0DBDB85F">
        <w:rPr>
          <w:rFonts w:ascii="Arial" w:hAnsi="Arial" w:eastAsia="Arial" w:cs="Arial"/>
          <w:color w:val="000000" w:themeColor="text1" w:themeTint="FF" w:themeShade="FF"/>
        </w:rPr>
        <w:t xml:space="preserve">, como dor, irritabilidade ou recusa em caminhar, dificultam a </w:t>
      </w:r>
      <w:r w:rsidRPr="416867E3" w:rsidR="0DBDB85F">
        <w:rPr>
          <w:rFonts w:ascii="Arial" w:hAnsi="Arial" w:eastAsia="Arial" w:cs="Arial"/>
          <w:color w:val="000000" w:themeColor="text1" w:themeTint="FF" w:themeShade="FF"/>
        </w:rPr>
        <w:t>detecção</w:t>
      </w:r>
      <w:r w:rsidRPr="416867E3" w:rsidR="0DBDB85F">
        <w:rPr>
          <w:rFonts w:ascii="Arial" w:hAnsi="Arial" w:eastAsia="Arial" w:cs="Arial"/>
          <w:color w:val="000000" w:themeColor="text1" w:themeTint="FF" w:themeShade="FF"/>
        </w:rPr>
        <w:t xml:space="preserve"> precoce de alterações </w:t>
      </w:r>
      <w:r w:rsidRPr="416867E3" w:rsidR="0DBDB85F">
        <w:rPr>
          <w:rFonts w:ascii="Arial" w:hAnsi="Arial" w:eastAsia="Arial" w:cs="Arial"/>
          <w:color w:val="000000" w:themeColor="text1" w:themeTint="FF" w:themeShade="FF"/>
        </w:rPr>
        <w:t>neuromusculares</w:t>
      </w:r>
      <w:r w:rsidRPr="416867E3" w:rsidR="0DBDB85F">
        <w:rPr>
          <w:rFonts w:ascii="Arial" w:hAnsi="Arial" w:eastAsia="Arial" w:cs="Arial"/>
          <w:color w:val="000000" w:themeColor="text1" w:themeTint="FF" w:themeShade="FF"/>
        </w:rPr>
        <w:t xml:space="preserve">. Essa dificuldade </w:t>
      </w:r>
      <w:r w:rsidRPr="416867E3" w:rsidR="0DBDB85F">
        <w:rPr>
          <w:rFonts w:ascii="Arial" w:hAnsi="Arial" w:eastAsia="Arial" w:cs="Arial"/>
          <w:color w:val="000000" w:themeColor="text1" w:themeTint="FF" w:themeShade="FF"/>
        </w:rPr>
        <w:t>diagnóstica</w:t>
      </w:r>
      <w:r w:rsidRPr="416867E3" w:rsidR="0DBDB85F">
        <w:rPr>
          <w:rFonts w:ascii="Arial" w:hAnsi="Arial" w:eastAsia="Arial" w:cs="Arial"/>
          <w:color w:val="000000" w:themeColor="text1" w:themeTint="FF" w:themeShade="FF"/>
        </w:rPr>
        <w:t xml:space="preserve"> pode atrasar o início do tratamento e aumentar o risco de sequelas funcionais. Além disso, </w:t>
      </w:r>
      <w:r w:rsidRPr="416867E3" w:rsidR="0DBDB85F">
        <w:rPr>
          <w:rFonts w:ascii="Arial" w:hAnsi="Arial" w:eastAsia="Arial" w:cs="Arial"/>
          <w:color w:val="000000" w:themeColor="text1" w:themeTint="FF" w:themeShade="FF"/>
        </w:rPr>
        <w:t>Baroncini</w:t>
      </w:r>
      <w:r w:rsidRPr="416867E3" w:rsidR="0DBDB85F">
        <w:rPr>
          <w:rFonts w:ascii="Arial" w:hAnsi="Arial" w:eastAsia="Arial" w:cs="Arial"/>
          <w:color w:val="000000" w:themeColor="text1" w:themeTint="FF" w:themeShade="FF"/>
        </w:rPr>
        <w:t xml:space="preserve"> </w:t>
      </w:r>
      <w:r w:rsidRPr="416867E3" w:rsidR="0DBDB85F">
        <w:rPr>
          <w:rFonts w:ascii="Arial" w:hAnsi="Arial" w:eastAsia="Arial" w:cs="Arial"/>
          <w:i w:val="1"/>
          <w:iCs w:val="1"/>
          <w:color w:val="000000" w:themeColor="text1" w:themeTint="FF" w:themeShade="FF"/>
        </w:rPr>
        <w:t>et</w:t>
      </w:r>
      <w:r w:rsidRPr="416867E3" w:rsidR="0DBDB85F">
        <w:rPr>
          <w:rFonts w:ascii="Arial" w:hAnsi="Arial" w:eastAsia="Arial" w:cs="Arial"/>
          <w:i w:val="1"/>
          <w:iCs w:val="1"/>
          <w:color w:val="000000" w:themeColor="text1" w:themeTint="FF" w:themeShade="FF"/>
        </w:rPr>
        <w:t xml:space="preserve"> al.</w:t>
      </w:r>
      <w:r w:rsidRPr="416867E3" w:rsidR="0DBDB85F">
        <w:rPr>
          <w:rFonts w:ascii="Arial" w:hAnsi="Arial" w:eastAsia="Arial" w:cs="Arial"/>
          <w:color w:val="000000" w:themeColor="text1" w:themeTint="FF" w:themeShade="FF"/>
        </w:rPr>
        <w:t xml:space="preserve"> (2020) evidenciam que muitas crianças com </w:t>
      </w:r>
      <w:r w:rsidRPr="416867E3" w:rsidR="0DBDB85F">
        <w:rPr>
          <w:rFonts w:ascii="Arial" w:hAnsi="Arial" w:eastAsia="Arial" w:cs="Arial"/>
          <w:color w:val="000000" w:themeColor="text1" w:themeTint="FF" w:themeShade="FF"/>
        </w:rPr>
        <w:t>neuromielite</w:t>
      </w:r>
      <w:r w:rsidRPr="416867E3" w:rsidR="0DBDB85F">
        <w:rPr>
          <w:rFonts w:ascii="Arial" w:hAnsi="Arial" w:eastAsia="Arial" w:cs="Arial"/>
          <w:color w:val="000000" w:themeColor="text1" w:themeTint="FF" w:themeShade="FF"/>
        </w:rPr>
        <w:t xml:space="preserve"> </w:t>
      </w:r>
      <w:r w:rsidRPr="416867E3" w:rsidR="0DBDB85F">
        <w:rPr>
          <w:rFonts w:ascii="Arial" w:hAnsi="Arial" w:eastAsia="Arial" w:cs="Arial"/>
          <w:color w:val="000000" w:themeColor="text1" w:themeTint="FF" w:themeShade="FF"/>
        </w:rPr>
        <w:t>óptica</w:t>
      </w:r>
      <w:r w:rsidRPr="416867E3" w:rsidR="0DBDB85F">
        <w:rPr>
          <w:rFonts w:ascii="Arial" w:hAnsi="Arial" w:eastAsia="Arial" w:cs="Arial"/>
          <w:color w:val="000000" w:themeColor="text1" w:themeTint="FF" w:themeShade="FF"/>
        </w:rPr>
        <w:t xml:space="preserve"> apresentam </w:t>
      </w:r>
      <w:r w:rsidRPr="416867E3" w:rsidR="0DBDB85F">
        <w:rPr>
          <w:rFonts w:ascii="Arial" w:hAnsi="Arial" w:eastAsia="Arial" w:cs="Arial"/>
          <w:color w:val="000000" w:themeColor="text1" w:themeTint="FF" w:themeShade="FF"/>
        </w:rPr>
        <w:t>déficits</w:t>
      </w:r>
      <w:r w:rsidRPr="416867E3" w:rsidR="0DBDB85F">
        <w:rPr>
          <w:rFonts w:ascii="Arial" w:hAnsi="Arial" w:eastAsia="Arial" w:cs="Arial"/>
          <w:color w:val="000000" w:themeColor="text1" w:themeTint="FF" w:themeShade="FF"/>
        </w:rPr>
        <w:t xml:space="preserve"> motores duradouros, necessitando de dispositivos auxiliares para locomoção, o que limita sua autonomia funcional e qualidade de vida.</w:t>
      </w:r>
    </w:p>
    <w:p w:rsidR="094F17E2" w:rsidP="416867E3" w:rsidRDefault="094F17E2" w14:paraId="3D8A4A5A" w14:textId="15D1EE96">
      <w:pPr>
        <w:spacing w:line="240" w:lineRule="auto"/>
        <w:ind w:left="-2" w:firstLine="720"/>
        <w:jc w:val="both"/>
        <w:rPr>
          <w:rFonts w:ascii="Arial" w:hAnsi="Arial" w:eastAsia="Arial" w:cs="Arial"/>
          <w:color w:val="000000" w:themeColor="text1"/>
          <w:lang w:val="pt-BR"/>
        </w:rPr>
      </w:pPr>
      <w:r w:rsidRPr="416867E3" w:rsidR="0DBDB85F">
        <w:rPr>
          <w:rFonts w:ascii="Arial" w:hAnsi="Arial" w:eastAsia="Arial" w:cs="Arial"/>
          <w:color w:val="000000" w:themeColor="text1" w:themeTint="FF" w:themeShade="FF"/>
        </w:rPr>
        <w:t xml:space="preserve">Outro ponto relevante é a alteração no equilíbrio muscular. </w:t>
      </w:r>
      <w:r w:rsidRPr="416867E3" w:rsidR="0DBDB85F">
        <w:rPr>
          <w:rFonts w:ascii="Arial" w:hAnsi="Arial" w:eastAsia="Arial" w:cs="Arial"/>
          <w:color w:val="000000" w:themeColor="text1" w:themeTint="FF" w:themeShade="FF"/>
        </w:rPr>
        <w:t>Neamtu</w:t>
      </w:r>
      <w:r w:rsidRPr="416867E3" w:rsidR="0DBDB85F">
        <w:rPr>
          <w:rFonts w:ascii="Arial" w:hAnsi="Arial" w:eastAsia="Arial" w:cs="Arial"/>
          <w:color w:val="000000" w:themeColor="text1" w:themeTint="FF" w:themeShade="FF"/>
        </w:rPr>
        <w:t xml:space="preserve"> </w:t>
      </w:r>
      <w:r w:rsidRPr="416867E3" w:rsidR="0DBDB85F">
        <w:rPr>
          <w:rFonts w:ascii="Arial" w:hAnsi="Arial" w:eastAsia="Arial" w:cs="Arial"/>
          <w:i w:val="1"/>
          <w:iCs w:val="1"/>
          <w:color w:val="000000" w:themeColor="text1" w:themeTint="FF" w:themeShade="FF"/>
        </w:rPr>
        <w:t>et</w:t>
      </w:r>
      <w:r w:rsidRPr="416867E3" w:rsidR="0DBDB85F">
        <w:rPr>
          <w:rFonts w:ascii="Arial" w:hAnsi="Arial" w:eastAsia="Arial" w:cs="Arial"/>
          <w:i w:val="1"/>
          <w:iCs w:val="1"/>
          <w:color w:val="000000" w:themeColor="text1" w:themeTint="FF" w:themeShade="FF"/>
        </w:rPr>
        <w:t xml:space="preserve"> al.</w:t>
      </w:r>
      <w:r w:rsidRPr="416867E3" w:rsidR="0DBDB85F">
        <w:rPr>
          <w:rFonts w:ascii="Arial" w:hAnsi="Arial" w:eastAsia="Arial" w:cs="Arial"/>
          <w:color w:val="000000" w:themeColor="text1" w:themeTint="FF" w:themeShade="FF"/>
        </w:rPr>
        <w:t xml:space="preserve"> (2022) identificaram, em pacientes com </w:t>
      </w:r>
      <w:r w:rsidRPr="416867E3" w:rsidR="0DBDB85F">
        <w:rPr>
          <w:rFonts w:ascii="Arial" w:hAnsi="Arial" w:eastAsia="Arial" w:cs="Arial"/>
          <w:color w:val="000000" w:themeColor="text1" w:themeTint="FF" w:themeShade="FF"/>
        </w:rPr>
        <w:t>esclerose</w:t>
      </w:r>
      <w:r w:rsidRPr="416867E3" w:rsidR="0DBDB85F">
        <w:rPr>
          <w:rFonts w:ascii="Arial" w:hAnsi="Arial" w:eastAsia="Arial" w:cs="Arial"/>
          <w:color w:val="000000" w:themeColor="text1" w:themeTint="FF" w:themeShade="FF"/>
        </w:rPr>
        <w:t xml:space="preserve"> múltipla, assimetrias no </w:t>
      </w:r>
      <w:r w:rsidRPr="416867E3" w:rsidR="0DBDB85F">
        <w:rPr>
          <w:rFonts w:ascii="Arial" w:hAnsi="Arial" w:eastAsia="Arial" w:cs="Arial"/>
          <w:color w:val="000000" w:themeColor="text1" w:themeTint="FF" w:themeShade="FF"/>
        </w:rPr>
        <w:t>tônus</w:t>
      </w:r>
      <w:r w:rsidRPr="416867E3" w:rsidR="0DBDB85F">
        <w:rPr>
          <w:rFonts w:ascii="Arial" w:hAnsi="Arial" w:eastAsia="Arial" w:cs="Arial"/>
          <w:color w:val="000000" w:themeColor="text1" w:themeTint="FF" w:themeShade="FF"/>
        </w:rPr>
        <w:t xml:space="preserve"> e no recrutamento de fibras musculares, como predomínio de fibras do tipo II em músculos da coxa, o que afeta diretamente a </w:t>
      </w:r>
      <w:r w:rsidRPr="416867E3" w:rsidR="0DBDB85F">
        <w:rPr>
          <w:rFonts w:ascii="Arial" w:hAnsi="Arial" w:eastAsia="Arial" w:cs="Arial"/>
          <w:color w:val="000000" w:themeColor="text1" w:themeTint="FF" w:themeShade="FF"/>
        </w:rPr>
        <w:t>biomecânica</w:t>
      </w:r>
      <w:r w:rsidRPr="416867E3" w:rsidR="0DBDB85F">
        <w:rPr>
          <w:rFonts w:ascii="Arial" w:hAnsi="Arial" w:eastAsia="Arial" w:cs="Arial"/>
          <w:color w:val="000000" w:themeColor="text1" w:themeTint="FF" w:themeShade="FF"/>
        </w:rPr>
        <w:t xml:space="preserve"> da marcha e a estabilidade </w:t>
      </w:r>
      <w:r w:rsidRPr="416867E3" w:rsidR="0DBDB85F">
        <w:rPr>
          <w:rFonts w:ascii="Arial" w:hAnsi="Arial" w:eastAsia="Arial" w:cs="Arial"/>
          <w:color w:val="000000" w:themeColor="text1" w:themeTint="FF" w:themeShade="FF"/>
        </w:rPr>
        <w:t>postural</w:t>
      </w:r>
      <w:r w:rsidRPr="416867E3" w:rsidR="0DBDB85F">
        <w:rPr>
          <w:rFonts w:ascii="Arial" w:hAnsi="Arial" w:eastAsia="Arial" w:cs="Arial"/>
          <w:color w:val="000000" w:themeColor="text1" w:themeTint="FF" w:themeShade="FF"/>
        </w:rPr>
        <w:t xml:space="preserve">. Esses achados reforçam a importância de abordagens terapêuticas precoces e individualizadas, voltadas para a reabilitação funcional e </w:t>
      </w:r>
      <w:r w:rsidRPr="416867E3" w:rsidR="0DBDB85F">
        <w:rPr>
          <w:rFonts w:ascii="Arial" w:hAnsi="Arial" w:eastAsia="Arial" w:cs="Arial"/>
          <w:color w:val="000000" w:themeColor="text1" w:themeTint="FF" w:themeShade="FF"/>
        </w:rPr>
        <w:t>neuromuscular</w:t>
      </w:r>
      <w:r w:rsidRPr="416867E3" w:rsidR="0DBDB85F">
        <w:rPr>
          <w:rFonts w:ascii="Arial" w:hAnsi="Arial" w:eastAsia="Arial" w:cs="Arial"/>
          <w:color w:val="000000" w:themeColor="text1" w:themeTint="FF" w:themeShade="FF"/>
        </w:rPr>
        <w:t>.</w:t>
      </w:r>
    </w:p>
    <w:p w:rsidR="094F17E2" w:rsidP="416867E3" w:rsidRDefault="094F17E2" w14:paraId="6EC8B19F" w14:textId="50894074">
      <w:pPr>
        <w:spacing w:line="240" w:lineRule="auto"/>
        <w:ind w:left="-2" w:firstLine="720"/>
        <w:jc w:val="both"/>
        <w:rPr>
          <w:rFonts w:ascii="Arial" w:hAnsi="Arial" w:eastAsia="Arial" w:cs="Arial"/>
          <w:color w:val="000000" w:themeColor="text1"/>
          <w:lang w:val="pt-BR"/>
        </w:rPr>
      </w:pPr>
      <w:r w:rsidRPr="416867E3" w:rsidR="0DBDB85F">
        <w:rPr>
          <w:rFonts w:ascii="Arial" w:hAnsi="Arial" w:eastAsia="Arial" w:cs="Arial"/>
          <w:color w:val="000000" w:themeColor="text1" w:themeTint="FF" w:themeShade="FF"/>
        </w:rPr>
        <w:t xml:space="preserve">Portanto, ainda que o diagnóstico precoce e o tratamento adequado possam melhorar o prognóstico, os dados demonstram que os </w:t>
      </w:r>
      <w:r w:rsidRPr="416867E3" w:rsidR="0DBDB85F">
        <w:rPr>
          <w:rFonts w:ascii="Arial" w:hAnsi="Arial" w:eastAsia="Arial" w:cs="Arial"/>
          <w:color w:val="000000" w:themeColor="text1" w:themeTint="FF" w:themeShade="FF"/>
        </w:rPr>
        <w:t>déficits</w:t>
      </w:r>
      <w:r w:rsidRPr="416867E3" w:rsidR="0DBDB85F">
        <w:rPr>
          <w:rFonts w:ascii="Arial" w:hAnsi="Arial" w:eastAsia="Arial" w:cs="Arial"/>
          <w:color w:val="000000" w:themeColor="text1" w:themeTint="FF" w:themeShade="FF"/>
        </w:rPr>
        <w:t xml:space="preserve"> </w:t>
      </w:r>
      <w:r w:rsidRPr="416867E3" w:rsidR="0DBDB85F">
        <w:rPr>
          <w:rFonts w:ascii="Arial" w:hAnsi="Arial" w:eastAsia="Arial" w:cs="Arial"/>
          <w:color w:val="000000" w:themeColor="text1" w:themeTint="FF" w:themeShade="FF"/>
        </w:rPr>
        <w:t>neuromusculares</w:t>
      </w:r>
      <w:r w:rsidRPr="416867E3" w:rsidR="0DBDB85F">
        <w:rPr>
          <w:rFonts w:ascii="Arial" w:hAnsi="Arial" w:eastAsia="Arial" w:cs="Arial"/>
          <w:color w:val="000000" w:themeColor="text1" w:themeTint="FF" w:themeShade="FF"/>
        </w:rPr>
        <w:t xml:space="preserve"> podem persistir, </w:t>
      </w:r>
      <w:r w:rsidRPr="416867E3" w:rsidR="0DBDB85F">
        <w:rPr>
          <w:rFonts w:ascii="Arial" w:hAnsi="Arial" w:eastAsia="Arial" w:cs="Arial"/>
          <w:color w:val="000000" w:themeColor="text1" w:themeTint="FF" w:themeShade="FF"/>
        </w:rPr>
        <w:t>impactando</w:t>
      </w:r>
      <w:r w:rsidRPr="416867E3" w:rsidR="0DBDB85F">
        <w:rPr>
          <w:rFonts w:ascii="Arial" w:hAnsi="Arial" w:eastAsia="Arial" w:cs="Arial"/>
          <w:color w:val="000000" w:themeColor="text1" w:themeTint="FF" w:themeShade="FF"/>
        </w:rPr>
        <w:t xml:space="preserve"> o desenvolvimento motor e a independência das crianças acometidas. A escassez de estudos voltados especificamente para a faixa etária pediátrica destaca a necessidade de mais pesquisas que considerem as particularidades do sistema nervoso em desenvolvimento e contribuam para o aprimoramento do manejo clínico e terapêutico dessas condições.</w:t>
      </w:r>
    </w:p>
    <w:p w:rsidR="2D2ED69C" w:rsidP="416867E3" w:rsidRDefault="2D2ED69C" w14:paraId="49805837" w14:textId="150ECFD4" w14:noSpellErr="1">
      <w:pPr>
        <w:pStyle w:val="Normal1"/>
        <w:spacing w:line="240" w:lineRule="auto"/>
        <w:ind w:left="-1" w:firstLine="720"/>
        <w:jc w:val="both"/>
        <w:rPr>
          <w:rFonts w:ascii="Arial" w:hAnsi="Arial" w:eastAsia="Arial" w:cs="Arial"/>
        </w:rPr>
      </w:pPr>
    </w:p>
    <w:p w:rsidR="00880E69" w:rsidP="416867E3" w:rsidRDefault="1EDFCA0C" w14:paraId="00000064" w14:textId="77777777" w14:noSpellErr="1">
      <w:pPr>
        <w:pBdr>
          <w:top w:val="nil" w:color="000000" w:sz="0" w:space="0"/>
          <w:left w:val="nil" w:color="000000" w:sz="0" w:space="0"/>
          <w:bottom w:val="nil" w:color="000000" w:sz="0" w:space="0"/>
          <w:right w:val="nil" w:color="000000" w:sz="0" w:space="0"/>
          <w:between w:val="nil" w:color="000000" w:sz="0" w:space="0"/>
        </w:pBdr>
        <w:spacing w:line="240" w:lineRule="auto"/>
        <w:ind w:left="-2" w:firstLine="0"/>
        <w:jc w:val="left"/>
        <w:rPr>
          <w:rFonts w:ascii="Arial" w:hAnsi="Arial" w:eastAsia="Arial" w:cs="Arial"/>
          <w:color w:val="000000"/>
        </w:rPr>
      </w:pPr>
      <w:r w:rsidRPr="416867E3" w:rsidR="0E9DCF28">
        <w:rPr>
          <w:rFonts w:ascii="Arial" w:hAnsi="Arial" w:eastAsia="Arial" w:cs="Arial"/>
          <w:b w:val="1"/>
          <w:bCs w:val="1"/>
          <w:color w:val="000000" w:themeColor="text1" w:themeTint="FF" w:themeShade="FF"/>
        </w:rPr>
        <w:t>5 CONCLUSÃO</w:t>
      </w:r>
    </w:p>
    <w:p w:rsidR="00880E69" w:rsidP="416867E3" w:rsidRDefault="00880E69" w14:paraId="7E987DC4" w14:textId="7A8F5EC1" w14:noSpellErr="1">
      <w:pPr>
        <w:pStyle w:val="Normal1"/>
        <w:spacing w:line="240" w:lineRule="auto"/>
        <w:ind w:left="-1" w:firstLine="720"/>
        <w:jc w:val="both"/>
        <w:rPr>
          <w:rFonts w:ascii="Arial" w:hAnsi="Arial" w:eastAsia="Arial" w:cs="Arial"/>
        </w:rPr>
      </w:pPr>
    </w:p>
    <w:p w:rsidR="00880E69" w:rsidP="416867E3" w:rsidRDefault="0976ACD7" w14:paraId="30ABB7E6" w14:textId="2093DA58">
      <w:pPr>
        <w:spacing w:line="240" w:lineRule="auto"/>
        <w:ind w:left="-2" w:firstLine="720"/>
        <w:jc w:val="both"/>
        <w:rPr>
          <w:rFonts w:ascii="Arial" w:hAnsi="Arial" w:eastAsia="Arial" w:cs="Arial"/>
          <w:color w:val="000000" w:themeColor="text1"/>
        </w:rPr>
      </w:pPr>
      <w:r w:rsidRPr="416867E3" w:rsidR="4AB6EE4E">
        <w:rPr>
          <w:rFonts w:ascii="Arial" w:hAnsi="Arial" w:eastAsia="Arial" w:cs="Arial"/>
          <w:color w:val="000000" w:themeColor="text1" w:themeTint="FF" w:themeShade="FF"/>
          <w:lang w:val="pt-BR"/>
        </w:rPr>
        <w:t xml:space="preserve">As doenças </w:t>
      </w:r>
      <w:r w:rsidRPr="416867E3" w:rsidR="4AB6EE4E">
        <w:rPr>
          <w:rFonts w:ascii="Arial" w:hAnsi="Arial" w:eastAsia="Arial" w:cs="Arial"/>
          <w:color w:val="000000" w:themeColor="text1" w:themeTint="FF" w:themeShade="FF"/>
          <w:lang w:val="pt-BR"/>
        </w:rPr>
        <w:t>desmielinizantes</w:t>
      </w:r>
      <w:r w:rsidRPr="416867E3" w:rsidR="4AB6EE4E">
        <w:rPr>
          <w:rFonts w:ascii="Arial" w:hAnsi="Arial" w:eastAsia="Arial" w:cs="Arial"/>
          <w:color w:val="000000" w:themeColor="text1" w:themeTint="FF" w:themeShade="FF"/>
          <w:lang w:val="pt-BR"/>
        </w:rPr>
        <w:t xml:space="preserve"> apresentam efeitos significativos sobre a função neuromuscular pediátrica, interferindo na condução nervosa, na eficiência sináptica e na contração muscular. A destruição da mielina prejudica a transmissão dos impulsos elétricos, resultando em fraqueza, alterações de tônus, perda de coordenação e redução da força voluntária. Tais comprometimentos se tornam ainda mais relevantes na infância, fase em que o sistema nervoso central está em pleno desenvolvimento, tornando as consequências motoras mais intensas e duradouras.</w:t>
      </w:r>
    </w:p>
    <w:p w:rsidR="00880E69" w:rsidP="416867E3" w:rsidRDefault="0976ACD7" w14:paraId="4B3A4F5D" w14:textId="524D6F13" w14:noSpellErr="1">
      <w:pPr>
        <w:spacing w:line="240" w:lineRule="auto"/>
        <w:ind w:left="-2" w:firstLine="720"/>
        <w:jc w:val="both"/>
        <w:rPr>
          <w:rFonts w:ascii="Arial" w:hAnsi="Arial" w:eastAsia="Arial" w:cs="Arial"/>
          <w:color w:val="000000" w:themeColor="text1"/>
        </w:rPr>
      </w:pPr>
      <w:r w:rsidRPr="416867E3" w:rsidR="4AB6EE4E">
        <w:rPr>
          <w:rFonts w:ascii="Arial" w:hAnsi="Arial" w:eastAsia="Arial" w:cs="Arial"/>
          <w:color w:val="000000" w:themeColor="text1" w:themeTint="FF" w:themeShade="FF"/>
          <w:lang w:val="pt-BR"/>
        </w:rPr>
        <w:t>Observou-se que crianças acometidas por essas doenças podem apresentar assimetrias musculares, alterações no perfil das fibras musculares, dificuldade na marcha e necessidade de dispositivos auxiliares para locomoção. Esses déficits impactam diretamente o desenvolvimento motor, a autonomia funcional e a qualidade de vida. Mesmo com tratamento precoce, as sequelas podem persistir, evidenciando a importância de estratégias terapêuticas prolongadas, reabilitação especializada e acompanhamento contínuo.</w:t>
      </w:r>
    </w:p>
    <w:p w:rsidR="00880E69" w:rsidP="416867E3" w:rsidRDefault="0976ACD7" w14:paraId="4D892FA3" w14:textId="5DEF507E">
      <w:pPr>
        <w:spacing w:line="240" w:lineRule="auto"/>
        <w:ind w:left="-2" w:firstLine="720"/>
        <w:jc w:val="both"/>
        <w:rPr>
          <w:rFonts w:ascii="Arial" w:hAnsi="Arial" w:eastAsia="Arial" w:cs="Arial"/>
          <w:color w:val="000000" w:themeColor="text1"/>
        </w:rPr>
      </w:pPr>
      <w:r w:rsidRPr="416867E3" w:rsidR="4AB6EE4E">
        <w:rPr>
          <w:rFonts w:ascii="Arial" w:hAnsi="Arial" w:eastAsia="Arial" w:cs="Arial"/>
          <w:color w:val="000000" w:themeColor="text1" w:themeTint="FF" w:themeShade="FF"/>
          <w:lang w:val="pt-BR"/>
        </w:rPr>
        <w:t xml:space="preserve">Dessa forma, este estudo destaca a necessidade de maior investigação sobre os efeitos das </w:t>
      </w:r>
      <w:r w:rsidRPr="416867E3" w:rsidR="4AB6EE4E">
        <w:rPr>
          <w:rFonts w:ascii="Arial" w:hAnsi="Arial" w:eastAsia="Arial" w:cs="Arial"/>
          <w:color w:val="000000" w:themeColor="text1" w:themeTint="FF" w:themeShade="FF"/>
          <w:lang w:val="pt-BR"/>
        </w:rPr>
        <w:t>DDs</w:t>
      </w:r>
      <w:r w:rsidRPr="416867E3" w:rsidR="4AB6EE4E">
        <w:rPr>
          <w:rFonts w:ascii="Arial" w:hAnsi="Arial" w:eastAsia="Arial" w:cs="Arial"/>
          <w:color w:val="000000" w:themeColor="text1" w:themeTint="FF" w:themeShade="FF"/>
          <w:lang w:val="pt-BR"/>
        </w:rPr>
        <w:t xml:space="preserve"> na população pediátrica, visando ampliar a compreensão dos mecanismos </w:t>
      </w:r>
      <w:r w:rsidRPr="416867E3" w:rsidR="4AB6EE4E">
        <w:rPr>
          <w:rFonts w:ascii="Arial" w:hAnsi="Arial" w:eastAsia="Arial" w:cs="Arial"/>
          <w:color w:val="000000" w:themeColor="text1" w:themeTint="FF" w:themeShade="FF"/>
          <w:lang w:val="pt-BR"/>
        </w:rPr>
        <w:t>fisiopatológicos</w:t>
      </w:r>
      <w:r w:rsidRPr="416867E3" w:rsidR="4AB6EE4E">
        <w:rPr>
          <w:rFonts w:ascii="Arial" w:hAnsi="Arial" w:eastAsia="Arial" w:cs="Arial"/>
          <w:color w:val="000000" w:themeColor="text1" w:themeTint="FF" w:themeShade="FF"/>
          <w:lang w:val="pt-BR"/>
        </w:rPr>
        <w:t xml:space="preserve"> e otimizar o diagnóstico e o manejo clínico, com foco na preservação da função neuromuscular e no suporte ao desenvolvimento global da criança.</w:t>
      </w:r>
    </w:p>
    <w:p w:rsidR="00880E69" w:rsidP="2D2ED69C" w:rsidRDefault="00880E69" w14:paraId="00000067" w14:textId="471CC50D">
      <w:pPr>
        <w:pStyle w:val="Normal1"/>
      </w:pPr>
    </w:p>
    <w:p w:rsidR="00880E69" w:rsidP="00C81ACD" w:rsidRDefault="1EDFCA0C" w14:paraId="00000068" w14:textId="77777777">
      <w:pPr>
        <w:pBdr>
          <w:top w:val="nil"/>
          <w:left w:val="nil"/>
          <w:bottom w:val="nil"/>
          <w:right w:val="nil"/>
          <w:between w:val="nil"/>
        </w:pBdr>
        <w:spacing w:line="240" w:lineRule="auto"/>
        <w:ind w:left="-2" w:leftChars="0" w:firstLine="0" w:firstLineChars="0"/>
        <w:rPr>
          <w:rFonts w:ascii="Arial" w:hAnsi="Arial" w:eastAsia="Arial" w:cs="Arial"/>
          <w:color w:val="000000"/>
        </w:rPr>
      </w:pPr>
      <w:r w:rsidRPr="2D2ED69C">
        <w:rPr>
          <w:rFonts w:ascii="Arial" w:hAnsi="Arial" w:eastAsia="Arial" w:cs="Arial"/>
          <w:b/>
          <w:bCs/>
          <w:color w:val="000000" w:themeColor="text1"/>
        </w:rPr>
        <w:t>REFERÊNCIAS</w:t>
      </w:r>
    </w:p>
    <w:p w:rsidR="2D2ED69C" w:rsidP="2D2ED69C" w:rsidRDefault="2D2ED69C" w14:paraId="549E85B8" w14:textId="09F2FE88">
      <w:pPr>
        <w:pStyle w:val="Normal1"/>
      </w:pPr>
    </w:p>
    <w:p w:rsidR="42C6F2C6" w:rsidP="2D2ED69C" w:rsidRDefault="42C6F2C6" w14:paraId="76D33140" w14:textId="3FDEB7FD">
      <w:pPr>
        <w:spacing w:line="240" w:lineRule="auto"/>
        <w:ind w:left="0" w:hanging="2"/>
        <w:rPr>
          <w:rFonts w:ascii="Arial" w:hAnsi="Arial" w:eastAsia="Arial" w:cs="Arial"/>
          <w:sz w:val="20"/>
          <w:szCs w:val="20"/>
        </w:rPr>
      </w:pPr>
      <w:proofErr w:type="spellStart"/>
      <w:r w:rsidRPr="2D2ED69C">
        <w:rPr>
          <w:rFonts w:ascii="Arial" w:hAnsi="Arial" w:eastAsia="Arial" w:cs="Arial"/>
          <w:sz w:val="20"/>
          <w:szCs w:val="20"/>
        </w:rPr>
        <w:t>BARONCINI</w:t>
      </w:r>
      <w:proofErr w:type="spellEnd"/>
      <w:r w:rsidRPr="2D2ED69C">
        <w:rPr>
          <w:rFonts w:ascii="Arial" w:hAnsi="Arial" w:eastAsia="Arial" w:cs="Arial"/>
          <w:sz w:val="20"/>
          <w:szCs w:val="20"/>
        </w:rPr>
        <w:t xml:space="preserve">, D. </w:t>
      </w:r>
      <w:r w:rsidRPr="2D2ED69C">
        <w:rPr>
          <w:rFonts w:ascii="Arial" w:hAnsi="Arial" w:eastAsia="Arial" w:cs="Arial"/>
          <w:i/>
          <w:iCs/>
          <w:sz w:val="20"/>
          <w:szCs w:val="20"/>
        </w:rPr>
        <w:t>et al.</w:t>
      </w:r>
      <w:r w:rsidRPr="2D2ED69C">
        <w:rPr>
          <w:rFonts w:ascii="Arial" w:hAnsi="Arial" w:eastAsia="Arial" w:cs="Arial"/>
          <w:sz w:val="20"/>
          <w:szCs w:val="20"/>
        </w:rPr>
        <w:t xml:space="preserve"> </w:t>
      </w:r>
      <w:r w:rsidRPr="2D2ED69C">
        <w:rPr>
          <w:rFonts w:ascii="Arial" w:hAnsi="Arial" w:eastAsia="Arial" w:cs="Arial"/>
          <w:b/>
          <w:bCs/>
          <w:sz w:val="20"/>
          <w:szCs w:val="20"/>
        </w:rPr>
        <w:t xml:space="preserve">Risco de incapacidade persistente em pacientes com </w:t>
      </w:r>
      <w:proofErr w:type="spellStart"/>
      <w:r w:rsidRPr="2D2ED69C">
        <w:rPr>
          <w:rFonts w:ascii="Arial" w:hAnsi="Arial" w:eastAsia="Arial" w:cs="Arial"/>
          <w:b/>
          <w:bCs/>
          <w:sz w:val="20"/>
          <w:szCs w:val="20"/>
        </w:rPr>
        <w:t>esclerose</w:t>
      </w:r>
      <w:proofErr w:type="spellEnd"/>
      <w:r w:rsidRPr="2D2ED69C">
        <w:rPr>
          <w:rFonts w:ascii="Arial" w:hAnsi="Arial" w:eastAsia="Arial" w:cs="Arial"/>
          <w:b/>
          <w:bCs/>
          <w:sz w:val="20"/>
          <w:szCs w:val="20"/>
        </w:rPr>
        <w:t xml:space="preserve"> múltipla de início pediátrico</w:t>
      </w:r>
      <w:r w:rsidRPr="2D2ED69C">
        <w:rPr>
          <w:rFonts w:ascii="Arial" w:hAnsi="Arial" w:eastAsia="Arial" w:cs="Arial"/>
          <w:sz w:val="20"/>
          <w:szCs w:val="20"/>
        </w:rPr>
        <w:t xml:space="preserve">. </w:t>
      </w:r>
      <w:r w:rsidRPr="2D2ED69C">
        <w:rPr>
          <w:rFonts w:ascii="Arial" w:hAnsi="Arial" w:eastAsia="Arial" w:cs="Arial"/>
          <w:i/>
          <w:iCs/>
          <w:sz w:val="20"/>
          <w:szCs w:val="20"/>
        </w:rPr>
        <w:t xml:space="preserve">JAMA </w:t>
      </w:r>
      <w:proofErr w:type="spellStart"/>
      <w:r w:rsidRPr="2D2ED69C">
        <w:rPr>
          <w:rFonts w:ascii="Arial" w:hAnsi="Arial" w:eastAsia="Arial" w:cs="Arial"/>
          <w:i/>
          <w:iCs/>
          <w:sz w:val="20"/>
          <w:szCs w:val="20"/>
        </w:rPr>
        <w:t>Neurology</w:t>
      </w:r>
      <w:proofErr w:type="spellEnd"/>
      <w:r w:rsidRPr="2D2ED69C">
        <w:rPr>
          <w:rFonts w:ascii="Arial" w:hAnsi="Arial" w:eastAsia="Arial" w:cs="Arial"/>
          <w:sz w:val="20"/>
          <w:szCs w:val="20"/>
        </w:rPr>
        <w:t xml:space="preserve">, v. 78, n. 6, p. 726–735, 2021. DOI: </w:t>
      </w:r>
      <w:hyperlink r:id="rId15">
        <w:r w:rsidRPr="2D2ED69C">
          <w:rPr>
            <w:rStyle w:val="Hyperlink"/>
            <w:rFonts w:ascii="Arial" w:hAnsi="Arial" w:eastAsia="Arial" w:cs="Arial"/>
            <w:sz w:val="20"/>
            <w:szCs w:val="20"/>
          </w:rPr>
          <w:t>https://doi.org/10.1001/jamaneurol.2021.1008</w:t>
        </w:r>
      </w:hyperlink>
      <w:r w:rsidRPr="2D2ED69C">
        <w:rPr>
          <w:rFonts w:ascii="Arial" w:hAnsi="Arial" w:eastAsia="Arial" w:cs="Arial"/>
          <w:sz w:val="20"/>
          <w:szCs w:val="20"/>
        </w:rPr>
        <w:t xml:space="preserve">. Disponível em: </w:t>
      </w:r>
      <w:hyperlink r:id="rId16">
        <w:r w:rsidRPr="2D2ED69C">
          <w:rPr>
            <w:rStyle w:val="Hyperlink"/>
            <w:rFonts w:ascii="Arial" w:hAnsi="Arial" w:eastAsia="Arial" w:cs="Arial"/>
            <w:sz w:val="20"/>
            <w:szCs w:val="20"/>
          </w:rPr>
          <w:t>https://jamanetwork.com/journals/jamaneurology/fullarticle/2779593</w:t>
        </w:r>
      </w:hyperlink>
      <w:r w:rsidRPr="2D2ED69C">
        <w:rPr>
          <w:rFonts w:ascii="Arial" w:hAnsi="Arial" w:eastAsia="Arial" w:cs="Arial"/>
          <w:sz w:val="20"/>
          <w:szCs w:val="20"/>
        </w:rPr>
        <w:t>. Acesso em: 15 abr. 2025.</w:t>
      </w:r>
    </w:p>
    <w:p w:rsidR="42C6F2C6" w:rsidP="2D2ED69C" w:rsidRDefault="42C6F2C6" w14:paraId="60386FD4" w14:textId="663E6543">
      <w:pPr>
        <w:spacing w:line="240" w:lineRule="auto"/>
        <w:ind w:left="0" w:hanging="2"/>
        <w:rPr>
          <w:rFonts w:ascii="Arial" w:hAnsi="Arial" w:eastAsia="Arial" w:cs="Arial"/>
          <w:sz w:val="20"/>
          <w:szCs w:val="20"/>
        </w:rPr>
      </w:pPr>
      <w:proofErr w:type="spellStart"/>
      <w:r w:rsidRPr="2D2ED69C">
        <w:rPr>
          <w:rFonts w:ascii="Arial" w:hAnsi="Arial" w:eastAsia="Arial" w:cs="Arial"/>
          <w:sz w:val="20"/>
          <w:szCs w:val="20"/>
        </w:rPr>
        <w:t>GILMORE</w:t>
      </w:r>
      <w:proofErr w:type="spellEnd"/>
      <w:r w:rsidRPr="2D2ED69C">
        <w:rPr>
          <w:rFonts w:ascii="Arial" w:hAnsi="Arial" w:eastAsia="Arial" w:cs="Arial"/>
          <w:sz w:val="20"/>
          <w:szCs w:val="20"/>
        </w:rPr>
        <w:t xml:space="preserve">, K. J. </w:t>
      </w:r>
      <w:r w:rsidRPr="2D2ED69C">
        <w:rPr>
          <w:rFonts w:ascii="Arial" w:hAnsi="Arial" w:eastAsia="Arial" w:cs="Arial"/>
          <w:i/>
          <w:iCs/>
          <w:sz w:val="20"/>
          <w:szCs w:val="20"/>
        </w:rPr>
        <w:t>et al.</w:t>
      </w:r>
      <w:r w:rsidRPr="2D2ED69C">
        <w:rPr>
          <w:rFonts w:ascii="Arial" w:hAnsi="Arial" w:eastAsia="Arial" w:cs="Arial"/>
          <w:sz w:val="20"/>
          <w:szCs w:val="20"/>
        </w:rPr>
        <w:t xml:space="preserve"> </w:t>
      </w:r>
      <w:r w:rsidRPr="2D2ED69C">
        <w:rPr>
          <w:rFonts w:ascii="Arial" w:hAnsi="Arial" w:eastAsia="Arial" w:cs="Arial"/>
          <w:b/>
          <w:bCs/>
          <w:sz w:val="20"/>
          <w:szCs w:val="20"/>
        </w:rPr>
        <w:t xml:space="preserve">Estabilidade </w:t>
      </w:r>
      <w:proofErr w:type="spellStart"/>
      <w:r w:rsidRPr="2D2ED69C">
        <w:rPr>
          <w:rFonts w:ascii="Arial" w:hAnsi="Arial" w:eastAsia="Arial" w:cs="Arial"/>
          <w:b/>
          <w:bCs/>
          <w:sz w:val="20"/>
          <w:szCs w:val="20"/>
        </w:rPr>
        <w:t>eletrofisiológica</w:t>
      </w:r>
      <w:proofErr w:type="spellEnd"/>
      <w:r w:rsidRPr="2D2ED69C">
        <w:rPr>
          <w:rFonts w:ascii="Arial" w:hAnsi="Arial" w:eastAsia="Arial" w:cs="Arial"/>
          <w:b/>
          <w:bCs/>
          <w:sz w:val="20"/>
          <w:szCs w:val="20"/>
        </w:rPr>
        <w:t xml:space="preserve"> e </w:t>
      </w:r>
      <w:proofErr w:type="spellStart"/>
      <w:r w:rsidRPr="2D2ED69C">
        <w:rPr>
          <w:rFonts w:ascii="Arial" w:hAnsi="Arial" w:eastAsia="Arial" w:cs="Arial"/>
          <w:b/>
          <w:bCs/>
          <w:sz w:val="20"/>
          <w:szCs w:val="20"/>
        </w:rPr>
        <w:t>neuromuscular</w:t>
      </w:r>
      <w:proofErr w:type="spellEnd"/>
      <w:r w:rsidRPr="2D2ED69C">
        <w:rPr>
          <w:rFonts w:ascii="Arial" w:hAnsi="Arial" w:eastAsia="Arial" w:cs="Arial"/>
          <w:b/>
          <w:bCs/>
          <w:sz w:val="20"/>
          <w:szCs w:val="20"/>
        </w:rPr>
        <w:t xml:space="preserve"> de pessoas com </w:t>
      </w:r>
      <w:proofErr w:type="spellStart"/>
      <w:r w:rsidRPr="2D2ED69C">
        <w:rPr>
          <w:rFonts w:ascii="Arial" w:hAnsi="Arial" w:eastAsia="Arial" w:cs="Arial"/>
          <w:b/>
          <w:bCs/>
          <w:sz w:val="20"/>
          <w:szCs w:val="20"/>
        </w:rPr>
        <w:t>polineuropatia</w:t>
      </w:r>
      <w:proofErr w:type="spellEnd"/>
      <w:r w:rsidRPr="2D2ED69C">
        <w:rPr>
          <w:rFonts w:ascii="Arial" w:hAnsi="Arial" w:eastAsia="Arial" w:cs="Arial"/>
          <w:b/>
          <w:bCs/>
          <w:sz w:val="20"/>
          <w:szCs w:val="20"/>
        </w:rPr>
        <w:t xml:space="preserve"> </w:t>
      </w:r>
      <w:proofErr w:type="spellStart"/>
      <w:r w:rsidRPr="2D2ED69C">
        <w:rPr>
          <w:rFonts w:ascii="Arial" w:hAnsi="Arial" w:eastAsia="Arial" w:cs="Arial"/>
          <w:b/>
          <w:bCs/>
          <w:sz w:val="20"/>
          <w:szCs w:val="20"/>
        </w:rPr>
        <w:t>desmielinizante</w:t>
      </w:r>
      <w:proofErr w:type="spellEnd"/>
      <w:r w:rsidRPr="2D2ED69C">
        <w:rPr>
          <w:rFonts w:ascii="Arial" w:hAnsi="Arial" w:eastAsia="Arial" w:cs="Arial"/>
          <w:b/>
          <w:bCs/>
          <w:sz w:val="20"/>
          <w:szCs w:val="20"/>
        </w:rPr>
        <w:t xml:space="preserve"> inflamatória </w:t>
      </w:r>
      <w:proofErr w:type="spellStart"/>
      <w:r w:rsidRPr="2D2ED69C">
        <w:rPr>
          <w:rFonts w:ascii="Arial" w:hAnsi="Arial" w:eastAsia="Arial" w:cs="Arial"/>
          <w:b/>
          <w:bCs/>
          <w:sz w:val="20"/>
          <w:szCs w:val="20"/>
        </w:rPr>
        <w:t>crônica</w:t>
      </w:r>
      <w:proofErr w:type="spellEnd"/>
      <w:r w:rsidRPr="2D2ED69C">
        <w:rPr>
          <w:rFonts w:ascii="Arial" w:hAnsi="Arial" w:eastAsia="Arial" w:cs="Arial"/>
          <w:sz w:val="20"/>
          <w:szCs w:val="20"/>
        </w:rPr>
        <w:t xml:space="preserve">. </w:t>
      </w:r>
      <w:proofErr w:type="spellStart"/>
      <w:r w:rsidRPr="2D2ED69C">
        <w:rPr>
          <w:rFonts w:ascii="Arial" w:hAnsi="Arial" w:eastAsia="Arial" w:cs="Arial"/>
          <w:i/>
          <w:iCs/>
          <w:sz w:val="20"/>
          <w:szCs w:val="20"/>
        </w:rPr>
        <w:t>Muscle</w:t>
      </w:r>
      <w:proofErr w:type="spellEnd"/>
      <w:r w:rsidRPr="2D2ED69C">
        <w:rPr>
          <w:rFonts w:ascii="Arial" w:hAnsi="Arial" w:eastAsia="Arial" w:cs="Arial"/>
          <w:i/>
          <w:iCs/>
          <w:sz w:val="20"/>
          <w:szCs w:val="20"/>
        </w:rPr>
        <w:t xml:space="preserve"> &amp; </w:t>
      </w:r>
      <w:proofErr w:type="spellStart"/>
      <w:r w:rsidRPr="2D2ED69C">
        <w:rPr>
          <w:rFonts w:ascii="Arial" w:hAnsi="Arial" w:eastAsia="Arial" w:cs="Arial"/>
          <w:i/>
          <w:iCs/>
          <w:sz w:val="20"/>
          <w:szCs w:val="20"/>
        </w:rPr>
        <w:t>Nerve</w:t>
      </w:r>
      <w:proofErr w:type="spellEnd"/>
      <w:r w:rsidRPr="2D2ED69C">
        <w:rPr>
          <w:rFonts w:ascii="Arial" w:hAnsi="Arial" w:eastAsia="Arial" w:cs="Arial"/>
          <w:sz w:val="20"/>
          <w:szCs w:val="20"/>
        </w:rPr>
        <w:t xml:space="preserve">, v. 56, n. 3, p. 413-420, 2017. DOI: </w:t>
      </w:r>
      <w:hyperlink r:id="rId17">
        <w:r w:rsidRPr="2D2ED69C">
          <w:rPr>
            <w:rStyle w:val="Hyperlink"/>
            <w:rFonts w:ascii="Arial" w:hAnsi="Arial" w:eastAsia="Arial" w:cs="Arial"/>
            <w:sz w:val="20"/>
            <w:szCs w:val="20"/>
          </w:rPr>
          <w:t>https://doi.org/10.1002/mus.25516</w:t>
        </w:r>
      </w:hyperlink>
      <w:r w:rsidRPr="2D2ED69C">
        <w:rPr>
          <w:rFonts w:ascii="Arial" w:hAnsi="Arial" w:eastAsia="Arial" w:cs="Arial"/>
          <w:sz w:val="20"/>
          <w:szCs w:val="20"/>
        </w:rPr>
        <w:t xml:space="preserve">. Disponível em: </w:t>
      </w:r>
      <w:hyperlink r:id="rId18">
        <w:r w:rsidRPr="2D2ED69C">
          <w:rPr>
            <w:rStyle w:val="Hyperlink"/>
            <w:rFonts w:ascii="Arial" w:hAnsi="Arial" w:eastAsia="Arial" w:cs="Arial"/>
            <w:sz w:val="20"/>
            <w:szCs w:val="20"/>
          </w:rPr>
          <w:t>https://pubmed.ncbi.nlm.nih.gov/27997686/</w:t>
        </w:r>
      </w:hyperlink>
      <w:r w:rsidRPr="2D2ED69C">
        <w:rPr>
          <w:rFonts w:ascii="Arial" w:hAnsi="Arial" w:eastAsia="Arial" w:cs="Arial"/>
          <w:sz w:val="20"/>
          <w:szCs w:val="20"/>
        </w:rPr>
        <w:t>. Acesso em: 15 abr. 2025.</w:t>
      </w:r>
    </w:p>
    <w:p w:rsidR="42C6F2C6" w:rsidP="2D2ED69C" w:rsidRDefault="42C6F2C6" w14:paraId="5377BAA2" w14:textId="60EA487B">
      <w:pPr>
        <w:spacing w:line="240" w:lineRule="auto"/>
        <w:ind w:left="0" w:hanging="2"/>
        <w:rPr>
          <w:rFonts w:ascii="Arial" w:hAnsi="Arial" w:eastAsia="Arial" w:cs="Arial"/>
          <w:sz w:val="20"/>
          <w:szCs w:val="20"/>
        </w:rPr>
      </w:pPr>
      <w:proofErr w:type="spellStart"/>
      <w:r w:rsidRPr="2D2ED69C">
        <w:rPr>
          <w:rFonts w:ascii="Arial" w:hAnsi="Arial" w:eastAsia="Arial" w:cs="Arial"/>
          <w:sz w:val="20"/>
          <w:szCs w:val="20"/>
        </w:rPr>
        <w:t>GILMORE</w:t>
      </w:r>
      <w:proofErr w:type="spellEnd"/>
      <w:r w:rsidRPr="2D2ED69C">
        <w:rPr>
          <w:rFonts w:ascii="Arial" w:hAnsi="Arial" w:eastAsia="Arial" w:cs="Arial"/>
          <w:sz w:val="20"/>
          <w:szCs w:val="20"/>
        </w:rPr>
        <w:t xml:space="preserve">, K. J. </w:t>
      </w:r>
      <w:r w:rsidRPr="2D2ED69C">
        <w:rPr>
          <w:rFonts w:ascii="Arial" w:hAnsi="Arial" w:eastAsia="Arial" w:cs="Arial"/>
          <w:i/>
          <w:iCs/>
          <w:sz w:val="20"/>
          <w:szCs w:val="20"/>
        </w:rPr>
        <w:t>et al.</w:t>
      </w:r>
      <w:r w:rsidRPr="2D2ED69C">
        <w:rPr>
          <w:rFonts w:ascii="Arial" w:hAnsi="Arial" w:eastAsia="Arial" w:cs="Arial"/>
          <w:sz w:val="20"/>
          <w:szCs w:val="20"/>
        </w:rPr>
        <w:t xml:space="preserve"> </w:t>
      </w:r>
      <w:proofErr w:type="spellStart"/>
      <w:r w:rsidRPr="2D2ED69C">
        <w:rPr>
          <w:rFonts w:ascii="Arial" w:hAnsi="Arial" w:eastAsia="Arial" w:cs="Arial"/>
          <w:b/>
          <w:bCs/>
          <w:sz w:val="20"/>
          <w:szCs w:val="20"/>
        </w:rPr>
        <w:t>Reductions</w:t>
      </w:r>
      <w:proofErr w:type="spellEnd"/>
      <w:r w:rsidRPr="2D2ED69C">
        <w:rPr>
          <w:rFonts w:ascii="Arial" w:hAnsi="Arial" w:eastAsia="Arial" w:cs="Arial"/>
          <w:b/>
          <w:bCs/>
          <w:sz w:val="20"/>
          <w:szCs w:val="20"/>
        </w:rPr>
        <w:t xml:space="preserve"> in </w:t>
      </w:r>
      <w:proofErr w:type="spellStart"/>
      <w:r w:rsidRPr="2D2ED69C">
        <w:rPr>
          <w:rFonts w:ascii="Arial" w:hAnsi="Arial" w:eastAsia="Arial" w:cs="Arial"/>
          <w:b/>
          <w:bCs/>
          <w:sz w:val="20"/>
          <w:szCs w:val="20"/>
        </w:rPr>
        <w:t>muscle</w:t>
      </w:r>
      <w:proofErr w:type="spellEnd"/>
      <w:r w:rsidRPr="2D2ED69C">
        <w:rPr>
          <w:rFonts w:ascii="Arial" w:hAnsi="Arial" w:eastAsia="Arial" w:cs="Arial"/>
          <w:b/>
          <w:bCs/>
          <w:sz w:val="20"/>
          <w:szCs w:val="20"/>
        </w:rPr>
        <w:t xml:space="preserve"> </w:t>
      </w:r>
      <w:proofErr w:type="spellStart"/>
      <w:r w:rsidRPr="2D2ED69C">
        <w:rPr>
          <w:rFonts w:ascii="Arial" w:hAnsi="Arial" w:eastAsia="Arial" w:cs="Arial"/>
          <w:b/>
          <w:bCs/>
          <w:sz w:val="20"/>
          <w:szCs w:val="20"/>
        </w:rPr>
        <w:t>quality</w:t>
      </w:r>
      <w:proofErr w:type="spellEnd"/>
      <w:r w:rsidRPr="2D2ED69C">
        <w:rPr>
          <w:rFonts w:ascii="Arial" w:hAnsi="Arial" w:eastAsia="Arial" w:cs="Arial"/>
          <w:b/>
          <w:bCs/>
          <w:sz w:val="20"/>
          <w:szCs w:val="20"/>
        </w:rPr>
        <w:t xml:space="preserve"> and </w:t>
      </w:r>
      <w:proofErr w:type="spellStart"/>
      <w:r w:rsidRPr="2D2ED69C">
        <w:rPr>
          <w:rFonts w:ascii="Arial" w:hAnsi="Arial" w:eastAsia="Arial" w:cs="Arial"/>
          <w:b/>
          <w:bCs/>
          <w:sz w:val="20"/>
          <w:szCs w:val="20"/>
        </w:rPr>
        <w:t>quantity</w:t>
      </w:r>
      <w:proofErr w:type="spellEnd"/>
      <w:r w:rsidRPr="2D2ED69C">
        <w:rPr>
          <w:rFonts w:ascii="Arial" w:hAnsi="Arial" w:eastAsia="Arial" w:cs="Arial"/>
          <w:b/>
          <w:bCs/>
          <w:sz w:val="20"/>
          <w:szCs w:val="20"/>
        </w:rPr>
        <w:t xml:space="preserve"> in CIDP </w:t>
      </w:r>
      <w:proofErr w:type="spellStart"/>
      <w:r w:rsidRPr="2D2ED69C">
        <w:rPr>
          <w:rFonts w:ascii="Arial" w:hAnsi="Arial" w:eastAsia="Arial" w:cs="Arial"/>
          <w:b/>
          <w:bCs/>
          <w:sz w:val="20"/>
          <w:szCs w:val="20"/>
        </w:rPr>
        <w:t>patients</w:t>
      </w:r>
      <w:proofErr w:type="spellEnd"/>
      <w:r w:rsidRPr="2D2ED69C">
        <w:rPr>
          <w:rFonts w:ascii="Arial" w:hAnsi="Arial" w:eastAsia="Arial" w:cs="Arial"/>
          <w:b/>
          <w:bCs/>
          <w:sz w:val="20"/>
          <w:szCs w:val="20"/>
        </w:rPr>
        <w:t xml:space="preserve"> </w:t>
      </w:r>
      <w:proofErr w:type="spellStart"/>
      <w:r w:rsidRPr="2D2ED69C">
        <w:rPr>
          <w:rFonts w:ascii="Arial" w:hAnsi="Arial" w:eastAsia="Arial" w:cs="Arial"/>
          <w:b/>
          <w:bCs/>
          <w:sz w:val="20"/>
          <w:szCs w:val="20"/>
        </w:rPr>
        <w:t>assessed</w:t>
      </w:r>
      <w:proofErr w:type="spellEnd"/>
      <w:r w:rsidRPr="2D2ED69C">
        <w:rPr>
          <w:rFonts w:ascii="Arial" w:hAnsi="Arial" w:eastAsia="Arial" w:cs="Arial"/>
          <w:b/>
          <w:bCs/>
          <w:sz w:val="20"/>
          <w:szCs w:val="20"/>
        </w:rPr>
        <w:t xml:space="preserve"> by </w:t>
      </w:r>
      <w:proofErr w:type="spellStart"/>
      <w:r w:rsidRPr="2D2ED69C">
        <w:rPr>
          <w:rFonts w:ascii="Arial" w:hAnsi="Arial" w:eastAsia="Arial" w:cs="Arial"/>
          <w:b/>
          <w:bCs/>
          <w:sz w:val="20"/>
          <w:szCs w:val="20"/>
        </w:rPr>
        <w:t>magnetic</w:t>
      </w:r>
      <w:proofErr w:type="spellEnd"/>
      <w:r w:rsidRPr="2D2ED69C">
        <w:rPr>
          <w:rFonts w:ascii="Arial" w:hAnsi="Arial" w:eastAsia="Arial" w:cs="Arial"/>
          <w:b/>
          <w:bCs/>
          <w:sz w:val="20"/>
          <w:szCs w:val="20"/>
        </w:rPr>
        <w:t xml:space="preserve"> </w:t>
      </w:r>
      <w:proofErr w:type="spellStart"/>
      <w:r w:rsidRPr="2D2ED69C">
        <w:rPr>
          <w:rFonts w:ascii="Arial" w:hAnsi="Arial" w:eastAsia="Arial" w:cs="Arial"/>
          <w:b/>
          <w:bCs/>
          <w:sz w:val="20"/>
          <w:szCs w:val="20"/>
        </w:rPr>
        <w:t>resonance</w:t>
      </w:r>
      <w:proofErr w:type="spellEnd"/>
      <w:r w:rsidRPr="2D2ED69C">
        <w:rPr>
          <w:rFonts w:ascii="Arial" w:hAnsi="Arial" w:eastAsia="Arial" w:cs="Arial"/>
          <w:b/>
          <w:bCs/>
          <w:sz w:val="20"/>
          <w:szCs w:val="20"/>
        </w:rPr>
        <w:t xml:space="preserve"> </w:t>
      </w:r>
      <w:proofErr w:type="spellStart"/>
      <w:r w:rsidRPr="2D2ED69C">
        <w:rPr>
          <w:rFonts w:ascii="Arial" w:hAnsi="Arial" w:eastAsia="Arial" w:cs="Arial"/>
          <w:b/>
          <w:bCs/>
          <w:sz w:val="20"/>
          <w:szCs w:val="20"/>
        </w:rPr>
        <w:t>imaging</w:t>
      </w:r>
      <w:proofErr w:type="spellEnd"/>
      <w:r w:rsidRPr="2D2ED69C">
        <w:rPr>
          <w:rFonts w:ascii="Arial" w:hAnsi="Arial" w:eastAsia="Arial" w:cs="Arial"/>
          <w:sz w:val="20"/>
          <w:szCs w:val="20"/>
        </w:rPr>
        <w:t xml:space="preserve">. </w:t>
      </w:r>
      <w:proofErr w:type="spellStart"/>
      <w:r w:rsidRPr="2D2ED69C">
        <w:rPr>
          <w:rFonts w:ascii="Arial" w:hAnsi="Arial" w:eastAsia="Arial" w:cs="Arial"/>
          <w:i/>
          <w:iCs/>
          <w:sz w:val="20"/>
          <w:szCs w:val="20"/>
        </w:rPr>
        <w:t>Muscle</w:t>
      </w:r>
      <w:proofErr w:type="spellEnd"/>
      <w:r w:rsidRPr="2D2ED69C">
        <w:rPr>
          <w:rFonts w:ascii="Arial" w:hAnsi="Arial" w:eastAsia="Arial" w:cs="Arial"/>
          <w:i/>
          <w:iCs/>
          <w:sz w:val="20"/>
          <w:szCs w:val="20"/>
        </w:rPr>
        <w:t xml:space="preserve"> &amp; </w:t>
      </w:r>
      <w:proofErr w:type="spellStart"/>
      <w:r w:rsidRPr="2D2ED69C">
        <w:rPr>
          <w:rFonts w:ascii="Arial" w:hAnsi="Arial" w:eastAsia="Arial" w:cs="Arial"/>
          <w:i/>
          <w:iCs/>
          <w:sz w:val="20"/>
          <w:szCs w:val="20"/>
        </w:rPr>
        <w:t>Nerve</w:t>
      </w:r>
      <w:proofErr w:type="spellEnd"/>
      <w:r w:rsidRPr="2D2ED69C">
        <w:rPr>
          <w:rFonts w:ascii="Arial" w:hAnsi="Arial" w:eastAsia="Arial" w:cs="Arial"/>
          <w:sz w:val="20"/>
          <w:szCs w:val="20"/>
        </w:rPr>
        <w:t xml:space="preserve">, v. 58, n. 6, p. 990-996, 2018. DOI: </w:t>
      </w:r>
      <w:hyperlink r:id="rId19">
        <w:r w:rsidRPr="2D2ED69C">
          <w:rPr>
            <w:rStyle w:val="Hyperlink"/>
            <w:rFonts w:ascii="Arial" w:hAnsi="Arial" w:eastAsia="Arial" w:cs="Arial"/>
            <w:sz w:val="20"/>
            <w:szCs w:val="20"/>
          </w:rPr>
          <w:t>https://doi.org/10.1002/mus.26159</w:t>
        </w:r>
      </w:hyperlink>
      <w:r w:rsidRPr="2D2ED69C">
        <w:rPr>
          <w:rFonts w:ascii="Arial" w:hAnsi="Arial" w:eastAsia="Arial" w:cs="Arial"/>
          <w:sz w:val="20"/>
          <w:szCs w:val="20"/>
        </w:rPr>
        <w:t xml:space="preserve">. Disponível em: </w:t>
      </w:r>
      <w:hyperlink r:id="rId20">
        <w:r w:rsidRPr="2D2ED69C">
          <w:rPr>
            <w:rStyle w:val="Hyperlink"/>
            <w:rFonts w:ascii="Arial" w:hAnsi="Arial" w:eastAsia="Arial" w:cs="Arial"/>
            <w:sz w:val="20"/>
            <w:szCs w:val="20"/>
          </w:rPr>
          <w:t>https://onlinelibrary.wiley.com/doi/epdf/10.1002/mus.26159</w:t>
        </w:r>
      </w:hyperlink>
      <w:r w:rsidRPr="2D2ED69C">
        <w:rPr>
          <w:rFonts w:ascii="Arial" w:hAnsi="Arial" w:eastAsia="Arial" w:cs="Arial"/>
          <w:sz w:val="20"/>
          <w:szCs w:val="20"/>
        </w:rPr>
        <w:t>. Acesso em: 1 abr. 2025.</w:t>
      </w:r>
    </w:p>
    <w:p w:rsidR="42C6F2C6" w:rsidP="2D2ED69C" w:rsidRDefault="42C6F2C6" w14:paraId="0AE58A87" w14:textId="51E462ED">
      <w:pPr>
        <w:spacing w:line="240" w:lineRule="auto"/>
        <w:ind w:left="0" w:hanging="2"/>
        <w:rPr>
          <w:rFonts w:ascii="Arial" w:hAnsi="Arial" w:eastAsia="Arial" w:cs="Arial"/>
          <w:sz w:val="20"/>
          <w:szCs w:val="20"/>
        </w:rPr>
      </w:pPr>
      <w:r w:rsidRPr="2D2ED69C">
        <w:rPr>
          <w:rFonts w:ascii="Arial" w:hAnsi="Arial" w:eastAsia="Arial" w:cs="Arial"/>
          <w:sz w:val="20"/>
          <w:szCs w:val="20"/>
        </w:rPr>
        <w:t xml:space="preserve">HAMADA, M. S.; </w:t>
      </w:r>
      <w:proofErr w:type="spellStart"/>
      <w:r w:rsidRPr="2D2ED69C">
        <w:rPr>
          <w:rFonts w:ascii="Arial" w:hAnsi="Arial" w:eastAsia="Arial" w:cs="Arial"/>
          <w:sz w:val="20"/>
          <w:szCs w:val="20"/>
        </w:rPr>
        <w:t>POPOVIC</w:t>
      </w:r>
      <w:proofErr w:type="spellEnd"/>
      <w:r w:rsidRPr="2D2ED69C">
        <w:rPr>
          <w:rFonts w:ascii="Arial" w:hAnsi="Arial" w:eastAsia="Arial" w:cs="Arial"/>
          <w:sz w:val="20"/>
          <w:szCs w:val="20"/>
        </w:rPr>
        <w:t xml:space="preserve">, M. A.; KOLE, M. H. </w:t>
      </w:r>
      <w:r w:rsidRPr="2D2ED69C">
        <w:rPr>
          <w:rFonts w:ascii="Arial" w:hAnsi="Arial" w:eastAsia="Arial" w:cs="Arial"/>
          <w:b/>
          <w:bCs/>
          <w:sz w:val="20"/>
          <w:szCs w:val="20"/>
        </w:rPr>
        <w:t xml:space="preserve">Perda de </w:t>
      </w:r>
      <w:proofErr w:type="spellStart"/>
      <w:r w:rsidRPr="2D2ED69C">
        <w:rPr>
          <w:rFonts w:ascii="Arial" w:hAnsi="Arial" w:eastAsia="Arial" w:cs="Arial"/>
          <w:b/>
          <w:bCs/>
          <w:sz w:val="20"/>
          <w:szCs w:val="20"/>
        </w:rPr>
        <w:t>saltação</w:t>
      </w:r>
      <w:proofErr w:type="spellEnd"/>
      <w:r w:rsidRPr="2D2ED69C">
        <w:rPr>
          <w:rFonts w:ascii="Arial" w:hAnsi="Arial" w:eastAsia="Arial" w:cs="Arial"/>
          <w:b/>
          <w:bCs/>
          <w:sz w:val="20"/>
          <w:szCs w:val="20"/>
        </w:rPr>
        <w:t xml:space="preserve"> e falha do potencial de ação </w:t>
      </w:r>
      <w:proofErr w:type="spellStart"/>
      <w:r w:rsidRPr="2D2ED69C">
        <w:rPr>
          <w:rFonts w:ascii="Arial" w:hAnsi="Arial" w:eastAsia="Arial" w:cs="Arial"/>
          <w:b/>
          <w:bCs/>
          <w:sz w:val="20"/>
          <w:szCs w:val="20"/>
        </w:rPr>
        <w:t>pré-sináptico</w:t>
      </w:r>
      <w:proofErr w:type="spellEnd"/>
      <w:r w:rsidRPr="2D2ED69C">
        <w:rPr>
          <w:rFonts w:ascii="Arial" w:hAnsi="Arial" w:eastAsia="Arial" w:cs="Arial"/>
          <w:b/>
          <w:bCs/>
          <w:sz w:val="20"/>
          <w:szCs w:val="20"/>
        </w:rPr>
        <w:t xml:space="preserve"> em </w:t>
      </w:r>
      <w:proofErr w:type="spellStart"/>
      <w:r w:rsidRPr="2D2ED69C">
        <w:rPr>
          <w:rFonts w:ascii="Arial" w:hAnsi="Arial" w:eastAsia="Arial" w:cs="Arial"/>
          <w:b/>
          <w:bCs/>
          <w:sz w:val="20"/>
          <w:szCs w:val="20"/>
        </w:rPr>
        <w:t>axônios</w:t>
      </w:r>
      <w:proofErr w:type="spellEnd"/>
      <w:r w:rsidRPr="2D2ED69C">
        <w:rPr>
          <w:rFonts w:ascii="Arial" w:hAnsi="Arial" w:eastAsia="Arial" w:cs="Arial"/>
          <w:b/>
          <w:bCs/>
          <w:sz w:val="20"/>
          <w:szCs w:val="20"/>
        </w:rPr>
        <w:t xml:space="preserve"> </w:t>
      </w:r>
      <w:proofErr w:type="spellStart"/>
      <w:r w:rsidRPr="2D2ED69C">
        <w:rPr>
          <w:rFonts w:ascii="Arial" w:hAnsi="Arial" w:eastAsia="Arial" w:cs="Arial"/>
          <w:b/>
          <w:bCs/>
          <w:sz w:val="20"/>
          <w:szCs w:val="20"/>
        </w:rPr>
        <w:t>desmielinizados</w:t>
      </w:r>
      <w:proofErr w:type="spellEnd"/>
      <w:r w:rsidRPr="2D2ED69C">
        <w:rPr>
          <w:rFonts w:ascii="Arial" w:hAnsi="Arial" w:eastAsia="Arial" w:cs="Arial"/>
          <w:sz w:val="20"/>
          <w:szCs w:val="20"/>
        </w:rPr>
        <w:t xml:space="preserve">. </w:t>
      </w:r>
      <w:proofErr w:type="spellStart"/>
      <w:r w:rsidRPr="2D2ED69C">
        <w:rPr>
          <w:rFonts w:ascii="Arial" w:hAnsi="Arial" w:eastAsia="Arial" w:cs="Arial"/>
          <w:i/>
          <w:iCs/>
          <w:sz w:val="20"/>
          <w:szCs w:val="20"/>
        </w:rPr>
        <w:t>Frontiers</w:t>
      </w:r>
      <w:proofErr w:type="spellEnd"/>
      <w:r w:rsidRPr="2D2ED69C">
        <w:rPr>
          <w:rFonts w:ascii="Arial" w:hAnsi="Arial" w:eastAsia="Arial" w:cs="Arial"/>
          <w:i/>
          <w:iCs/>
          <w:sz w:val="20"/>
          <w:szCs w:val="20"/>
        </w:rPr>
        <w:t xml:space="preserve"> in Cellular </w:t>
      </w:r>
      <w:proofErr w:type="spellStart"/>
      <w:r w:rsidRPr="2D2ED69C">
        <w:rPr>
          <w:rFonts w:ascii="Arial" w:hAnsi="Arial" w:eastAsia="Arial" w:cs="Arial"/>
          <w:i/>
          <w:iCs/>
          <w:sz w:val="20"/>
          <w:szCs w:val="20"/>
        </w:rPr>
        <w:t>Neuroscience</w:t>
      </w:r>
      <w:proofErr w:type="spellEnd"/>
      <w:r w:rsidRPr="2D2ED69C">
        <w:rPr>
          <w:rFonts w:ascii="Arial" w:hAnsi="Arial" w:eastAsia="Arial" w:cs="Arial"/>
          <w:sz w:val="20"/>
          <w:szCs w:val="20"/>
        </w:rPr>
        <w:t xml:space="preserve">, v. 11, p. 45, 2017. DOI: </w:t>
      </w:r>
      <w:hyperlink r:id="rId21">
        <w:r w:rsidRPr="2D2ED69C">
          <w:rPr>
            <w:rStyle w:val="Hyperlink"/>
            <w:rFonts w:ascii="Arial" w:hAnsi="Arial" w:eastAsia="Arial" w:cs="Arial"/>
            <w:sz w:val="20"/>
            <w:szCs w:val="20"/>
          </w:rPr>
          <w:t>https://doi.org/10.3389/fncel.2017.00045</w:t>
        </w:r>
      </w:hyperlink>
      <w:r w:rsidRPr="2D2ED69C">
        <w:rPr>
          <w:rFonts w:ascii="Arial" w:hAnsi="Arial" w:eastAsia="Arial" w:cs="Arial"/>
          <w:sz w:val="20"/>
          <w:szCs w:val="20"/>
        </w:rPr>
        <w:t xml:space="preserve">. Disponível em: </w:t>
      </w:r>
      <w:hyperlink r:id="rId22">
        <w:r w:rsidRPr="2D2ED69C">
          <w:rPr>
            <w:rStyle w:val="Hyperlink"/>
            <w:rFonts w:ascii="Arial" w:hAnsi="Arial" w:eastAsia="Arial" w:cs="Arial"/>
            <w:sz w:val="20"/>
            <w:szCs w:val="20"/>
          </w:rPr>
          <w:t>https://pubmed.ncbi.nlm.nih.gov/28289377/</w:t>
        </w:r>
      </w:hyperlink>
      <w:r w:rsidRPr="2D2ED69C">
        <w:rPr>
          <w:rFonts w:ascii="Arial" w:hAnsi="Arial" w:eastAsia="Arial" w:cs="Arial"/>
          <w:sz w:val="20"/>
          <w:szCs w:val="20"/>
        </w:rPr>
        <w:t>. Acesso em: 15 abr. 2025.</w:t>
      </w:r>
    </w:p>
    <w:p w:rsidR="42C6F2C6" w:rsidP="2D2ED69C" w:rsidRDefault="42C6F2C6" w14:paraId="62C7A8C7" w14:textId="0533A36A">
      <w:pPr>
        <w:spacing w:line="240" w:lineRule="auto"/>
        <w:ind w:left="0" w:hanging="2"/>
        <w:rPr>
          <w:rFonts w:ascii="Arial" w:hAnsi="Arial" w:eastAsia="Arial" w:cs="Arial"/>
          <w:sz w:val="20"/>
          <w:szCs w:val="20"/>
        </w:rPr>
      </w:pPr>
      <w:r w:rsidRPr="2D2ED69C">
        <w:rPr>
          <w:rFonts w:ascii="Arial" w:hAnsi="Arial" w:eastAsia="Arial" w:cs="Arial"/>
          <w:sz w:val="20"/>
          <w:szCs w:val="20"/>
        </w:rPr>
        <w:t xml:space="preserve">LEUNG, R.; YIU, E. M. </w:t>
      </w:r>
      <w:r w:rsidRPr="2D2ED69C">
        <w:rPr>
          <w:rFonts w:ascii="Arial" w:hAnsi="Arial" w:eastAsia="Arial" w:cs="Arial"/>
          <w:b/>
          <w:bCs/>
          <w:sz w:val="20"/>
          <w:szCs w:val="20"/>
        </w:rPr>
        <w:t>Abordagem prática para a criança que apresenta fraqueza generalizada aguda</w:t>
      </w:r>
      <w:r w:rsidRPr="2D2ED69C">
        <w:rPr>
          <w:rFonts w:ascii="Arial" w:hAnsi="Arial" w:eastAsia="Arial" w:cs="Arial"/>
          <w:sz w:val="20"/>
          <w:szCs w:val="20"/>
        </w:rPr>
        <w:t xml:space="preserve">. </w:t>
      </w:r>
      <w:r w:rsidRPr="2D2ED69C">
        <w:rPr>
          <w:rFonts w:ascii="Arial" w:hAnsi="Arial" w:eastAsia="Arial" w:cs="Arial"/>
          <w:i/>
          <w:iCs/>
          <w:sz w:val="20"/>
          <w:szCs w:val="20"/>
        </w:rPr>
        <w:t xml:space="preserve">Journal of </w:t>
      </w:r>
      <w:proofErr w:type="spellStart"/>
      <w:r w:rsidRPr="2D2ED69C">
        <w:rPr>
          <w:rFonts w:ascii="Arial" w:hAnsi="Arial" w:eastAsia="Arial" w:cs="Arial"/>
          <w:i/>
          <w:iCs/>
          <w:sz w:val="20"/>
          <w:szCs w:val="20"/>
        </w:rPr>
        <w:t>Paediatrics</w:t>
      </w:r>
      <w:proofErr w:type="spellEnd"/>
      <w:r w:rsidRPr="2D2ED69C">
        <w:rPr>
          <w:rFonts w:ascii="Arial" w:hAnsi="Arial" w:eastAsia="Arial" w:cs="Arial"/>
          <w:i/>
          <w:iCs/>
          <w:sz w:val="20"/>
          <w:szCs w:val="20"/>
        </w:rPr>
        <w:t xml:space="preserve"> and Child Health</w:t>
      </w:r>
      <w:r w:rsidRPr="2D2ED69C">
        <w:rPr>
          <w:rFonts w:ascii="Arial" w:hAnsi="Arial" w:eastAsia="Arial" w:cs="Arial"/>
          <w:sz w:val="20"/>
          <w:szCs w:val="20"/>
        </w:rPr>
        <w:t xml:space="preserve">, v. 60, p. 41-46, 2024. DOI: </w:t>
      </w:r>
      <w:hyperlink r:id="rId23">
        <w:r w:rsidRPr="2D2ED69C">
          <w:rPr>
            <w:rStyle w:val="Hyperlink"/>
            <w:rFonts w:ascii="Arial" w:hAnsi="Arial" w:eastAsia="Arial" w:cs="Arial"/>
            <w:sz w:val="20"/>
            <w:szCs w:val="20"/>
          </w:rPr>
          <w:t>https://doi.org/10.1111/jpc.16536</w:t>
        </w:r>
      </w:hyperlink>
      <w:r w:rsidRPr="2D2ED69C">
        <w:rPr>
          <w:rFonts w:ascii="Arial" w:hAnsi="Arial" w:eastAsia="Arial" w:cs="Arial"/>
          <w:sz w:val="20"/>
          <w:szCs w:val="20"/>
        </w:rPr>
        <w:t xml:space="preserve">. Disponível em: </w:t>
      </w:r>
      <w:hyperlink r:id="rId24">
        <w:r w:rsidRPr="2D2ED69C">
          <w:rPr>
            <w:rStyle w:val="Hyperlink"/>
            <w:rFonts w:ascii="Arial" w:hAnsi="Arial" w:eastAsia="Arial" w:cs="Arial"/>
            <w:sz w:val="20"/>
            <w:szCs w:val="20"/>
          </w:rPr>
          <w:t>https://doi.org/10.1111/jpc.16536</w:t>
        </w:r>
      </w:hyperlink>
      <w:r w:rsidRPr="2D2ED69C">
        <w:rPr>
          <w:rFonts w:ascii="Arial" w:hAnsi="Arial" w:eastAsia="Arial" w:cs="Arial"/>
          <w:sz w:val="20"/>
          <w:szCs w:val="20"/>
        </w:rPr>
        <w:t>. Acesso em: 15 abr. 2025.</w:t>
      </w:r>
    </w:p>
    <w:p w:rsidR="42C6F2C6" w:rsidP="2D2ED69C" w:rsidRDefault="42C6F2C6" w14:paraId="12A05516" w14:textId="438C9761">
      <w:pPr>
        <w:spacing w:line="240" w:lineRule="auto"/>
        <w:ind w:left="0" w:hanging="2"/>
        <w:rPr>
          <w:rFonts w:ascii="Arial" w:hAnsi="Arial" w:eastAsia="Arial" w:cs="Arial"/>
          <w:sz w:val="20"/>
          <w:szCs w:val="20"/>
        </w:rPr>
      </w:pPr>
      <w:r w:rsidRPr="2D2ED69C">
        <w:rPr>
          <w:rFonts w:ascii="Arial" w:hAnsi="Arial" w:eastAsia="Arial" w:cs="Arial"/>
          <w:sz w:val="20"/>
          <w:szCs w:val="20"/>
        </w:rPr>
        <w:t xml:space="preserve">NEAMTU, M. C. </w:t>
      </w:r>
      <w:r w:rsidRPr="2D2ED69C">
        <w:rPr>
          <w:rFonts w:ascii="Arial" w:hAnsi="Arial" w:eastAsia="Arial" w:cs="Arial"/>
          <w:i/>
          <w:iCs/>
          <w:sz w:val="20"/>
          <w:szCs w:val="20"/>
        </w:rPr>
        <w:t>et al.</w:t>
      </w:r>
      <w:r w:rsidRPr="2D2ED69C">
        <w:rPr>
          <w:rFonts w:ascii="Arial" w:hAnsi="Arial" w:eastAsia="Arial" w:cs="Arial"/>
          <w:sz w:val="20"/>
          <w:szCs w:val="20"/>
        </w:rPr>
        <w:t xml:space="preserve"> </w:t>
      </w:r>
      <w:r w:rsidRPr="2D2ED69C">
        <w:rPr>
          <w:rFonts w:ascii="Arial" w:hAnsi="Arial" w:eastAsia="Arial" w:cs="Arial"/>
          <w:b/>
          <w:bCs/>
          <w:sz w:val="20"/>
          <w:szCs w:val="20"/>
        </w:rPr>
        <w:t xml:space="preserve">Avaliação do equilíbrio muscular funcional na </w:t>
      </w:r>
      <w:proofErr w:type="spellStart"/>
      <w:r w:rsidRPr="2D2ED69C">
        <w:rPr>
          <w:rFonts w:ascii="Arial" w:hAnsi="Arial" w:eastAsia="Arial" w:cs="Arial"/>
          <w:b/>
          <w:bCs/>
          <w:sz w:val="20"/>
          <w:szCs w:val="20"/>
        </w:rPr>
        <w:t>esclerose</w:t>
      </w:r>
      <w:proofErr w:type="spellEnd"/>
      <w:r w:rsidRPr="2D2ED69C">
        <w:rPr>
          <w:rFonts w:ascii="Arial" w:hAnsi="Arial" w:eastAsia="Arial" w:cs="Arial"/>
          <w:b/>
          <w:bCs/>
          <w:sz w:val="20"/>
          <w:szCs w:val="20"/>
        </w:rPr>
        <w:t xml:space="preserve"> múltipla</w:t>
      </w:r>
      <w:r w:rsidRPr="2D2ED69C">
        <w:rPr>
          <w:rFonts w:ascii="Arial" w:hAnsi="Arial" w:eastAsia="Arial" w:cs="Arial"/>
          <w:sz w:val="20"/>
          <w:szCs w:val="20"/>
        </w:rPr>
        <w:t xml:space="preserve">. </w:t>
      </w:r>
      <w:r w:rsidRPr="2D2ED69C">
        <w:rPr>
          <w:rFonts w:ascii="Arial" w:hAnsi="Arial" w:eastAsia="Arial" w:cs="Arial"/>
          <w:i/>
          <w:iCs/>
          <w:sz w:val="20"/>
          <w:szCs w:val="20"/>
        </w:rPr>
        <w:t xml:space="preserve">Journal of Back and </w:t>
      </w:r>
      <w:proofErr w:type="spellStart"/>
      <w:r w:rsidRPr="2D2ED69C">
        <w:rPr>
          <w:rFonts w:ascii="Arial" w:hAnsi="Arial" w:eastAsia="Arial" w:cs="Arial"/>
          <w:i/>
          <w:iCs/>
          <w:sz w:val="20"/>
          <w:szCs w:val="20"/>
        </w:rPr>
        <w:t>Musculoskeletal</w:t>
      </w:r>
      <w:proofErr w:type="spellEnd"/>
      <w:r w:rsidRPr="2D2ED69C">
        <w:rPr>
          <w:rFonts w:ascii="Arial" w:hAnsi="Arial" w:eastAsia="Arial" w:cs="Arial"/>
          <w:i/>
          <w:iCs/>
          <w:sz w:val="20"/>
          <w:szCs w:val="20"/>
        </w:rPr>
        <w:t xml:space="preserve"> </w:t>
      </w:r>
      <w:proofErr w:type="spellStart"/>
      <w:r w:rsidRPr="2D2ED69C">
        <w:rPr>
          <w:rFonts w:ascii="Arial" w:hAnsi="Arial" w:eastAsia="Arial" w:cs="Arial"/>
          <w:i/>
          <w:iCs/>
          <w:sz w:val="20"/>
          <w:szCs w:val="20"/>
        </w:rPr>
        <w:t>Rehabilitation</w:t>
      </w:r>
      <w:proofErr w:type="spellEnd"/>
      <w:r w:rsidRPr="2D2ED69C">
        <w:rPr>
          <w:rFonts w:ascii="Arial" w:hAnsi="Arial" w:eastAsia="Arial" w:cs="Arial"/>
          <w:sz w:val="20"/>
          <w:szCs w:val="20"/>
        </w:rPr>
        <w:t xml:space="preserve">, v. 33, n. 4, p. 607-612, 2020. DOI: </w:t>
      </w:r>
      <w:hyperlink r:id="rId25">
        <w:r w:rsidRPr="2D2ED69C">
          <w:rPr>
            <w:rStyle w:val="Hyperlink"/>
            <w:rFonts w:ascii="Arial" w:hAnsi="Arial" w:eastAsia="Arial" w:cs="Arial"/>
            <w:sz w:val="20"/>
            <w:szCs w:val="20"/>
          </w:rPr>
          <w:t>https://doi.org/10.3233/BMR-191518</w:t>
        </w:r>
      </w:hyperlink>
      <w:r w:rsidRPr="2D2ED69C">
        <w:rPr>
          <w:rFonts w:ascii="Arial" w:hAnsi="Arial" w:eastAsia="Arial" w:cs="Arial"/>
          <w:sz w:val="20"/>
          <w:szCs w:val="20"/>
        </w:rPr>
        <w:t xml:space="preserve">. Disponível em: </w:t>
      </w:r>
      <w:hyperlink r:id="rId26">
        <w:r w:rsidRPr="2D2ED69C">
          <w:rPr>
            <w:rStyle w:val="Hyperlink"/>
            <w:rFonts w:ascii="Arial" w:hAnsi="Arial" w:eastAsia="Arial" w:cs="Arial"/>
            <w:sz w:val="20"/>
            <w:szCs w:val="20"/>
          </w:rPr>
          <w:t>https://pubmed.ncbi.nlm.nih.gov/31743986/</w:t>
        </w:r>
      </w:hyperlink>
      <w:r w:rsidRPr="2D2ED69C">
        <w:rPr>
          <w:rFonts w:ascii="Arial" w:hAnsi="Arial" w:eastAsia="Arial" w:cs="Arial"/>
          <w:sz w:val="20"/>
          <w:szCs w:val="20"/>
        </w:rPr>
        <w:t>. Acesso em: 15 abr. 2025.</w:t>
      </w:r>
    </w:p>
    <w:p w:rsidR="42C6F2C6" w:rsidP="2D2ED69C" w:rsidRDefault="42C6F2C6" w14:paraId="4FC9D9D8" w14:textId="5C53D238">
      <w:pPr>
        <w:spacing w:line="240" w:lineRule="auto"/>
        <w:ind w:left="0" w:hanging="2"/>
        <w:rPr>
          <w:rFonts w:ascii="Arial" w:hAnsi="Arial" w:eastAsia="Arial" w:cs="Arial"/>
          <w:sz w:val="20"/>
          <w:szCs w:val="20"/>
        </w:rPr>
      </w:pPr>
      <w:r w:rsidRPr="2D2ED69C">
        <w:rPr>
          <w:rFonts w:ascii="Arial" w:hAnsi="Arial" w:eastAsia="Arial" w:cs="Arial"/>
          <w:sz w:val="20"/>
          <w:szCs w:val="20"/>
        </w:rPr>
        <w:t xml:space="preserve">SÁ, M. R. C. de; SALLES, T. R. D. S. </w:t>
      </w:r>
      <w:r w:rsidRPr="2D2ED69C">
        <w:rPr>
          <w:rFonts w:ascii="Arial" w:hAnsi="Arial" w:eastAsia="Arial" w:cs="Arial"/>
          <w:b/>
          <w:bCs/>
          <w:sz w:val="20"/>
          <w:szCs w:val="20"/>
        </w:rPr>
        <w:t xml:space="preserve">A perspectiva da funcionalidade em crianças e adolescentes com disfunções </w:t>
      </w:r>
      <w:proofErr w:type="spellStart"/>
      <w:r w:rsidRPr="2D2ED69C">
        <w:rPr>
          <w:rFonts w:ascii="Arial" w:hAnsi="Arial" w:eastAsia="Arial" w:cs="Arial"/>
          <w:b/>
          <w:bCs/>
          <w:sz w:val="20"/>
          <w:szCs w:val="20"/>
        </w:rPr>
        <w:t>neuromotoras</w:t>
      </w:r>
      <w:proofErr w:type="spellEnd"/>
      <w:r w:rsidRPr="2D2ED69C">
        <w:rPr>
          <w:rFonts w:ascii="Arial" w:hAnsi="Arial" w:eastAsia="Arial" w:cs="Arial"/>
          <w:b/>
          <w:bCs/>
          <w:sz w:val="20"/>
          <w:szCs w:val="20"/>
        </w:rPr>
        <w:t>: um olhar</w:t>
      </w:r>
      <w:r w:rsidRPr="2D2ED69C">
        <w:rPr>
          <w:rFonts w:ascii="Arial" w:hAnsi="Arial" w:eastAsia="Arial" w:cs="Arial"/>
          <w:sz w:val="20"/>
          <w:szCs w:val="20"/>
        </w:rPr>
        <w:t xml:space="preserve">. </w:t>
      </w:r>
      <w:proofErr w:type="spellStart"/>
      <w:r w:rsidRPr="2D2ED69C">
        <w:rPr>
          <w:rFonts w:ascii="Arial" w:hAnsi="Arial" w:eastAsia="Arial" w:cs="Arial"/>
          <w:i/>
          <w:iCs/>
          <w:sz w:val="20"/>
          <w:szCs w:val="20"/>
        </w:rPr>
        <w:t>Secad</w:t>
      </w:r>
      <w:proofErr w:type="spellEnd"/>
      <w:r w:rsidRPr="2D2ED69C">
        <w:rPr>
          <w:rFonts w:ascii="Arial" w:hAnsi="Arial" w:eastAsia="Arial" w:cs="Arial"/>
          <w:i/>
          <w:iCs/>
          <w:sz w:val="20"/>
          <w:szCs w:val="20"/>
        </w:rPr>
        <w:t xml:space="preserve"> </w:t>
      </w:r>
      <w:proofErr w:type="spellStart"/>
      <w:r w:rsidRPr="2D2ED69C">
        <w:rPr>
          <w:rFonts w:ascii="Arial" w:hAnsi="Arial" w:eastAsia="Arial" w:cs="Arial"/>
          <w:i/>
          <w:iCs/>
          <w:sz w:val="20"/>
          <w:szCs w:val="20"/>
        </w:rPr>
        <w:t>Artmed</w:t>
      </w:r>
      <w:proofErr w:type="spellEnd"/>
      <w:r w:rsidRPr="2D2ED69C">
        <w:rPr>
          <w:rFonts w:ascii="Arial" w:hAnsi="Arial" w:eastAsia="Arial" w:cs="Arial"/>
          <w:sz w:val="20"/>
          <w:szCs w:val="20"/>
        </w:rPr>
        <w:t xml:space="preserve">, 2020. Disponível em: </w:t>
      </w:r>
      <w:hyperlink r:id="rId27">
        <w:r w:rsidRPr="2D2ED69C">
          <w:rPr>
            <w:rStyle w:val="Hyperlink"/>
            <w:rFonts w:ascii="Arial" w:hAnsi="Arial" w:eastAsia="Arial" w:cs="Arial"/>
            <w:sz w:val="20"/>
            <w:szCs w:val="20"/>
          </w:rPr>
          <w:t>https://portal.secad.artmed.com.br/artigo/a-perspectiva-da-funcionalidade-em-criancas-e-adolescentes-com-disfuncoes-neuromotoras-um-olhar</w:t>
        </w:r>
      </w:hyperlink>
      <w:r w:rsidRPr="2D2ED69C">
        <w:rPr>
          <w:rFonts w:ascii="Arial" w:hAnsi="Arial" w:eastAsia="Arial" w:cs="Arial"/>
          <w:sz w:val="20"/>
          <w:szCs w:val="20"/>
        </w:rPr>
        <w:t>. Acesso em: 30 mar. 2025.</w:t>
      </w:r>
    </w:p>
    <w:p w:rsidR="2ED86EBB" w:rsidP="416867E3" w:rsidRDefault="2ED86EBB" w14:paraId="04544E3B" w14:textId="16E95777">
      <w:pPr>
        <w:spacing w:line="240" w:lineRule="auto"/>
        <w:ind w:left="0" w:hanging="2"/>
        <w:rPr>
          <w:rFonts w:ascii="Arial" w:hAnsi="Arial" w:eastAsia="Arial" w:cs="Arial"/>
          <w:sz w:val="20"/>
          <w:szCs w:val="20"/>
        </w:rPr>
      </w:pPr>
      <w:r w:rsidRPr="416867E3" w:rsidR="2ED86EBB">
        <w:rPr>
          <w:rFonts w:ascii="Arial" w:hAnsi="Arial" w:eastAsia="Arial" w:cs="Arial"/>
          <w:sz w:val="20"/>
          <w:szCs w:val="20"/>
        </w:rPr>
        <w:t xml:space="preserve">SILVA, M. G. L. da </w:t>
      </w:r>
      <w:r w:rsidRPr="416867E3" w:rsidR="2ED86EBB">
        <w:rPr>
          <w:rFonts w:ascii="Arial" w:hAnsi="Arial" w:eastAsia="Arial" w:cs="Arial"/>
          <w:i w:val="1"/>
          <w:iCs w:val="1"/>
          <w:sz w:val="20"/>
          <w:szCs w:val="20"/>
        </w:rPr>
        <w:t>et al.</w:t>
      </w:r>
      <w:r w:rsidRPr="416867E3" w:rsidR="2ED86EBB">
        <w:rPr>
          <w:rFonts w:ascii="Arial" w:hAnsi="Arial" w:eastAsia="Arial" w:cs="Arial"/>
          <w:sz w:val="20"/>
          <w:szCs w:val="20"/>
        </w:rPr>
        <w:t xml:space="preserve"> </w:t>
      </w:r>
      <w:r w:rsidRPr="416867E3" w:rsidR="2ED86EBB">
        <w:rPr>
          <w:rFonts w:ascii="Arial" w:hAnsi="Arial" w:eastAsia="Arial" w:cs="Arial"/>
          <w:b w:val="1"/>
          <w:bCs w:val="1"/>
          <w:sz w:val="20"/>
          <w:szCs w:val="20"/>
        </w:rPr>
        <w:t xml:space="preserve">Doenças </w:t>
      </w:r>
      <w:r w:rsidRPr="416867E3" w:rsidR="2ED86EBB">
        <w:rPr>
          <w:rFonts w:ascii="Arial" w:hAnsi="Arial" w:eastAsia="Arial" w:cs="Arial"/>
          <w:b w:val="1"/>
          <w:bCs w:val="1"/>
          <w:sz w:val="20"/>
          <w:szCs w:val="20"/>
        </w:rPr>
        <w:t>desmielinizantes</w:t>
      </w:r>
      <w:r w:rsidRPr="416867E3" w:rsidR="2ED86EBB">
        <w:rPr>
          <w:rFonts w:ascii="Arial" w:hAnsi="Arial" w:eastAsia="Arial" w:cs="Arial"/>
          <w:b w:val="1"/>
          <w:bCs w:val="1"/>
          <w:sz w:val="20"/>
          <w:szCs w:val="20"/>
        </w:rPr>
        <w:t xml:space="preserve"> do sistema nervoso central: estado da arte baseado em uma revisão </w:t>
      </w:r>
      <w:r w:rsidRPr="416867E3" w:rsidR="2ED86EBB">
        <w:rPr>
          <w:rFonts w:ascii="Arial" w:hAnsi="Arial" w:eastAsia="Arial" w:cs="Arial"/>
          <w:b w:val="1"/>
          <w:bCs w:val="1"/>
          <w:sz w:val="20"/>
          <w:szCs w:val="20"/>
        </w:rPr>
        <w:t>integrativa</w:t>
      </w:r>
      <w:r w:rsidRPr="416867E3" w:rsidR="2ED86EBB">
        <w:rPr>
          <w:rFonts w:ascii="Arial" w:hAnsi="Arial" w:eastAsia="Arial" w:cs="Arial"/>
          <w:sz w:val="20"/>
          <w:szCs w:val="20"/>
        </w:rPr>
        <w:t xml:space="preserve">. </w:t>
      </w:r>
      <w:r w:rsidRPr="416867E3" w:rsidR="2ED86EBB">
        <w:rPr>
          <w:rFonts w:ascii="Arial" w:hAnsi="Arial" w:eastAsia="Arial" w:cs="Arial"/>
          <w:i w:val="1"/>
          <w:iCs w:val="1"/>
          <w:sz w:val="20"/>
          <w:szCs w:val="20"/>
        </w:rPr>
        <w:t>Brazilian Journal of Case Reports</w:t>
      </w:r>
      <w:r w:rsidRPr="416867E3" w:rsidR="2ED86EBB">
        <w:rPr>
          <w:rFonts w:ascii="Arial" w:hAnsi="Arial" w:eastAsia="Arial" w:cs="Arial"/>
          <w:sz w:val="20"/>
          <w:szCs w:val="20"/>
        </w:rPr>
        <w:t xml:space="preserve">, 2022. Disponível em: </w:t>
      </w:r>
      <w:hyperlink r:id="R7aaa37b9a4124c45">
        <w:r w:rsidRPr="416867E3" w:rsidR="2ED86EBB">
          <w:rPr>
            <w:rStyle w:val="Hyperlink"/>
            <w:rFonts w:ascii="Arial" w:hAnsi="Arial" w:eastAsia="Arial" w:cs="Arial"/>
            <w:sz w:val="20"/>
            <w:szCs w:val="20"/>
          </w:rPr>
          <w:t>https://bjcasereports.com.br/index.php/bjcr/article/view/doencas_desmielinizantes_do_sistema_nervoso_central_estado_da_ar</w:t>
        </w:r>
      </w:hyperlink>
      <w:r w:rsidRPr="416867E3" w:rsidR="2ED86EBB">
        <w:rPr>
          <w:rFonts w:ascii="Arial" w:hAnsi="Arial" w:eastAsia="Arial" w:cs="Arial"/>
          <w:sz w:val="20"/>
          <w:szCs w:val="20"/>
        </w:rPr>
        <w:t>. Acesso em: 30 mar. 2025.</w:t>
      </w:r>
    </w:p>
    <w:sectPr w:rsidR="42C6F2C6" w:rsidSect="0047529D">
      <w:footerReference w:type="default" r:id="rId29"/>
      <w:type w:val="continuous"/>
      <w:pgSz w:w="11906" w:h="16838" w:orient="portrait"/>
      <w:pgMar w:top="1418" w:right="1418" w:bottom="1418" w:left="1418" w:header="709" w:footer="14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2466" w:rsidRDefault="00F42466" w14:paraId="0090257A" w14:textId="77777777">
      <w:pPr>
        <w:spacing w:line="240" w:lineRule="auto"/>
        <w:ind w:left="0" w:hanging="2"/>
      </w:pPr>
      <w:r>
        <w:separator/>
      </w:r>
    </w:p>
  </w:endnote>
  <w:endnote w:type="continuationSeparator" w:id="0">
    <w:p w:rsidR="00F42466" w:rsidRDefault="00F42466" w14:paraId="081DE96A" w14:textId="77777777">
      <w:pPr>
        <w:spacing w:line="240" w:lineRule="auto"/>
        <w:ind w:left="0" w:hanging="2"/>
      </w:pPr>
      <w:r>
        <w:continuationSeparator/>
      </w:r>
    </w:p>
  </w:endnote>
  <w:endnote w:type="continuationNotice" w:id="1">
    <w:p w:rsidR="00F42466" w:rsidRDefault="00F42466" w14:paraId="7C802ACF" w14:textId="77777777">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29D" w:rsidRDefault="0047529D" w14:paraId="593C20B5" w14:textId="7777777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29D" w:rsidRDefault="0047529D" w14:paraId="3A9F7776" w14:textId="77777777">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E7027" w:rsidR="00880E69" w:rsidP="001E7027" w:rsidRDefault="00880E69" w14:paraId="00000070" w14:textId="63E312A7">
    <w:pPr>
      <w:pBdr>
        <w:top w:val="nil"/>
        <w:left w:val="nil"/>
        <w:bottom w:val="nil"/>
        <w:right w:val="nil"/>
        <w:between w:val="nil"/>
      </w:pBdr>
      <w:tabs>
        <w:tab w:val="center" w:pos="4252"/>
        <w:tab w:val="right" w:pos="8504"/>
      </w:tabs>
      <w:spacing w:line="240" w:lineRule="auto"/>
      <w:ind w:left="0" w:hanging="2"/>
      <w:rPr>
        <w:color w:val="000000"/>
        <w:lang w:val="pt-B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027" w:rsidRDefault="001E7027" w14:paraId="2FD383F5" w14:textId="77777777">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2466" w:rsidRDefault="00F42466" w14:paraId="07635116" w14:textId="77777777">
      <w:pPr>
        <w:spacing w:line="240" w:lineRule="auto"/>
        <w:ind w:left="0" w:hanging="2"/>
      </w:pPr>
      <w:r>
        <w:separator/>
      </w:r>
    </w:p>
  </w:footnote>
  <w:footnote w:type="continuationSeparator" w:id="0">
    <w:p w:rsidR="00F42466" w:rsidRDefault="00F42466" w14:paraId="607013AB" w14:textId="77777777">
      <w:pPr>
        <w:spacing w:line="240" w:lineRule="auto"/>
        <w:ind w:left="0" w:hanging="2"/>
      </w:pPr>
      <w:r>
        <w:continuationSeparator/>
      </w:r>
    </w:p>
  </w:footnote>
  <w:footnote w:type="continuationNotice" w:id="1">
    <w:p w:rsidR="00F42466" w:rsidRDefault="00F42466" w14:paraId="516F6BCE" w14:textId="77777777">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E69" w:rsidRDefault="00C81ACD" w14:paraId="0000006E" w14:textId="77777777">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880E69" w:rsidRDefault="00880E69" w14:paraId="0000006F" w14:textId="77777777">
    <w:pPr>
      <w:pBdr>
        <w:top w:val="nil"/>
        <w:left w:val="nil"/>
        <w:bottom w:val="nil"/>
        <w:right w:val="nil"/>
        <w:between w:val="nil"/>
      </w:pBdr>
      <w:tabs>
        <w:tab w:val="center" w:pos="4252"/>
        <w:tab w:val="right" w:pos="8504"/>
      </w:tabs>
      <w:spacing w:line="240" w:lineRule="auto"/>
      <w:ind w:left="0" w:right="36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7529D" w:rsidRDefault="00B2232A" w14:paraId="665EFE15" w14:textId="6EDFA97B">
    <w:pPr>
      <w:pStyle w:val="Header"/>
      <w:ind w:left="0" w:hanging="2"/>
    </w:pPr>
    <w:r>
      <w:rPr>
        <w:noProof/>
      </w:rPr>
      <w:drawing>
        <wp:anchor distT="0" distB="0" distL="114300" distR="114300" simplePos="0" relativeHeight="251658240" behindDoc="1" locked="0" layoutInCell="1" allowOverlap="1" wp14:anchorId="1575CB46" wp14:editId="669F05DB">
          <wp:simplePos x="0" y="0"/>
          <wp:positionH relativeFrom="page">
            <wp:align>left</wp:align>
          </wp:positionH>
          <wp:positionV relativeFrom="paragraph">
            <wp:posOffset>-450215</wp:posOffset>
          </wp:positionV>
          <wp:extent cx="7551420" cy="899160"/>
          <wp:effectExtent l="0" t="0" r="0" b="0"/>
          <wp:wrapTight wrapText="bothSides">
            <wp:wrapPolygon edited="0">
              <wp:start x="0" y="0"/>
              <wp:lineTo x="0" y="21051"/>
              <wp:lineTo x="21524" y="21051"/>
              <wp:lineTo x="21524" y="0"/>
              <wp:lineTo x="0" y="0"/>
            </wp:wrapPolygon>
          </wp:wrapTight>
          <wp:docPr id="870025226" name="Imagem 4" descr="Uma imagem contendo Padrão do plano de fund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025226" name="Imagem 4" descr="Uma imagem contendo Padrão do plano de fundo&#10;&#10;O conteúdo gerado por IA pode estar incorreto."/>
                  <pic:cNvPicPr/>
                </pic:nvPicPr>
                <pic:blipFill rotWithShape="1">
                  <a:blip r:embed="rId1">
                    <a:extLst>
                      <a:ext uri="{28A0092B-C50C-407E-A947-70E740481C1C}">
                        <a14:useLocalDpi xmlns:a14="http://schemas.microsoft.com/office/drawing/2010/main" val="0"/>
                      </a:ext>
                    </a:extLst>
                  </a:blip>
                  <a:srcRect b="92050"/>
                  <a:stretch/>
                </pic:blipFill>
                <pic:spPr bwMode="auto">
                  <a:xfrm>
                    <a:off x="0" y="0"/>
                    <a:ext cx="7551420" cy="8991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E69" w:rsidRDefault="00880E69" w14:paraId="0000006D" w14:textId="607A2106">
    <w:pPr>
      <w:pBdr>
        <w:top w:val="nil"/>
        <w:left w:val="nil"/>
        <w:bottom w:val="nil"/>
        <w:right w:val="nil"/>
        <w:between w:val="nil"/>
      </w:pBdr>
      <w:tabs>
        <w:tab w:val="center" w:pos="4252"/>
        <w:tab w:val="right" w:pos="8504"/>
      </w:tabs>
      <w:spacing w:line="240" w:lineRule="auto"/>
      <w:ind w:left="1" w:hanging="3"/>
      <w:jc w:val="center"/>
      <w:rPr>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57CEA"/>
    <w:multiLevelType w:val="multilevel"/>
    <w:tmpl w:val="D9484F4A"/>
    <w:lvl w:ilvl="0">
      <w:start w:val="1"/>
      <w:numFmt w:val="lowerLetter"/>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 w15:restartNumberingAfterBreak="0">
    <w:nsid w:val="53F07330"/>
    <w:multiLevelType w:val="multilevel"/>
    <w:tmpl w:val="8BAEFE8A"/>
    <w:lvl w:ilvl="0">
      <w:start w:val="1"/>
      <w:numFmt w:val="decimal"/>
      <w:lvlText w:val="%1"/>
      <w:lvlJc w:val="left"/>
      <w:pPr>
        <w:ind w:left="502" w:hanging="360"/>
      </w:pPr>
      <w:rPr>
        <w:rFonts w:ascii="Arial" w:hAnsi="Arial" w:eastAsia="Arial" w:cs="Arial"/>
        <w:b/>
        <w:i w:val="0"/>
        <w:sz w:val="24"/>
        <w:szCs w:val="24"/>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num w:numId="1" w16cid:durableId="1538619743">
    <w:abstractNumId w:val="1"/>
  </w:num>
  <w:num w:numId="2" w16cid:durableId="1414550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displayBackgroundShape/>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E69"/>
    <w:rsid w:val="00097AF2"/>
    <w:rsid w:val="00157B70"/>
    <w:rsid w:val="001D18B3"/>
    <w:rsid w:val="001E7027"/>
    <w:rsid w:val="00243EBA"/>
    <w:rsid w:val="002B3910"/>
    <w:rsid w:val="002B46D6"/>
    <w:rsid w:val="002B725C"/>
    <w:rsid w:val="00376840"/>
    <w:rsid w:val="00421589"/>
    <w:rsid w:val="0043375C"/>
    <w:rsid w:val="00437DF0"/>
    <w:rsid w:val="004437F4"/>
    <w:rsid w:val="00461205"/>
    <w:rsid w:val="00473709"/>
    <w:rsid w:val="0047529D"/>
    <w:rsid w:val="004922D2"/>
    <w:rsid w:val="00526497"/>
    <w:rsid w:val="00531594"/>
    <w:rsid w:val="00556A24"/>
    <w:rsid w:val="0056454E"/>
    <w:rsid w:val="00570FB7"/>
    <w:rsid w:val="005B7697"/>
    <w:rsid w:val="005C363B"/>
    <w:rsid w:val="005C66F7"/>
    <w:rsid w:val="00693ADE"/>
    <w:rsid w:val="006C004F"/>
    <w:rsid w:val="006D046B"/>
    <w:rsid w:val="006D44AF"/>
    <w:rsid w:val="007065E0"/>
    <w:rsid w:val="007151DA"/>
    <w:rsid w:val="007665AE"/>
    <w:rsid w:val="00777320"/>
    <w:rsid w:val="00781C96"/>
    <w:rsid w:val="007C51F7"/>
    <w:rsid w:val="00827BEF"/>
    <w:rsid w:val="0087724D"/>
    <w:rsid w:val="00880E69"/>
    <w:rsid w:val="008867E0"/>
    <w:rsid w:val="008B23FA"/>
    <w:rsid w:val="008F661D"/>
    <w:rsid w:val="00917708"/>
    <w:rsid w:val="00926692"/>
    <w:rsid w:val="009323B5"/>
    <w:rsid w:val="00935682"/>
    <w:rsid w:val="009B4F0C"/>
    <w:rsid w:val="009D7C3B"/>
    <w:rsid w:val="009E23A3"/>
    <w:rsid w:val="00A52D08"/>
    <w:rsid w:val="00A548C1"/>
    <w:rsid w:val="00AA0A68"/>
    <w:rsid w:val="00AD35F6"/>
    <w:rsid w:val="00B2232A"/>
    <w:rsid w:val="00B533CA"/>
    <w:rsid w:val="00BB11D4"/>
    <w:rsid w:val="00C81ACD"/>
    <w:rsid w:val="00C954E8"/>
    <w:rsid w:val="00CD2730"/>
    <w:rsid w:val="00D0336E"/>
    <w:rsid w:val="00D91492"/>
    <w:rsid w:val="00E90FB5"/>
    <w:rsid w:val="00EA65A5"/>
    <w:rsid w:val="00EE3808"/>
    <w:rsid w:val="00F42466"/>
    <w:rsid w:val="00F56A1E"/>
    <w:rsid w:val="01E002FE"/>
    <w:rsid w:val="01F407C4"/>
    <w:rsid w:val="0315C202"/>
    <w:rsid w:val="03807355"/>
    <w:rsid w:val="0662A196"/>
    <w:rsid w:val="08FBBA8B"/>
    <w:rsid w:val="094F17E2"/>
    <w:rsid w:val="0976ACD7"/>
    <w:rsid w:val="0B1BCA0D"/>
    <w:rsid w:val="0B45CA38"/>
    <w:rsid w:val="0B68AD0C"/>
    <w:rsid w:val="0DBDB85F"/>
    <w:rsid w:val="0E9DCF28"/>
    <w:rsid w:val="133A1AC5"/>
    <w:rsid w:val="14C27737"/>
    <w:rsid w:val="15A4DC1B"/>
    <w:rsid w:val="15A4DC1B"/>
    <w:rsid w:val="15DB0798"/>
    <w:rsid w:val="1A61B9E4"/>
    <w:rsid w:val="1A6B2C7A"/>
    <w:rsid w:val="1ADCBD83"/>
    <w:rsid w:val="1ADCBD83"/>
    <w:rsid w:val="1B00FB57"/>
    <w:rsid w:val="1EDFCA0C"/>
    <w:rsid w:val="1F64EC61"/>
    <w:rsid w:val="20BB8F59"/>
    <w:rsid w:val="21195402"/>
    <w:rsid w:val="212138CF"/>
    <w:rsid w:val="25CE22AA"/>
    <w:rsid w:val="26E97073"/>
    <w:rsid w:val="27E562DE"/>
    <w:rsid w:val="27FF6E52"/>
    <w:rsid w:val="2812C9D8"/>
    <w:rsid w:val="2812C9D8"/>
    <w:rsid w:val="2832302B"/>
    <w:rsid w:val="286DE6E9"/>
    <w:rsid w:val="289FDDE4"/>
    <w:rsid w:val="295A26F6"/>
    <w:rsid w:val="295A26F6"/>
    <w:rsid w:val="295D1B8E"/>
    <w:rsid w:val="295D1B8E"/>
    <w:rsid w:val="29968D4C"/>
    <w:rsid w:val="2D2ED69C"/>
    <w:rsid w:val="2D709C40"/>
    <w:rsid w:val="2E092C7A"/>
    <w:rsid w:val="2ED86EBB"/>
    <w:rsid w:val="32D544B8"/>
    <w:rsid w:val="3358524B"/>
    <w:rsid w:val="339B6D80"/>
    <w:rsid w:val="3491BA0D"/>
    <w:rsid w:val="350CA4DA"/>
    <w:rsid w:val="367280FD"/>
    <w:rsid w:val="374DE77D"/>
    <w:rsid w:val="3988418A"/>
    <w:rsid w:val="3BE66F19"/>
    <w:rsid w:val="3DEA7702"/>
    <w:rsid w:val="3F0BC4FF"/>
    <w:rsid w:val="3F54224B"/>
    <w:rsid w:val="400EA985"/>
    <w:rsid w:val="40167F80"/>
    <w:rsid w:val="4095B709"/>
    <w:rsid w:val="416867E3"/>
    <w:rsid w:val="41DFF5E0"/>
    <w:rsid w:val="420BD672"/>
    <w:rsid w:val="42C6F2C6"/>
    <w:rsid w:val="441B29B5"/>
    <w:rsid w:val="462ACFBE"/>
    <w:rsid w:val="46FC38ED"/>
    <w:rsid w:val="4A3A2EE1"/>
    <w:rsid w:val="4AB6EE4E"/>
    <w:rsid w:val="4BEB3D1C"/>
    <w:rsid w:val="4C53C002"/>
    <w:rsid w:val="4D7F736A"/>
    <w:rsid w:val="4D862D32"/>
    <w:rsid w:val="4E0981F0"/>
    <w:rsid w:val="4E5A0111"/>
    <w:rsid w:val="4F2D3664"/>
    <w:rsid w:val="4F923DE9"/>
    <w:rsid w:val="4FA4E5DB"/>
    <w:rsid w:val="51B2116C"/>
    <w:rsid w:val="5206AF95"/>
    <w:rsid w:val="53486BD6"/>
    <w:rsid w:val="536F94DC"/>
    <w:rsid w:val="54536B49"/>
    <w:rsid w:val="54A3403A"/>
    <w:rsid w:val="59286799"/>
    <w:rsid w:val="5B8A132F"/>
    <w:rsid w:val="5D47C033"/>
    <w:rsid w:val="5D6EE499"/>
    <w:rsid w:val="5D842A77"/>
    <w:rsid w:val="5D98E758"/>
    <w:rsid w:val="5E293C30"/>
    <w:rsid w:val="5F14DE1C"/>
    <w:rsid w:val="61349B4D"/>
    <w:rsid w:val="61A05944"/>
    <w:rsid w:val="61AF355D"/>
    <w:rsid w:val="622F961F"/>
    <w:rsid w:val="6282DF32"/>
    <w:rsid w:val="631E7EAA"/>
    <w:rsid w:val="6363F249"/>
    <w:rsid w:val="63B0EB8A"/>
    <w:rsid w:val="677F03F7"/>
    <w:rsid w:val="68CDB32C"/>
    <w:rsid w:val="6B94A091"/>
    <w:rsid w:val="6BFDAD47"/>
    <w:rsid w:val="6CE5F548"/>
    <w:rsid w:val="6DBA0948"/>
    <w:rsid w:val="6F818FCF"/>
    <w:rsid w:val="7196ED5B"/>
    <w:rsid w:val="74276FF2"/>
    <w:rsid w:val="74583FAD"/>
    <w:rsid w:val="74786642"/>
    <w:rsid w:val="749DBECC"/>
    <w:rsid w:val="751AA0C6"/>
    <w:rsid w:val="751E790E"/>
    <w:rsid w:val="76B7F464"/>
    <w:rsid w:val="77282C5D"/>
    <w:rsid w:val="788A468B"/>
    <w:rsid w:val="788A468B"/>
    <w:rsid w:val="789FA2AD"/>
    <w:rsid w:val="7AFBE229"/>
    <w:rsid w:val="7B237D5F"/>
    <w:rsid w:val="7B237D5F"/>
    <w:rsid w:val="7B3B30AC"/>
    <w:rsid w:val="7B3B30AC"/>
    <w:rsid w:val="7B6FEA8C"/>
    <w:rsid w:val="7DE82A29"/>
    <w:rsid w:val="7DF2B26F"/>
    <w:rsid w:val="7EFA2119"/>
    <w:rsid w:val="7FA8F0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FB0DF"/>
  <w15:docId w15:val="{FB4A0B20-711D-4301-8AA2-F6348597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szCs w:val="24"/>
        <w:lang w:val="pt-PT" w:eastAsia="pt-BR"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next w:val="Normal1"/>
    <w:qFormat/>
    <w:rsid w:val="00C21592"/>
    <w:pPr>
      <w:suppressAutoHyphens/>
      <w:spacing w:line="1" w:lineRule="atLeast"/>
      <w:ind w:left="-1" w:leftChars="-1" w:hangingChars="1"/>
      <w:textDirection w:val="btLr"/>
      <w:textAlignment w:val="top"/>
      <w:outlineLvl w:val="0"/>
    </w:pPr>
    <w:rPr>
      <w:position w:val="-1"/>
      <w:lang w:eastAsia="pt-PT"/>
    </w:rPr>
  </w:style>
  <w:style w:type="paragraph" w:styleId="Heading1">
    <w:name w:val="heading 1"/>
    <w:basedOn w:val="Normal1"/>
    <w:next w:val="Normal1"/>
    <w:uiPriority w:val="9"/>
    <w:qFormat/>
    <w:rsid w:val="00C21592"/>
    <w:pPr>
      <w:keepNext/>
      <w:keepLines/>
      <w:spacing w:before="480" w:after="120"/>
      <w:outlineLvl w:val="0"/>
    </w:pPr>
    <w:rPr>
      <w:b/>
      <w:sz w:val="48"/>
      <w:szCs w:val="48"/>
    </w:rPr>
  </w:style>
  <w:style w:type="paragraph" w:styleId="Heading2">
    <w:name w:val="heading 2"/>
    <w:basedOn w:val="Normal1"/>
    <w:next w:val="Normal1"/>
    <w:uiPriority w:val="9"/>
    <w:semiHidden/>
    <w:unhideWhenUsed/>
    <w:qFormat/>
    <w:rsid w:val="00C21592"/>
    <w:pPr>
      <w:keepNext/>
      <w:keepLines/>
      <w:spacing w:before="360" w:after="80"/>
      <w:outlineLvl w:val="1"/>
    </w:pPr>
    <w:rPr>
      <w:b/>
      <w:sz w:val="36"/>
      <w:szCs w:val="36"/>
    </w:rPr>
  </w:style>
  <w:style w:type="paragraph" w:styleId="Heading3">
    <w:name w:val="heading 3"/>
    <w:basedOn w:val="Normal1"/>
    <w:next w:val="Normal1"/>
    <w:uiPriority w:val="9"/>
    <w:semiHidden/>
    <w:unhideWhenUsed/>
    <w:qFormat/>
    <w:rsid w:val="00C21592"/>
    <w:pPr>
      <w:keepNext/>
      <w:keepLines/>
      <w:spacing w:before="280" w:after="80"/>
      <w:outlineLvl w:val="2"/>
    </w:pPr>
    <w:rPr>
      <w:b/>
      <w:sz w:val="28"/>
      <w:szCs w:val="28"/>
    </w:rPr>
  </w:style>
  <w:style w:type="paragraph" w:styleId="Heading4">
    <w:name w:val="heading 4"/>
    <w:basedOn w:val="Normal1"/>
    <w:next w:val="Normal1"/>
    <w:uiPriority w:val="9"/>
    <w:semiHidden/>
    <w:unhideWhenUsed/>
    <w:qFormat/>
    <w:rsid w:val="00C21592"/>
    <w:pPr>
      <w:keepNext/>
      <w:keepLines/>
      <w:spacing w:before="240" w:after="40"/>
      <w:outlineLvl w:val="3"/>
    </w:pPr>
    <w:rPr>
      <w:b/>
    </w:rPr>
  </w:style>
  <w:style w:type="paragraph" w:styleId="Heading5">
    <w:name w:val="heading 5"/>
    <w:basedOn w:val="Normal1"/>
    <w:next w:val="Normal1"/>
    <w:uiPriority w:val="9"/>
    <w:semiHidden/>
    <w:unhideWhenUsed/>
    <w:qFormat/>
    <w:rsid w:val="00C21592"/>
    <w:pPr>
      <w:keepNext/>
      <w:keepLines/>
      <w:spacing w:before="220" w:after="40"/>
      <w:outlineLvl w:val="4"/>
    </w:pPr>
    <w:rPr>
      <w:b/>
      <w:sz w:val="22"/>
      <w:szCs w:val="22"/>
    </w:rPr>
  </w:style>
  <w:style w:type="paragraph" w:styleId="Heading6">
    <w:name w:val="heading 6"/>
    <w:basedOn w:val="Normal1"/>
    <w:next w:val="Normal1"/>
    <w:uiPriority w:val="9"/>
    <w:semiHidden/>
    <w:unhideWhenUsed/>
    <w:qFormat/>
    <w:rsid w:val="00C21592"/>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1"/>
    <w:next w:val="Normal1"/>
    <w:uiPriority w:val="10"/>
    <w:qFormat/>
    <w:rsid w:val="00C21592"/>
    <w:pPr>
      <w:keepNext/>
      <w:keepLines/>
      <w:spacing w:before="480" w:after="120"/>
    </w:pPr>
    <w:rPr>
      <w:b/>
      <w:sz w:val="72"/>
      <w:szCs w:val="72"/>
    </w:rPr>
  </w:style>
  <w:style w:type="paragraph" w:styleId="Normal1" w:customStyle="1">
    <w:name w:val="Normal1"/>
    <w:rsid w:val="00C21592"/>
  </w:style>
  <w:style w:type="table" w:styleId="TableNormal3" w:customStyle="1">
    <w:name w:val="Table Normal3"/>
    <w:rsid w:val="0056454E"/>
    <w:tblPr>
      <w:tblCellMar>
        <w:top w:w="0" w:type="dxa"/>
        <w:left w:w="0" w:type="dxa"/>
        <w:bottom w:w="0" w:type="dxa"/>
        <w:right w:w="0" w:type="dxa"/>
      </w:tblCellMar>
    </w:tblPr>
  </w:style>
  <w:style w:type="paragraph" w:styleId="Header">
    <w:name w:val="header"/>
    <w:basedOn w:val="Normal"/>
    <w:autoRedefine/>
    <w:hidden/>
    <w:qFormat/>
    <w:rsid w:val="00C21592"/>
    <w:pPr>
      <w:tabs>
        <w:tab w:val="center" w:pos="4252"/>
        <w:tab w:val="right" w:pos="8504"/>
      </w:tabs>
    </w:pPr>
  </w:style>
  <w:style w:type="character" w:styleId="PageNumber">
    <w:name w:val="page number"/>
    <w:basedOn w:val="DefaultParagraphFont"/>
    <w:autoRedefine/>
    <w:hidden/>
    <w:qFormat/>
    <w:rsid w:val="00C21592"/>
    <w:rPr>
      <w:w w:val="100"/>
      <w:position w:val="-1"/>
      <w:effect w:val="none"/>
      <w:vertAlign w:val="baseline"/>
      <w:cs w:val="0"/>
      <w:em w:val="none"/>
    </w:rPr>
  </w:style>
  <w:style w:type="paragraph" w:styleId="Footer">
    <w:name w:val="footer"/>
    <w:basedOn w:val="Normal"/>
    <w:autoRedefine/>
    <w:hidden/>
    <w:qFormat/>
    <w:rsid w:val="00C21592"/>
    <w:pPr>
      <w:tabs>
        <w:tab w:val="center" w:pos="4252"/>
        <w:tab w:val="right" w:pos="8504"/>
      </w:tabs>
    </w:pPr>
  </w:style>
  <w:style w:type="table" w:styleId="TableGrid">
    <w:name w:val="Table Grid"/>
    <w:basedOn w:val="TableNormal"/>
    <w:autoRedefine/>
    <w:hidden/>
    <w:qFormat/>
    <w:rsid w:val="00C21592"/>
    <w:pPr>
      <w:suppressAutoHyphens/>
      <w:spacing w:line="1" w:lineRule="atLeast"/>
      <w:ind w:left="-1" w:leftChars="-1" w:hangingChars="1"/>
      <w:textDirection w:val="btLr"/>
      <w:textAlignment w:val="top"/>
      <w:outlineLvl w:val="0"/>
    </w:pPr>
    <w:rPr>
      <w:position w:val="-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8">
    <w:name w:val="Table Grid 8"/>
    <w:basedOn w:val="TableNormal"/>
    <w:autoRedefine/>
    <w:hidden/>
    <w:qFormat/>
    <w:rsid w:val="00C21592"/>
    <w:pPr>
      <w:suppressAutoHyphens/>
      <w:spacing w:line="1" w:lineRule="atLeast"/>
      <w:ind w:left="-1" w:leftChars="-1" w:hangingChars="1"/>
      <w:textDirection w:val="btLr"/>
      <w:textAlignment w:val="top"/>
      <w:outlineLvl w:val="0"/>
    </w:pPr>
    <w:rPr>
      <w:position w:val="-1"/>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style>
  <w:style w:type="paragraph" w:styleId="GRAPHICA2009DEMAISPARGRAFOS" w:customStyle="1">
    <w:name w:val="GRAPHICA 2009 DEMAIS PARÁGRAFOS"/>
    <w:autoRedefine/>
    <w:hidden/>
    <w:qFormat/>
    <w:rsid w:val="00C21592"/>
    <w:pPr>
      <w:suppressAutoHyphens/>
      <w:spacing w:line="360" w:lineRule="auto"/>
      <w:ind w:left="-1" w:leftChars="-1" w:hangingChars="1"/>
      <w:jc w:val="both"/>
      <w:textDirection w:val="btLr"/>
      <w:textAlignment w:val="top"/>
      <w:outlineLvl w:val="0"/>
    </w:pPr>
    <w:rPr>
      <w:rFonts w:ascii="Arial" w:hAnsi="Arial"/>
      <w:position w:val="-1"/>
      <w:sz w:val="22"/>
      <w:lang w:val="pt-BR"/>
    </w:rPr>
  </w:style>
  <w:style w:type="character" w:styleId="Hyperlink">
    <w:name w:val="Hyperlink"/>
    <w:autoRedefine/>
    <w:hidden/>
    <w:qFormat/>
    <w:rsid w:val="00C21592"/>
    <w:rPr>
      <w:color w:val="0563C1"/>
      <w:w w:val="100"/>
      <w:position w:val="-1"/>
      <w:u w:val="single"/>
      <w:effect w:val="none"/>
      <w:vertAlign w:val="baseline"/>
      <w:cs w:val="0"/>
      <w:em w:val="none"/>
    </w:rPr>
  </w:style>
  <w:style w:type="character" w:styleId="MenoPendente1" w:customStyle="1">
    <w:name w:val="Menção Pendente1"/>
    <w:autoRedefine/>
    <w:hidden/>
    <w:qFormat/>
    <w:rsid w:val="00C21592"/>
    <w:rPr>
      <w:color w:val="605E5C"/>
      <w:w w:val="100"/>
      <w:position w:val="-1"/>
      <w:effect w:val="none"/>
      <w:shd w:val="clear" w:color="auto" w:fill="E1DFDD"/>
      <w:vertAlign w:val="baseline"/>
      <w:cs w:val="0"/>
      <w:em w:val="none"/>
    </w:rPr>
  </w:style>
  <w:style w:type="paragraph" w:styleId="Default" w:customStyle="1">
    <w:name w:val="Default"/>
    <w:autoRedefine/>
    <w:hidden/>
    <w:qFormat/>
    <w:rsid w:val="00C21592"/>
    <w:pPr>
      <w:suppressAutoHyphens/>
      <w:autoSpaceDE w:val="0"/>
      <w:autoSpaceDN w:val="0"/>
      <w:adjustRightInd w:val="0"/>
      <w:spacing w:line="1" w:lineRule="atLeast"/>
      <w:ind w:left="-1" w:leftChars="-1" w:hangingChars="1"/>
      <w:textDirection w:val="btLr"/>
      <w:textAlignment w:val="top"/>
      <w:outlineLvl w:val="0"/>
    </w:pPr>
    <w:rPr>
      <w:rFonts w:ascii="Cambria" w:hAnsi="Cambria" w:cs="Cambria"/>
      <w:color w:val="000000"/>
      <w:position w:val="-1"/>
      <w:lang w:val="en-US" w:eastAsia="en-US"/>
    </w:rPr>
  </w:style>
  <w:style w:type="table" w:styleId="Table3Deffects3">
    <w:name w:val="Table 3D effects 3"/>
    <w:basedOn w:val="TableNormal"/>
    <w:autoRedefine/>
    <w:hidden/>
    <w:qFormat/>
    <w:rsid w:val="00C21592"/>
    <w:pPr>
      <w:suppressAutoHyphens/>
      <w:spacing w:line="1" w:lineRule="atLeast"/>
      <w:ind w:left="-1" w:leftChars="-1" w:hangingChars="1"/>
      <w:textDirection w:val="btLr"/>
      <w:textAlignment w:val="top"/>
      <w:outlineLvl w:val="0"/>
    </w:pPr>
    <w:rPr>
      <w:position w:val="-1"/>
    </w:rPr>
    <w:tblPr>
      <w:tblStyleRowBandSize w:val="1"/>
      <w:tblStyleColBandSize w:val="1"/>
    </w:tblPr>
  </w:style>
  <w:style w:type="table" w:styleId="TableClassic1">
    <w:name w:val="Table Classic 1"/>
    <w:basedOn w:val="TableNormal"/>
    <w:autoRedefine/>
    <w:hidden/>
    <w:qFormat/>
    <w:rsid w:val="00C21592"/>
    <w:pPr>
      <w:suppressAutoHyphens/>
      <w:spacing w:line="1" w:lineRule="atLeast"/>
      <w:ind w:left="-1" w:leftChars="-1" w:hangingChars="1"/>
      <w:textDirection w:val="btLr"/>
      <w:textAlignment w:val="top"/>
      <w:outlineLvl w:val="0"/>
    </w:pPr>
    <w:rPr>
      <w:position w:val="-1"/>
    </w:rPr>
    <w:tblPr>
      <w:tblBorders>
        <w:top w:val="single" w:color="000000" w:sz="12" w:space="0"/>
        <w:bottom w:val="single" w:color="000000" w:sz="12" w:space="0"/>
      </w:tblBorders>
    </w:tblPr>
  </w:style>
  <w:style w:type="table" w:styleId="TableProfessional">
    <w:name w:val="Table Professional"/>
    <w:basedOn w:val="TableNormal"/>
    <w:autoRedefine/>
    <w:hidden/>
    <w:qFormat/>
    <w:rsid w:val="00C21592"/>
    <w:pPr>
      <w:suppressAutoHyphens/>
      <w:spacing w:line="1" w:lineRule="atLeast"/>
      <w:ind w:left="-1" w:leftChars="-1" w:hangingChars="1"/>
      <w:textDirection w:val="btLr"/>
      <w:textAlignment w:val="top"/>
      <w:outlineLvl w:val="0"/>
    </w:pPr>
    <w:rPr>
      <w:position w:val="-1"/>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rsid w:val="00C21592"/>
    <w:tblPr>
      <w:tblStyleRowBandSize w:val="1"/>
      <w:tblStyleColBandSize w:val="1"/>
      <w:tblInd w:w="0" w:type="nil"/>
    </w:tblPr>
  </w:style>
  <w:style w:type="table" w:styleId="a0" w:customStyle="1">
    <w:basedOn w:val="TableNormal"/>
    <w:rsid w:val="00C21592"/>
    <w:tblPr>
      <w:tblStyleRowBandSize w:val="1"/>
      <w:tblStyleColBandSize w:val="1"/>
      <w:tblInd w:w="0" w:type="nil"/>
    </w:tblPr>
  </w:style>
  <w:style w:type="character" w:styleId="CommentReference">
    <w:name w:val="annotation reference"/>
    <w:basedOn w:val="DefaultParagraphFont"/>
    <w:uiPriority w:val="99"/>
    <w:semiHidden/>
    <w:unhideWhenUsed/>
    <w:rsid w:val="008426F1"/>
    <w:rPr>
      <w:sz w:val="16"/>
      <w:szCs w:val="16"/>
    </w:rPr>
  </w:style>
  <w:style w:type="paragraph" w:styleId="CommentText">
    <w:name w:val="annotation text"/>
    <w:basedOn w:val="Normal"/>
    <w:link w:val="CommentTextChar"/>
    <w:uiPriority w:val="99"/>
    <w:semiHidden/>
    <w:unhideWhenUsed/>
    <w:rsid w:val="008426F1"/>
    <w:pPr>
      <w:spacing w:line="240" w:lineRule="auto"/>
    </w:pPr>
    <w:rPr>
      <w:sz w:val="20"/>
      <w:szCs w:val="20"/>
    </w:rPr>
  </w:style>
  <w:style w:type="character" w:styleId="CommentTextChar" w:customStyle="1">
    <w:name w:val="Comment Text Char"/>
    <w:basedOn w:val="DefaultParagraphFont"/>
    <w:link w:val="CommentText"/>
    <w:uiPriority w:val="99"/>
    <w:semiHidden/>
    <w:rsid w:val="008426F1"/>
    <w:rPr>
      <w:position w:val="-1"/>
      <w:sz w:val="20"/>
      <w:szCs w:val="20"/>
      <w:lang w:eastAsia="pt-PT"/>
    </w:rPr>
  </w:style>
  <w:style w:type="paragraph" w:styleId="CommentSubject">
    <w:name w:val="annotation subject"/>
    <w:basedOn w:val="CommentText"/>
    <w:next w:val="CommentText"/>
    <w:link w:val="CommentSubjectChar"/>
    <w:uiPriority w:val="99"/>
    <w:semiHidden/>
    <w:unhideWhenUsed/>
    <w:rsid w:val="008426F1"/>
    <w:rPr>
      <w:b/>
      <w:bCs/>
    </w:rPr>
  </w:style>
  <w:style w:type="character" w:styleId="CommentSubjectChar" w:customStyle="1">
    <w:name w:val="Comment Subject Char"/>
    <w:basedOn w:val="CommentTextChar"/>
    <w:link w:val="CommentSubject"/>
    <w:uiPriority w:val="99"/>
    <w:semiHidden/>
    <w:rsid w:val="008426F1"/>
    <w:rPr>
      <w:b/>
      <w:bCs/>
      <w:position w:val="-1"/>
      <w:sz w:val="20"/>
      <w:szCs w:val="20"/>
      <w:lang w:eastAsia="pt-PT"/>
    </w:rPr>
  </w:style>
  <w:style w:type="paragraph" w:styleId="BalloonText">
    <w:name w:val="Balloon Text"/>
    <w:basedOn w:val="Normal"/>
    <w:link w:val="BalloonTextChar"/>
    <w:uiPriority w:val="99"/>
    <w:semiHidden/>
    <w:unhideWhenUsed/>
    <w:rsid w:val="008426F1"/>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8426F1"/>
    <w:rPr>
      <w:rFonts w:ascii="Tahoma" w:hAnsi="Tahoma" w:cs="Tahoma"/>
      <w:position w:val="-1"/>
      <w:sz w:val="16"/>
      <w:szCs w:val="16"/>
      <w:lang w:eastAsia="pt-PT"/>
    </w:rPr>
  </w:style>
  <w:style w:type="table" w:styleId="a1" w:customStyle="1">
    <w:basedOn w:val="TableNormal"/>
    <w:tblPr>
      <w:tblStyleRowBandSize w:val="1"/>
      <w:tblStyleColBandSize w:val="1"/>
      <w:tblInd w:w="0" w:type="nil"/>
    </w:tblPr>
  </w:style>
  <w:style w:type="table" w:styleId="a2" w:customStyle="1">
    <w:basedOn w:val="TableNormal"/>
    <w:tblPr>
      <w:tblStyleRowBandSize w:val="1"/>
      <w:tblStyleColBandSize w:val="1"/>
      <w:tblInd w:w="0" w:type="nil"/>
    </w:tblPr>
  </w:style>
  <w:style w:type="character" w:styleId="apple-converted-space" w:customStyle="1">
    <w:name w:val="apple-converted-space"/>
    <w:basedOn w:val="DefaultParagraphFont"/>
    <w:rsid w:val="006D44AF"/>
  </w:style>
  <w:style w:type="character" w:styleId="Strong">
    <w:name w:val="Strong"/>
    <w:basedOn w:val="DefaultParagraphFont"/>
    <w:uiPriority w:val="22"/>
    <w:qFormat/>
    <w:rsid w:val="006D44AF"/>
    <w:rPr>
      <w:b/>
      <w:bCs/>
    </w:rPr>
  </w:style>
  <w:style w:type="character" w:styleId="Emphasis">
    <w:name w:val="Emphasis"/>
    <w:basedOn w:val="DefaultParagraphFont"/>
    <w:uiPriority w:val="20"/>
    <w:qFormat/>
    <w:rsid w:val="006D44AF"/>
    <w:rPr>
      <w:i/>
      <w:iCs/>
    </w:rPr>
  </w:style>
  <w:style w:type="table" w:styleId="TableNormal1" w:customStyle="1">
    <w:name w:val="Table Normal1"/>
    <w:rsid w:val="00243EBA"/>
    <w:tblPr>
      <w:tblCellMar>
        <w:top w:w="0" w:type="dxa"/>
        <w:left w:w="0" w:type="dxa"/>
        <w:bottom w:w="0" w:type="dxa"/>
        <w:right w:w="0" w:type="dxa"/>
      </w:tblCellMar>
    </w:tblPr>
  </w:style>
  <w:style w:type="table" w:styleId="TableNormal2" w:customStyle="1">
    <w:name w:val="Table Normal2"/>
    <w:rsid w:val="00243EBA"/>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92103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&#65279;<?xml version="1.0" encoding="utf-8"?><Relationships xmlns="http://schemas.openxmlformats.org/package/2006/relationships"><Relationship Type="http://schemas.openxmlformats.org/officeDocument/2006/relationships/hyperlink" Target="mailto:fidelis.pjoao@gmail.com" TargetMode="External" Id="rId8" /><Relationship Type="http://schemas.openxmlformats.org/officeDocument/2006/relationships/header" Target="header3.xml" Id="rId13" /><Relationship Type="http://schemas.openxmlformats.org/officeDocument/2006/relationships/hyperlink" Target="https://pubmed.ncbi.nlm.nih.gov/27997686/" TargetMode="External" Id="rId18" /><Relationship Type="http://schemas.openxmlformats.org/officeDocument/2006/relationships/hyperlink" Target="https://pubmed.ncbi.nlm.nih.gov/31743986/" TargetMode="External" Id="rId26" /><Relationship Type="http://schemas.openxmlformats.org/officeDocument/2006/relationships/styles" Target="styles.xml" Id="rId3" /><Relationship Type="http://schemas.openxmlformats.org/officeDocument/2006/relationships/hyperlink" Target="https://doi.org/10.3389/fncel.2017.00045" TargetMode="External" Id="rId21"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hyperlink" Target="https://doi.org/10.1002/mus.25516" TargetMode="External" Id="rId17" /><Relationship Type="http://schemas.openxmlformats.org/officeDocument/2006/relationships/hyperlink" Target="https://doi.org/10.3233/BMR-191518" TargetMode="External" Id="rId25" /><Relationship Type="http://schemas.openxmlformats.org/officeDocument/2006/relationships/numbering" Target="numbering.xml" Id="rId2" /><Relationship Type="http://schemas.openxmlformats.org/officeDocument/2006/relationships/hyperlink" Target="https://jamanetwork.com/journals/jamaneurology/fullarticle/2779593" TargetMode="External" Id="rId16" /><Relationship Type="http://schemas.openxmlformats.org/officeDocument/2006/relationships/hyperlink" Target="https://onlinelibrary.wiley.com/doi/epdf/10.1002/mus.26159" TargetMode="External" Id="rId20" /><Relationship Type="http://schemas.openxmlformats.org/officeDocument/2006/relationships/footer" Target="footer4.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hyperlink" Target="https://doi.org/10.1111/jpc.16536" TargetMode="External" Id="rId24" /><Relationship Type="http://schemas.openxmlformats.org/officeDocument/2006/relationships/webSettings" Target="webSettings.xml" Id="rId5" /><Relationship Type="http://schemas.openxmlformats.org/officeDocument/2006/relationships/hyperlink" Target="https://doi.org/10.1001/jamaneurol.2021.1008" TargetMode="External" Id="rId15" /><Relationship Type="http://schemas.openxmlformats.org/officeDocument/2006/relationships/hyperlink" Target="https://doi.org/10.1111/jpc.16536" TargetMode="External" Id="rId23" /><Relationship Type="http://schemas.openxmlformats.org/officeDocument/2006/relationships/header" Target="header2.xml" Id="rId10" /><Relationship Type="http://schemas.openxmlformats.org/officeDocument/2006/relationships/hyperlink" Target="https://doi.org/10.1002/mus.26159" TargetMode="External" Id="rId19" /><Relationship Type="http://schemas.openxmlformats.org/officeDocument/2006/relationships/theme" Target="theme/theme1.xml" Id="rId31"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pubmed.ncbi.nlm.nih.gov/28289377/" TargetMode="External" Id="rId22" /><Relationship Type="http://schemas.openxmlformats.org/officeDocument/2006/relationships/hyperlink" Target="https://portal.secad.artmed.com.br/artigo/a-perspectiva-da-funcionalidade-em-criancas-e-adolescentes-com-disfuncoes-neuromotoras-um-olhar" TargetMode="External" Id="rId27" /><Relationship Type="http://schemas.openxmlformats.org/officeDocument/2006/relationships/fontTable" Target="fontTable.xml" Id="rId30" /><Relationship Type="http://schemas.openxmlformats.org/officeDocument/2006/relationships/hyperlink" Target="https://bjcasereports.com.br/index.php/bjcr/article/view/doencas_desmielinizantes_do_sistema_nervoso_central_estado_da_ar" TargetMode="External" Id="R7aaa37b9a4124c45" /><Relationship Type="http://schemas.openxmlformats.org/officeDocument/2006/relationships/hyperlink" Target="mailto:Dayanna.ingrid.marinho@gmail.com" TargetMode="External" Id="R2ea4c82783e5482c" /><Relationship Type="http://schemas.openxmlformats.org/officeDocument/2006/relationships/hyperlink" Target="mailto:Cristinabarreto@fiponline.edu.br" TargetMode="External" Id="R018392889f914edc"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QerBC8DbmF+4ht8hOga+5CQHVw==">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Ana Rita Sulz</dc:creator>
  <keywords/>
  <lastModifiedBy>João Gomes</lastModifiedBy>
  <revision>12</revision>
  <dcterms:created xsi:type="dcterms:W3CDTF">2025-04-04T21:12:00.0000000Z</dcterms:created>
  <dcterms:modified xsi:type="dcterms:W3CDTF">2025-05-03T00:36:49.4654786Z</dcterms:modified>
</coreProperties>
</file>