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rPr>
      </w:pPr>
      <w:r w:rsidDel="00000000" w:rsidR="00000000" w:rsidRPr="00000000">
        <w:rPr>
          <w:rFonts w:ascii="Arial" w:cs="Arial" w:eastAsia="Arial" w:hAnsi="Arial"/>
          <w:b w:val="1"/>
          <w:sz w:val="28"/>
          <w:szCs w:val="28"/>
          <w:rtl w:val="0"/>
        </w:rPr>
        <w:t xml:space="preserve">GOVERNANÇA EMPRESARIAL NA EDUCAÇÃO: A ATUAÇÃO DO CIEB NA DEFINIÇÃO E IMPLEMENTAÇÃO DE POLÍTICAS PARA O USO DE TECNOLOGIAS NA EDUCAÇÃO BÁSICA</w:t>
      </w:r>
      <w:r w:rsidDel="00000000" w:rsidR="00000000" w:rsidRPr="00000000">
        <w:rPr>
          <w:rtl w:val="0"/>
        </w:rPr>
      </w:r>
    </w:p>
    <w:p w:rsidR="00000000" w:rsidDel="00000000" w:rsidP="00000000" w:rsidRDefault="00000000" w:rsidRPr="00000000" w14:paraId="0000000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Resumo: </w:t>
      </w:r>
      <w:r w:rsidDel="00000000" w:rsidR="00000000" w:rsidRPr="00000000">
        <w:rPr>
          <w:rFonts w:ascii="Times New Roman" w:cs="Times New Roman" w:eastAsia="Times New Roman" w:hAnsi="Times New Roman"/>
          <w:rtl w:val="0"/>
        </w:rPr>
        <w:t xml:space="preserve">Este trabalho investiga a influência do setor privado na implementação de políticas públicas voltadas para o uso tecnologias digitais na educação básica, com foco no papel do Centro de Inovação para a Educação Brasileira (Cieb)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sua relação com a Fundação Ceibal</w:t>
      </w:r>
      <w:r w:rsidDel="00000000" w:rsidR="00000000" w:rsidRPr="00000000">
        <w:rPr>
          <w:rFonts w:ascii="Times New Roman" w:cs="Times New Roman" w:eastAsia="Times New Roman" w:hAnsi="Times New Roman"/>
          <w:rtl w:val="0"/>
        </w:rPr>
        <w:t xml:space="preserve">. O percurso metodológico utilizado é do tipo bibliográfico e documental. A pesquisa explora como o Cieb atua como um braço do setor privado na promoção da </w:t>
      </w:r>
      <w:r w:rsidDel="00000000" w:rsidR="00000000" w:rsidRPr="00000000">
        <w:rPr>
          <w:rFonts w:ascii="Times New Roman" w:cs="Times New Roman" w:eastAsia="Times New Roman" w:hAnsi="Times New Roman"/>
          <w:rtl w:val="0"/>
        </w:rPr>
        <w:t xml:space="preserve">digitalização</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da educação, colaborando com diversas organizações privadas e públicas na concepção e implementação de políticas públicas para este setor, como o Programa de Inovação Educação Conectada e o PDDE Qualidade: Educação Conectada. Os resultados permitem afirmar que longe de um fenômeno neutro, a “educação conectada” está inserida em uma dinâmica transnacional que fortalece a influência do setor privado na definição das diretrizes educacionais.</w:t>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Políticas Públicas; Cieb; Privatização e Educação.</w:t>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Introdução: </w:t>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60"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campo da educação, a chegada das Tecnologias Digitais de Informação e Comunicação (Tdic) começou a ganhar força no final dos anos 1980, nos Estados Unidos. Na década seguinte, essa transformação se expandiu pela Europa, impulsionada pela criação de um mercado voltado exclusivamente para novas tecnologias educacionais (Laval, 2019).</w:t>
      </w:r>
    </w:p>
    <w:p w:rsidR="00000000" w:rsidDel="00000000" w:rsidP="00000000" w:rsidRDefault="00000000" w:rsidRPr="00000000" w14:paraId="0000000C">
      <w:pPr>
        <w:spacing w:after="0" w:line="360"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longo do tempo, a expansão e fortalecimento desse segmento ocorreu de forma exponencial, em torno do qual se ergueu uma governança em rede com enorme poder de influência sobre a política pública de tecnologias digitais na educação. Segundo Ball (2007, p. 114), a governança em rede, promovida pelo neoliberalismo, cria arranjos híbridos que envolvem uma mistura de organizações públicas e privadas, estas formadas por empresas e instituições que podem atuar como parceiras ou influenciadoras no processo de formulação e execução das políticas, além de organismos internacionais e instituições financeiras.</w:t>
      </w:r>
    </w:p>
    <w:p w:rsidR="00000000" w:rsidDel="00000000" w:rsidP="00000000" w:rsidRDefault="00000000" w:rsidRPr="00000000" w14:paraId="0000000D">
      <w:pPr>
        <w:spacing w:after="0" w:line="360"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fenômeno é especialmente notável na América Latina, onde iniciativas </w:t>
      </w:r>
      <w:r w:rsidDel="00000000" w:rsidR="00000000" w:rsidRPr="00000000">
        <w:rPr>
          <w:rFonts w:ascii="Times New Roman" w:cs="Times New Roman" w:eastAsia="Times New Roman" w:hAnsi="Times New Roman"/>
          <w:rtl w:val="0"/>
        </w:rPr>
        <w:t xml:space="preserve">como a Fundação Ceibal,</w:t>
      </w:r>
      <w:r w:rsidDel="00000000" w:rsidR="00000000" w:rsidRPr="00000000">
        <w:rPr>
          <w:rFonts w:ascii="Times New Roman" w:cs="Times New Roman" w:eastAsia="Times New Roman" w:hAnsi="Times New Roman"/>
          <w:rtl w:val="0"/>
        </w:rPr>
        <w:t xml:space="preserve"> no Uruguai, e o Centro de Inovação para a Educação Brasileira (Cieb), no Brasil, desempenham um papel central na definição  de políticas públicas voltadas para o uso de tecnologias digitais na educação.</w:t>
      </w:r>
    </w:p>
    <w:p w:rsidR="00000000" w:rsidDel="00000000" w:rsidP="00000000" w:rsidRDefault="00000000" w:rsidRPr="00000000" w14:paraId="0000000E">
      <w:pPr>
        <w:shd w:fill="ffffff" w:val="clear"/>
        <w:spacing w:after="0" w:line="360" w:lineRule="auto"/>
        <w:ind w:firstLine="850.393700787401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 este contexto de transformações, este trabalho investiga a influência do setor privado, representado pelo Cieb, na implementação de políticas públicas voltadas para o uso de tecnologias digitais na educação básica, com ênfase na sua materialização por meio do Programa de Inovação Educação Conectada e do PDDE Qualidade: Educação Conectada.</w:t>
      </w:r>
    </w:p>
    <w:p w:rsidR="00000000" w:rsidDel="00000000" w:rsidP="00000000" w:rsidRDefault="00000000" w:rsidRPr="00000000" w14:paraId="0000000F">
      <w:pPr>
        <w:shd w:fill="ffffff" w:val="clear"/>
        <w:spacing w:after="0" w:line="360" w:lineRule="auto"/>
        <w:ind w:firstLine="850.393700787401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hd w:fill="ffffff" w:val="clear"/>
        <w:spacing w:after="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Metodologia:</w:t>
      </w:r>
    </w:p>
    <w:p w:rsidR="00000000" w:rsidDel="00000000" w:rsidP="00000000" w:rsidRDefault="00000000" w:rsidRPr="00000000" w14:paraId="00000011">
      <w:pPr>
        <w:shd w:fill="ffffff" w:val="clear"/>
        <w:spacing w:after="0" w:line="360" w:lineRule="auto"/>
        <w:ind w:firstLine="850.393700787401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metodologia adotada neste estudo é de caráter bibliográfico e documental.  As principais fontes utilizadas neste estudo incluíram obras teóricas sobre neoliberalismo, redes políticas e </w:t>
      </w:r>
      <w:r w:rsidDel="00000000" w:rsidR="00000000" w:rsidRPr="00000000">
        <w:rPr>
          <w:rFonts w:ascii="Times New Roman" w:cs="Times New Roman" w:eastAsia="Times New Roman" w:hAnsi="Times New Roman"/>
          <w:rtl w:val="0"/>
        </w:rPr>
        <w:t xml:space="preserve">plataformização</w:t>
      </w:r>
      <w:r w:rsidDel="00000000" w:rsidR="00000000" w:rsidRPr="00000000">
        <w:rPr>
          <w:rFonts w:ascii="Times New Roman" w:cs="Times New Roman" w:eastAsia="Times New Roman" w:hAnsi="Times New Roman"/>
          <w:rtl w:val="0"/>
        </w:rPr>
        <w:t xml:space="preserve"> da educação. Com base nos objetivos deste trabalho foram realizadas análises de relatórios disponibilizados nos sites da </w:t>
      </w:r>
      <w:r w:rsidDel="00000000" w:rsidR="00000000" w:rsidRPr="00000000">
        <w:rPr>
          <w:rFonts w:ascii="Times New Roman" w:cs="Times New Roman" w:eastAsia="Times New Roman" w:hAnsi="Times New Roman"/>
          <w:rtl w:val="0"/>
        </w:rPr>
        <w:t xml:space="preserve">Fundação Ceibal</w:t>
      </w:r>
      <w:r w:rsidDel="00000000" w:rsidR="00000000" w:rsidRPr="00000000">
        <w:rPr>
          <w:rFonts w:ascii="Times New Roman" w:cs="Times New Roman" w:eastAsia="Times New Roman" w:hAnsi="Times New Roman"/>
          <w:rtl w:val="0"/>
        </w:rPr>
        <w:t xml:space="preserve"> e do Cieb, bem como documentos do Ministério da Educação.</w:t>
      </w:r>
    </w:p>
    <w:p w:rsidR="00000000" w:rsidDel="00000000" w:rsidP="00000000" w:rsidRDefault="00000000" w:rsidRPr="00000000" w14:paraId="00000012">
      <w:pPr>
        <w:shd w:fill="ffffff" w:val="clear"/>
        <w:spacing w:after="0" w:line="360" w:lineRule="auto"/>
        <w:ind w:firstLine="850.393700787401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hd w:fill="ffffff" w:val="clear"/>
        <w:spacing w:after="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Análise e discussão dos resultados:</w:t>
      </w:r>
    </w:p>
    <w:p w:rsidR="00000000" w:rsidDel="00000000" w:rsidP="00000000" w:rsidRDefault="00000000" w:rsidRPr="00000000" w14:paraId="00000014">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analisar o percurso traçado pelo Cieb na implementação da Política de Inovação e Educação Conectada, foi possível observar que este tem suas raízes em 2016, ano de criação do Cieb,  com o lançamento do Guia Edutech Diagnóstico, que consiste em uma ferramenta digital que verifica o nível de adoção de tecnologias nas escolas públicas. Segundo o Cieb (2022), “a ferramenta foi utilizada em 2016, por 14 redes de ensino estaduais e o Distrito Federal em parceria com o Consed”, o que confirma as análises documentais realizadas.</w:t>
      </w:r>
    </w:p>
    <w:p w:rsidR="00000000" w:rsidDel="00000000" w:rsidP="00000000" w:rsidRDefault="00000000" w:rsidRPr="00000000" w14:paraId="00000015">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em 2016, o Cieb publica o seu primeiro estudo encomendado, em que realiza um mapeamento de programas e linhas que poderiam financiar ações voltadas para o uso de tecnologias. Nesse sentido, pode-se dizer que a criação do Guia Edutech diagnóstico e o estudo de mapeamento de programas e linhas de financiamento foram o pontapé inicial que consolidou a influência do Cieb no que tange às políticas voltadas para a educação básica.</w:t>
      </w:r>
    </w:p>
    <w:p w:rsidR="00000000" w:rsidDel="00000000" w:rsidP="00000000" w:rsidRDefault="00000000" w:rsidRPr="00000000" w14:paraId="00000016">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influência na formulação de políticas públicas voltadas para o setor educacional se materializa em diversas iniciativas como: Base Nacional Comum Curricular (BNCC) e o </w:t>
      </w:r>
      <w:r w:rsidDel="00000000" w:rsidR="00000000" w:rsidRPr="00000000">
        <w:rPr>
          <w:rFonts w:ascii="Times New Roman" w:cs="Times New Roman" w:eastAsia="Times New Roman" w:hAnsi="Times New Roman"/>
          <w:rtl w:val="0"/>
        </w:rPr>
        <w:t xml:space="preserve">Programa de Inovação Educação Conectada</w:t>
      </w:r>
      <w:r w:rsidDel="00000000" w:rsidR="00000000" w:rsidRPr="00000000">
        <w:rPr>
          <w:rFonts w:ascii="Times New Roman" w:cs="Times New Roman" w:eastAsia="Times New Roman" w:hAnsi="Times New Roman"/>
          <w:rtl w:val="0"/>
        </w:rPr>
        <w:t xml:space="preserve">, sendo este último o foco deste trabalho, que foi instituído pelo Decreto nº 9.204, de 23 de novembro de 2017 e que tem como objetivo</w:t>
      </w:r>
      <w:r w:rsidDel="00000000" w:rsidR="00000000" w:rsidRPr="00000000">
        <w:rPr>
          <w:rFonts w:ascii="Times New Roman" w:cs="Times New Roman" w:eastAsia="Times New Roman" w:hAnsi="Times New Roman"/>
          <w:color w:val="4a86e8"/>
          <w:rtl w:val="0"/>
        </w:rPr>
        <w:t xml:space="preserve"> </w:t>
      </w:r>
      <w:r w:rsidDel="00000000" w:rsidR="00000000" w:rsidRPr="00000000">
        <w:rPr>
          <w:rFonts w:ascii="Times New Roman" w:cs="Times New Roman" w:eastAsia="Times New Roman" w:hAnsi="Times New Roman"/>
          <w:rtl w:val="0"/>
        </w:rPr>
        <w:t xml:space="preserve">“expandir o acesso à internet nas escolas públicas e integrar o uso de tecnologias digitais ao cotidiano educacional” (Brasil, 2017). Como se pode observar, as redes de política influenciam as definições das prioridades da educação e, por meio da própria atividade reguladora do Estado, operam interesses econômicos e privatizantes que impactam diretamente as políticas educacionais. </w:t>
      </w:r>
    </w:p>
    <w:p w:rsidR="00000000" w:rsidDel="00000000" w:rsidP="00000000" w:rsidRDefault="00000000" w:rsidRPr="00000000" w14:paraId="00000017">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em 2018, o Cieb assumiu um papel estratégico ao prestar assessoria técnica para o programa BNDES: Educação Conectada - Implementação e Uso de Tecnologias Digitais na Educação, uma iniciativa do Banco Nacional de Desenvolvimento Econômico e Social (BNDES) em parceria com o MEC. Como resultado dessa atuação, a ferramenta foi utilizada em mais de 20 mil escolas em todo o país, abrangendo todas as redes estaduais de ensino, o Distrito Federal e algumas redes municipais.</w:t>
      </w:r>
    </w:p>
    <w:p w:rsidR="00000000" w:rsidDel="00000000" w:rsidP="00000000" w:rsidRDefault="00000000" w:rsidRPr="00000000" w14:paraId="00000018">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ano de 2019, por meio da parceria com o Ministério da Educação (MEC), a ferramenta foi integrada ao Sistema Integrado de Monitoramento, Execução e Controle (Simec), sendo acessada e respondida por mais de 80 mil escolas públicas em todo o país. </w:t>
      </w:r>
    </w:p>
    <w:p w:rsidR="00000000" w:rsidDel="00000000" w:rsidP="00000000" w:rsidRDefault="00000000" w:rsidRPr="00000000" w14:paraId="00000019">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forma, o Guia Edutec Diagnóstico não apenas se consolidou no Brasil como também tornou-se uma referência internacional no uso de tecnologias educacionais, ampliando a influência do Cieb e de seus parceiros na promoção de políticas de cultura e inovação do ensino em escala global. </w:t>
      </w:r>
    </w:p>
    <w:p w:rsidR="00000000" w:rsidDel="00000000" w:rsidP="00000000" w:rsidRDefault="00000000" w:rsidRPr="00000000" w14:paraId="0000001A">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somente em 2021, num contexto em que o Brasil ainda buscava se reerguer da Pandemia da Covid-19 e a maioria das escolas ainda estavam funcionando na modalidade de aulas remotas, que por meio da Lei nº 14.180, de 1º de julho de 2021 (Brasil, 2021), a Política de Inovação e Educação Conectada é institucionalizada, conferindo caráter permanente às ações e reforçando a presença das tecnologias digitais como eixo estruturante da educação pública.</w:t>
      </w:r>
    </w:p>
    <w:p w:rsidR="00000000" w:rsidDel="00000000" w:rsidP="00000000" w:rsidRDefault="00000000" w:rsidRPr="00000000" w14:paraId="0000001B">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Nessa direção, a atuação do Cieb se insere em um contexto político mais amplo, integrando o Comitê Interministerial para a Transformação Digital, instituído pelo Decreto nº 12.308, de 11 de dezembro de 2024, que reforça a participação de atores privados na condução desse processo, aproximando a gestão educacional dos interesses mercadológicos do setor tecnológico. Isso evidencia como as redes políticas atuam na validação de novos discursos políticos e na viabilização de novas formas de influência política, necessárias à manutenção da hegemonia (Ball, 2008, p. 747). </w:t>
      </w:r>
    </w:p>
    <w:p w:rsidR="00000000" w:rsidDel="00000000" w:rsidP="00000000" w:rsidRDefault="00000000" w:rsidRPr="00000000" w14:paraId="0000001C">
      <w:pPr>
        <w:widowControl w:val="0"/>
        <w:spacing w:after="0" w:line="360" w:lineRule="auto"/>
        <w:ind w:firstLine="851"/>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presença do Cieb nos aparelhos de Estado e a demasiada relevância que o setor privado possui a ponto de conseguir articular e formular a implementação de uma política pública em um país, como o Brasil, pode ser comprovada por meio do PDDE Qualidade: Educação Conectada, no qual o Guia Edutech foi incorporado como etapa de diagnóstico da Plataforma Digital do PDDE (Cieb, 2022).</w:t>
      </w:r>
    </w:p>
    <w:p w:rsidR="00000000" w:rsidDel="00000000" w:rsidP="00000000" w:rsidRDefault="00000000" w:rsidRPr="00000000" w14:paraId="0000001D">
      <w:pPr>
        <w:widowControl w:val="0"/>
        <w:spacing w:after="0" w:line="360" w:lineRule="auto"/>
        <w:ind w:firstLine="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atuação do Cieb como um braço do setor privado na implementação de políticas públicas voltadas para educação básica brasileira </w:t>
      </w:r>
      <w:r w:rsidDel="00000000" w:rsidR="00000000" w:rsidRPr="00000000">
        <w:rPr>
          <w:rFonts w:ascii="Times New Roman" w:cs="Times New Roman" w:eastAsia="Times New Roman" w:hAnsi="Times New Roman"/>
          <w:rtl w:val="0"/>
        </w:rPr>
        <w:t xml:space="preserve">e sua atuação em rede com a Fundação Ceibal</w:t>
      </w:r>
      <w:r w:rsidDel="00000000" w:rsidR="00000000" w:rsidRPr="00000000">
        <w:rPr>
          <w:rFonts w:ascii="Times New Roman" w:cs="Times New Roman" w:eastAsia="Times New Roman" w:hAnsi="Times New Roman"/>
          <w:rtl w:val="0"/>
        </w:rPr>
        <w:t xml:space="preserve"> expõe o projeto neoliberal voltado à mercantilização do ensino das escolas públicas e o plano em curso na América Latina, que limita a autonomia das instituições educacionais ao condicionar a transferência de recursos para aquisição de tecnologias digitais à adesão a programas como o </w:t>
      </w:r>
      <w:r w:rsidDel="00000000" w:rsidR="00000000" w:rsidRPr="00000000">
        <w:rPr>
          <w:rFonts w:ascii="Times New Roman" w:cs="Times New Roman" w:eastAsia="Times New Roman" w:hAnsi="Times New Roman"/>
          <w:highlight w:val="white"/>
          <w:rtl w:val="0"/>
        </w:rPr>
        <w:t xml:space="preserve">PDDE Qualidade: Educação Conectada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widowControl w:val="0"/>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Considerações Finais:</w:t>
      </w:r>
    </w:p>
    <w:p w:rsidR="00000000" w:rsidDel="00000000" w:rsidP="00000000" w:rsidRDefault="00000000" w:rsidRPr="00000000" w14:paraId="00000020">
      <w:pPr>
        <w:widowControl w:val="0"/>
        <w:spacing w:after="0" w:line="360" w:lineRule="auto"/>
        <w:ind w:firstLine="850.393700787401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pesquisa realizada evidenciou a atuação estratégica do Cieb na implementação de políticas públicas voltadas para o uso de tecnologias digitais na educação básica no Brasil, na medida em que produz  diagnósticos, gera necessidades e propõe soluções para ampliar os negócios neste setor. A rede de governança que mobiliza a introdução de tecnologias digitais na gestão e no processo de ensino-aprendizagem configura um modelo transnacional de influência sobre as políticas educacionais, inserindo a educação brasileira em um movimento global de </w:t>
      </w:r>
      <w:r w:rsidDel="00000000" w:rsidR="00000000" w:rsidRPr="00000000">
        <w:rPr>
          <w:rFonts w:ascii="Times New Roman" w:cs="Times New Roman" w:eastAsia="Times New Roman" w:hAnsi="Times New Roman"/>
          <w:rtl w:val="0"/>
        </w:rPr>
        <w:t xml:space="preserve">plataformização</w:t>
      </w:r>
      <w:r w:rsidDel="00000000" w:rsidR="00000000" w:rsidRPr="00000000">
        <w:rPr>
          <w:rFonts w:ascii="Times New Roman" w:cs="Times New Roman" w:eastAsia="Times New Roman" w:hAnsi="Times New Roman"/>
          <w:rtl w:val="0"/>
        </w:rPr>
        <w:t xml:space="preserve"> e mercantilização do ensino.</w:t>
      </w:r>
    </w:p>
    <w:p w:rsidR="00000000" w:rsidDel="00000000" w:rsidP="00000000" w:rsidRDefault="00000000" w:rsidRPr="00000000" w14:paraId="00000021">
      <w:pPr>
        <w:widowControl w:val="0"/>
        <w:spacing w:after="0" w:line="360" w:lineRule="auto"/>
        <w:ind w:firstLine="850.393700787401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 influência política dessa governança em rede se evidencia por meio da institucionalização do Programa Inovação e Educação Conectada e do PDDE Qualidade: Educação Conectada, </w:t>
      </w:r>
      <w:r w:rsidDel="00000000" w:rsidR="00000000" w:rsidRPr="00000000">
        <w:rPr>
          <w:rFonts w:ascii="Times New Roman" w:cs="Times New Roman" w:eastAsia="Times New Roman" w:hAnsi="Times New Roman"/>
          <w:highlight w:val="white"/>
          <w:rtl w:val="0"/>
        </w:rPr>
        <w:t xml:space="preserve">no qual o Guia Edutech foi incorporado como etapa de diagnóstico do PDDE Interativo.</w:t>
      </w:r>
    </w:p>
    <w:p w:rsidR="00000000" w:rsidDel="00000000" w:rsidP="00000000" w:rsidRDefault="00000000" w:rsidRPr="00000000" w14:paraId="00000022">
      <w:pPr>
        <w:widowControl w:val="0"/>
        <w:spacing w:after="0" w:line="360" w:lineRule="auto"/>
        <w:ind w:firstLine="850.393700787401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spacing w:after="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REFERÊNCIAS</w:t>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BALL, Stephen John. </w:t>
      </w:r>
      <w:r w:rsidDel="00000000" w:rsidR="00000000" w:rsidRPr="00000000">
        <w:rPr>
          <w:rFonts w:ascii="Times New Roman" w:cs="Times New Roman" w:eastAsia="Times New Roman" w:hAnsi="Times New Roman"/>
          <w:b w:val="1"/>
          <w:rtl w:val="0"/>
        </w:rPr>
        <w:t xml:space="preserve">Education plc:</w:t>
      </w:r>
      <w:r w:rsidDel="00000000" w:rsidR="00000000" w:rsidRPr="00000000">
        <w:rPr>
          <w:rFonts w:ascii="Times New Roman" w:cs="Times New Roman" w:eastAsia="Times New Roman" w:hAnsi="Times New Roman"/>
          <w:rtl w:val="0"/>
        </w:rPr>
        <w:t xml:space="preserve"> Understanding private sector participation in public sector education. Abingdon, UK: Routledge, 2007. </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hd w:fill="ffffff" w:val="clear"/>
        <w:spacing w:after="0" w:line="240" w:lineRule="auto"/>
        <w:ind w:right="-5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w:t>
      </w:r>
      <w:hyperlink r:id="rId7">
        <w:r w:rsidDel="00000000" w:rsidR="00000000" w:rsidRPr="00000000">
          <w:rPr>
            <w:rFonts w:ascii="Times New Roman" w:cs="Times New Roman" w:eastAsia="Times New Roman" w:hAnsi="Times New Roman"/>
            <w:highlight w:val="white"/>
            <w:rtl w:val="0"/>
          </w:rPr>
          <w:t xml:space="preserve">Decreto nº 9.204, de 23 de novembro de 2017</w:t>
        </w:r>
      </w:hyperlink>
      <w:r w:rsidDel="00000000" w:rsidR="00000000" w:rsidRPr="00000000">
        <w:rPr>
          <w:rFonts w:ascii="Times New Roman" w:cs="Times New Roman" w:eastAsia="Times New Roman" w:hAnsi="Times New Roman"/>
          <w:rtl w:val="0"/>
        </w:rPr>
        <w:t xml:space="preserve">. Institui o programa de inovação educação conectada e dá outras providências. Brasília, DF: </w:t>
      </w:r>
      <w:r w:rsidDel="00000000" w:rsidR="00000000" w:rsidRPr="00000000">
        <w:rPr>
          <w:rFonts w:ascii="Times New Roman" w:cs="Times New Roman" w:eastAsia="Times New Roman" w:hAnsi="Times New Roman"/>
          <w:b w:val="1"/>
          <w:rtl w:val="0"/>
        </w:rPr>
        <w:t xml:space="preserve">Planalto</w:t>
      </w:r>
      <w:r w:rsidDel="00000000" w:rsidR="00000000" w:rsidRPr="00000000">
        <w:rPr>
          <w:rFonts w:ascii="Times New Roman" w:cs="Times New Roman" w:eastAsia="Times New Roman" w:hAnsi="Times New Roman"/>
          <w:rtl w:val="0"/>
        </w:rPr>
        <w:t xml:space="preserve">, 2017.  Disponível em: </w:t>
      </w:r>
      <w:hyperlink r:id="rId8">
        <w:r w:rsidDel="00000000" w:rsidR="00000000" w:rsidRPr="00000000">
          <w:rPr>
            <w:rFonts w:ascii="Times New Roman" w:cs="Times New Roman" w:eastAsia="Times New Roman" w:hAnsi="Times New Roman"/>
            <w:color w:val="1155cc"/>
            <w:u w:val="single"/>
            <w:rtl w:val="0"/>
          </w:rPr>
          <w:t xml:space="preserve">https://www.planalto.gov.br/ccivil_03/_Ato2015-2018/2017/Decreto/D9204.htm</w:t>
        </w:r>
      </w:hyperlink>
      <w:r w:rsidDel="00000000" w:rsidR="00000000" w:rsidRPr="00000000">
        <w:rPr>
          <w:rFonts w:ascii="Times New Roman" w:cs="Times New Roman" w:eastAsia="Times New Roman" w:hAnsi="Times New Roman"/>
          <w:rtl w:val="0"/>
        </w:rPr>
        <w:t xml:space="preserve">. Acesso em: 25 out. 2024.</w:t>
      </w:r>
    </w:p>
    <w:p w:rsidR="00000000" w:rsidDel="00000000" w:rsidP="00000000" w:rsidRDefault="00000000" w:rsidRPr="00000000" w14:paraId="00000027">
      <w:pPr>
        <w:shd w:fill="ffffff" w:val="clear"/>
        <w:spacing w:after="0" w:line="240" w:lineRule="auto"/>
        <w:ind w:right="-5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hd w:fill="ffffff" w:val="clear"/>
        <w:spacing w:after="0" w:line="240" w:lineRule="auto"/>
        <w:ind w:right="-5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w:t>
      </w:r>
      <w:hyperlink r:id="rId9">
        <w:r w:rsidDel="00000000" w:rsidR="00000000" w:rsidRPr="00000000">
          <w:rPr>
            <w:rFonts w:ascii="Times New Roman" w:cs="Times New Roman" w:eastAsia="Times New Roman" w:hAnsi="Times New Roman"/>
            <w:highlight w:val="white"/>
            <w:rtl w:val="0"/>
          </w:rPr>
          <w:t xml:space="preserve">Lei nº 14.180, de 1º de julho de 2021. Institui a política de inovação educação conectada. seção 1, Brasília, DF: </w:t>
        </w:r>
      </w:hyperlink>
      <w:hyperlink r:id="rId10">
        <w:r w:rsidDel="00000000" w:rsidR="00000000" w:rsidRPr="00000000">
          <w:rPr>
            <w:rFonts w:ascii="Times New Roman" w:cs="Times New Roman" w:eastAsia="Times New Roman" w:hAnsi="Times New Roman"/>
            <w:b w:val="1"/>
            <w:highlight w:val="white"/>
            <w:rtl w:val="0"/>
          </w:rPr>
          <w:t xml:space="preserve">Diário Oficial da União</w:t>
        </w:r>
      </w:hyperlink>
      <w:hyperlink r:id="rId11">
        <w:r w:rsidDel="00000000" w:rsidR="00000000" w:rsidRPr="00000000">
          <w:rPr>
            <w:rFonts w:ascii="Times New Roman" w:cs="Times New Roman" w:eastAsia="Times New Roman" w:hAnsi="Times New Roman"/>
            <w:highlight w:val="white"/>
            <w:rtl w:val="0"/>
          </w:rPr>
          <w:t xml:space="preserve">, 2021. Disponível em: </w:t>
        </w:r>
      </w:hyperlink>
      <w:hyperlink r:id="rId12">
        <w:r w:rsidDel="00000000" w:rsidR="00000000" w:rsidRPr="00000000">
          <w:rPr>
            <w:rFonts w:ascii="Times New Roman" w:cs="Times New Roman" w:eastAsia="Times New Roman" w:hAnsi="Times New Roman"/>
            <w:color w:val="1155cc"/>
            <w:u w:val="single"/>
            <w:rtl w:val="0"/>
          </w:rPr>
          <w:t xml:space="preserve">https://www.in.gov.br/en/web/dou/-/lei-n-14.180-de-1-de-julho-de-2021-329472130</w:t>
        </w:r>
      </w:hyperlink>
      <w:r w:rsidDel="00000000" w:rsidR="00000000" w:rsidRPr="00000000">
        <w:rPr>
          <w:rFonts w:ascii="Times New Roman" w:cs="Times New Roman" w:eastAsia="Times New Roman" w:hAnsi="Times New Roman"/>
          <w:rtl w:val="0"/>
        </w:rPr>
        <w:t xml:space="preserve">. Acesso em: 25 out. 2024.</w:t>
      </w:r>
    </w:p>
    <w:p w:rsidR="00000000" w:rsidDel="00000000" w:rsidP="00000000" w:rsidRDefault="00000000" w:rsidRPr="00000000" w14:paraId="00000029">
      <w:pPr>
        <w:shd w:fill="ffffff" w:val="clear"/>
        <w:spacing w:after="0" w:line="240" w:lineRule="auto"/>
        <w:ind w:right="-5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hd w:fill="ffffff" w:val="clear"/>
        <w:spacing w:after="0" w:line="240" w:lineRule="auto"/>
        <w:ind w:right="-5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DE INOVAÇÃO PARA A EDUCAÇÃO BRASILEIRA. </w:t>
      </w:r>
      <w:r w:rsidDel="00000000" w:rsidR="00000000" w:rsidRPr="00000000">
        <w:rPr>
          <w:rFonts w:ascii="Times New Roman" w:cs="Times New Roman" w:eastAsia="Times New Roman" w:hAnsi="Times New Roman"/>
          <w:b w:val="1"/>
          <w:rtl w:val="0"/>
        </w:rPr>
        <w:t xml:space="preserve">Relatório Guia Edutech: </w:t>
      </w:r>
      <w:r w:rsidDel="00000000" w:rsidR="00000000" w:rsidRPr="00000000">
        <w:rPr>
          <w:rFonts w:ascii="Times New Roman" w:cs="Times New Roman" w:eastAsia="Times New Roman" w:hAnsi="Times New Roman"/>
          <w:rtl w:val="0"/>
        </w:rPr>
        <w:t xml:space="preserve">diagnóstico do nível de adoção de tecnologias nas escolas públicas brasileiras. São Paulo: Cieb, 2022.  Disponível em: </w:t>
      </w:r>
      <w:hyperlink r:id="rId13">
        <w:r w:rsidDel="00000000" w:rsidR="00000000" w:rsidRPr="00000000">
          <w:rPr>
            <w:rFonts w:ascii="Times New Roman" w:cs="Times New Roman" w:eastAsia="Times New Roman" w:hAnsi="Times New Roman"/>
            <w:color w:val="1155cc"/>
            <w:u w:val="single"/>
            <w:rtl w:val="0"/>
          </w:rPr>
          <w:t xml:space="preserve">https://cieb.net.br/wp-content/uploads/2022/12/2022-12-12-Relatorio-Guia-Edutec.pdf</w:t>
        </w:r>
      </w:hyperlink>
      <w:r w:rsidDel="00000000" w:rsidR="00000000" w:rsidRPr="00000000">
        <w:rPr>
          <w:rFonts w:ascii="Times New Roman" w:cs="Times New Roman" w:eastAsia="Times New Roman" w:hAnsi="Times New Roman"/>
          <w:rtl w:val="0"/>
        </w:rPr>
        <w:t xml:space="preserve">. Acesso em: 28 mar. 2025. </w:t>
      </w:r>
    </w:p>
    <w:p w:rsidR="00000000" w:rsidDel="00000000" w:rsidP="00000000" w:rsidRDefault="00000000" w:rsidRPr="00000000" w14:paraId="0000002B">
      <w:pPr>
        <w:shd w:fill="ffffff" w:val="clear"/>
        <w:spacing w:after="0" w:line="240" w:lineRule="auto"/>
        <w:ind w:right="-5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hd w:fill="ffffff" w:val="clear"/>
        <w:spacing w:after="0" w:line="240" w:lineRule="auto"/>
        <w:ind w:right="-5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LAVAL, Christian. </w:t>
      </w:r>
      <w:r w:rsidDel="00000000" w:rsidR="00000000" w:rsidRPr="00000000">
        <w:rPr>
          <w:rFonts w:ascii="Times New Roman" w:cs="Times New Roman" w:eastAsia="Times New Roman" w:hAnsi="Times New Roman"/>
          <w:b w:val="1"/>
          <w:rtl w:val="0"/>
        </w:rPr>
        <w:t xml:space="preserve">A escola não é uma empresa</w:t>
      </w:r>
      <w:r w:rsidDel="00000000" w:rsidR="00000000" w:rsidRPr="00000000">
        <w:rPr>
          <w:rFonts w:ascii="Times New Roman" w:cs="Times New Roman" w:eastAsia="Times New Roman" w:hAnsi="Times New Roman"/>
          <w:rtl w:val="0"/>
        </w:rPr>
        <w:t xml:space="preserve">: o neoliberalismo em ataque ao ensino público. São Paulo: Boitempo, 2019.</w:t>
      </w:r>
    </w:p>
    <w:p w:rsidR="00000000" w:rsidDel="00000000" w:rsidP="00000000" w:rsidRDefault="00000000" w:rsidRPr="00000000" w14:paraId="0000002D">
      <w:pPr>
        <w:shd w:fill="ffffff" w:val="clear"/>
        <w:spacing w:after="0" w:line="240" w:lineRule="auto"/>
        <w:ind w:right="-5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hd w:fill="ffffff" w:val="clear"/>
        <w:spacing w:after="0" w:line="240" w:lineRule="auto"/>
        <w:ind w:right="-5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0" w:line="360" w:lineRule="auto"/>
        <w:ind w:firstLine="851"/>
        <w:jc w:val="center"/>
        <w:rPr>
          <w:rFonts w:ascii="Times New Roman" w:cs="Times New Roman" w:eastAsia="Times New Roman" w:hAnsi="Times New Roman"/>
          <w:highlight w:val="white"/>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2.jpg"/>
          <a:graphic>
            <a:graphicData uri="http://schemas.openxmlformats.org/drawingml/2006/picture">
              <pic:pic>
                <pic:nvPicPr>
                  <pic:cNvPr descr="Texto&#10;&#10;O conteúdo gerado por IA pode estar incorreto." id="0" name="image2.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1.jpg"/>
          <a:graphic>
            <a:graphicData uri="http://schemas.openxmlformats.org/drawingml/2006/picture">
              <pic:pic>
                <pic:nvPicPr>
                  <pic:cNvPr id="0" name="image1.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character" w:styleId="Hyperlink">
    <w:name w:val="Hyperlink"/>
    <w:basedOn w:val="Fontepargpadro"/>
    <w:uiPriority w:val="99"/>
    <w:unhideWhenUsed w:val="1"/>
    <w:rsid w:val="003916BA"/>
    <w:rPr>
      <w:color w:val="467886" w:themeColor="hyperlink"/>
      <w:u w:val="single"/>
    </w:rPr>
  </w:style>
  <w:style w:type="character" w:styleId="MenoPendente">
    <w:name w:val="Unresolved Mention"/>
    <w:basedOn w:val="Fontepargpadro"/>
    <w:uiPriority w:val="99"/>
    <w:semiHidden w:val="1"/>
    <w:unhideWhenUsed w:val="1"/>
    <w:rsid w:val="003916B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gov.br/en/web/dou/-/lei-n-14.180-de-1-de-julho-de-2021-329472130" TargetMode="External"/><Relationship Id="rId10" Type="http://schemas.openxmlformats.org/officeDocument/2006/relationships/hyperlink" Target="https://www.in.gov.br/en/web/dou/-/lei-n-14.180-de-1-de-julho-de-2021-329472130" TargetMode="External"/><Relationship Id="rId13" Type="http://schemas.openxmlformats.org/officeDocument/2006/relationships/hyperlink" Target="https://cieb.net.br/wp-content/uploads/2022/12/2022-12-12-Relatorio-Guia-Edutec.pdf" TargetMode="External"/><Relationship Id="rId12" Type="http://schemas.openxmlformats.org/officeDocument/2006/relationships/hyperlink" Target="https://www.in.gov.br/en/web/dou/-/lei-n-14.180-de-1-de-julho-de-2021-3294721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br/en/web/dou/-/lei-n-14.180-de-1-de-julho-de-2021-329472130"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www.planalto.gov.br/ccivil_03/_Ato2015-2018/2017/Decreto/D9204.htm" TargetMode="External"/><Relationship Id="rId8" Type="http://schemas.openxmlformats.org/officeDocument/2006/relationships/hyperlink" Target="https://www.planalto.gov.br/ccivil_03/_Ato2015-2018/2017/Decreto/D9204.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YRd5M7llhHg3x3ANR22Loul+A==">CgMxLjA4AHIhMVQxaEFYZFZnYXhqcHRTSHVuSGZtdktldjJGRVVfVEs2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cp:coreProperties>
</file>