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EEBEB" w14:textId="2AC81007" w:rsidR="00E3782C" w:rsidRPr="005F70B0" w:rsidRDefault="005259CE" w:rsidP="007E38E0">
      <w:pPr>
        <w:pStyle w:val="Corpodetexto"/>
        <w:jc w:val="center"/>
        <w:rPr>
          <w:color w:val="000000"/>
          <w:sz w:val="24"/>
          <w:szCs w:val="24"/>
        </w:rPr>
      </w:pPr>
      <w:r w:rsidRPr="005F70B0">
        <w:rPr>
          <w:noProof/>
          <w:sz w:val="24"/>
          <w:szCs w:val="24"/>
          <w:lang w:val="pt-BR" w:eastAsia="pt-BR"/>
        </w:rPr>
        <w:drawing>
          <wp:anchor distT="0" distB="0" distL="0" distR="0" simplePos="0" relativeHeight="251658240"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657BC457" w14:textId="6E18CFB3" w:rsidR="00E3782C" w:rsidRPr="00AD22F1" w:rsidRDefault="009E39F5" w:rsidP="00E3782C">
      <w:pPr>
        <w:pStyle w:val="Ttulo"/>
      </w:pPr>
      <w:r w:rsidRPr="009E39F5">
        <w:t>MODELOS DE SUCESSO NA GESTÃO INTEGRADA DE RESÍDUOS SÓLIDOS URBANOS: LIÇÕES DE CISLIPA, SÃO PAULO E CURITIBA</w:t>
      </w:r>
    </w:p>
    <w:p w14:paraId="58281A71" w14:textId="38876C15"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9E39F5">
        <w:rPr>
          <w:sz w:val="24"/>
          <w:szCs w:val="24"/>
        </w:rPr>
        <w:t xml:space="preserve">Marília </w:t>
      </w:r>
      <w:r w:rsidR="00C0162C">
        <w:rPr>
          <w:sz w:val="24"/>
          <w:szCs w:val="24"/>
        </w:rPr>
        <w:t xml:space="preserve">Costa </w:t>
      </w:r>
      <w:r w:rsidR="009E39F5">
        <w:rPr>
          <w:sz w:val="24"/>
          <w:szCs w:val="24"/>
        </w:rPr>
        <w:t>Mattos</w:t>
      </w:r>
      <w:r w:rsidRPr="005F70B0">
        <w:rPr>
          <w:sz w:val="24"/>
          <w:szCs w:val="24"/>
        </w:rPr>
        <w:t>,</w:t>
      </w:r>
      <w:r w:rsidRPr="005F70B0">
        <w:rPr>
          <w:spacing w:val="-2"/>
          <w:sz w:val="24"/>
          <w:szCs w:val="24"/>
        </w:rPr>
        <w:t xml:space="preserve"> </w:t>
      </w:r>
      <w:r w:rsidRPr="005F70B0">
        <w:rPr>
          <w:sz w:val="24"/>
          <w:szCs w:val="24"/>
          <w:vertAlign w:val="superscript"/>
        </w:rPr>
        <w:t>2</w:t>
      </w:r>
      <w:r w:rsidR="009E39F5" w:rsidRPr="009E39F5">
        <w:rPr>
          <w:sz w:val="24"/>
          <w:szCs w:val="24"/>
        </w:rPr>
        <w:t xml:space="preserve"> </w:t>
      </w:r>
      <w:r w:rsidR="009E39F5">
        <w:rPr>
          <w:sz w:val="24"/>
          <w:szCs w:val="24"/>
        </w:rPr>
        <w:t>Maykon Williann Mota</w:t>
      </w:r>
      <w:r w:rsidRPr="005F70B0">
        <w:rPr>
          <w:sz w:val="24"/>
          <w:szCs w:val="24"/>
        </w:rPr>
        <w:t>,</w:t>
      </w:r>
      <w:r w:rsidRPr="005F70B0">
        <w:rPr>
          <w:spacing w:val="-3"/>
          <w:sz w:val="24"/>
          <w:szCs w:val="24"/>
        </w:rPr>
        <w:t xml:space="preserve"> </w:t>
      </w:r>
      <w:r w:rsidRPr="005F70B0">
        <w:rPr>
          <w:sz w:val="24"/>
          <w:szCs w:val="24"/>
          <w:vertAlign w:val="superscript"/>
        </w:rPr>
        <w:t>3</w:t>
      </w:r>
      <w:r w:rsidR="009E39F5">
        <w:rPr>
          <w:sz w:val="24"/>
          <w:szCs w:val="24"/>
        </w:rPr>
        <w:t xml:space="preserve">Ellen Francine Rodrigues, </w:t>
      </w:r>
      <w:r w:rsidR="009E39F5" w:rsidRPr="009E39F5">
        <w:rPr>
          <w:sz w:val="24"/>
          <w:szCs w:val="24"/>
          <w:vertAlign w:val="superscript"/>
        </w:rPr>
        <w:t>4</w:t>
      </w:r>
      <w:r w:rsidR="009E39F5">
        <w:rPr>
          <w:sz w:val="24"/>
          <w:szCs w:val="24"/>
        </w:rPr>
        <w:t>Juliana Chiaretti Novi</w:t>
      </w:r>
    </w:p>
    <w:p w14:paraId="158B3CEA" w14:textId="413ED50E"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9E39F5">
        <w:rPr>
          <w:i/>
          <w:sz w:val="24"/>
          <w:szCs w:val="24"/>
        </w:rPr>
        <w:t>Universidade de Ribeirão Preto (UNAERP)</w:t>
      </w:r>
      <w:r w:rsidRPr="005F70B0">
        <w:rPr>
          <w:i/>
          <w:sz w:val="24"/>
          <w:szCs w:val="24"/>
        </w:rPr>
        <w:t>, e-mail:</w:t>
      </w:r>
      <w:r w:rsidRPr="005F70B0">
        <w:rPr>
          <w:i/>
          <w:spacing w:val="-4"/>
          <w:sz w:val="24"/>
          <w:szCs w:val="24"/>
        </w:rPr>
        <w:t xml:space="preserve"> </w:t>
      </w:r>
      <w:r w:rsidR="00D22860">
        <w:rPr>
          <w:i/>
          <w:sz w:val="24"/>
          <w:szCs w:val="24"/>
        </w:rPr>
        <w:t>mcmattos@unaerp.br</w:t>
      </w:r>
      <w:r w:rsidRPr="005F70B0">
        <w:rPr>
          <w:i/>
          <w:sz w:val="24"/>
          <w:szCs w:val="24"/>
        </w:rPr>
        <w:t>;</w:t>
      </w:r>
      <w:r w:rsidRPr="005F70B0">
        <w:rPr>
          <w:i/>
          <w:spacing w:val="-3"/>
          <w:sz w:val="24"/>
          <w:szCs w:val="24"/>
        </w:rPr>
        <w:t xml:space="preserve"> </w:t>
      </w:r>
      <w:r w:rsidRPr="005F70B0">
        <w:rPr>
          <w:i/>
          <w:sz w:val="24"/>
          <w:szCs w:val="24"/>
          <w:vertAlign w:val="superscript"/>
        </w:rPr>
        <w:t>2</w:t>
      </w:r>
      <w:r w:rsidR="009E39F5" w:rsidRPr="009E39F5">
        <w:rPr>
          <w:i/>
          <w:sz w:val="24"/>
          <w:szCs w:val="24"/>
        </w:rPr>
        <w:t xml:space="preserve"> </w:t>
      </w:r>
      <w:r w:rsidR="009E39F5">
        <w:rPr>
          <w:i/>
          <w:sz w:val="24"/>
          <w:szCs w:val="24"/>
        </w:rPr>
        <w:t>Universidade de Ribeirão Preto (UNAERP)</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D22860">
        <w:rPr>
          <w:i/>
          <w:sz w:val="24"/>
          <w:szCs w:val="24"/>
        </w:rPr>
        <w:t>maykon.mota@codau.br</w:t>
      </w:r>
      <w:r w:rsidRPr="005F70B0">
        <w:rPr>
          <w:i/>
          <w:sz w:val="24"/>
          <w:szCs w:val="24"/>
        </w:rPr>
        <w:t>;</w:t>
      </w:r>
      <w:r w:rsidRPr="005F70B0">
        <w:rPr>
          <w:i/>
          <w:spacing w:val="-3"/>
          <w:sz w:val="24"/>
          <w:szCs w:val="24"/>
        </w:rPr>
        <w:t xml:space="preserve"> </w:t>
      </w:r>
      <w:r w:rsidRPr="005F70B0">
        <w:rPr>
          <w:i/>
          <w:sz w:val="24"/>
          <w:szCs w:val="24"/>
          <w:vertAlign w:val="superscript"/>
        </w:rPr>
        <w:t>3</w:t>
      </w:r>
      <w:r w:rsidR="009E39F5" w:rsidRPr="009E39F5">
        <w:rPr>
          <w:i/>
          <w:sz w:val="24"/>
          <w:szCs w:val="24"/>
        </w:rPr>
        <w:t xml:space="preserve"> </w:t>
      </w:r>
      <w:r w:rsidR="009E39F5">
        <w:rPr>
          <w:i/>
          <w:sz w:val="24"/>
          <w:szCs w:val="24"/>
        </w:rPr>
        <w:t>Universidade de Ribeirão Preto (UNAERP)</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D22860">
        <w:rPr>
          <w:i/>
          <w:spacing w:val="-3"/>
          <w:sz w:val="24"/>
          <w:szCs w:val="24"/>
        </w:rPr>
        <w:t>efrodrigues@unaerp.br</w:t>
      </w:r>
      <w:r w:rsidR="009E39F5">
        <w:rPr>
          <w:i/>
          <w:spacing w:val="-2"/>
          <w:sz w:val="24"/>
          <w:szCs w:val="24"/>
        </w:rPr>
        <w:t xml:space="preserve">; </w:t>
      </w:r>
      <w:r w:rsidR="009E39F5" w:rsidRPr="009E39F5">
        <w:rPr>
          <w:i/>
          <w:spacing w:val="-2"/>
          <w:sz w:val="24"/>
          <w:szCs w:val="24"/>
          <w:vertAlign w:val="superscript"/>
        </w:rPr>
        <w:t>4</w:t>
      </w:r>
      <w:r w:rsidR="009E39F5">
        <w:rPr>
          <w:i/>
          <w:sz w:val="24"/>
          <w:szCs w:val="24"/>
        </w:rPr>
        <w:t>Universidade de Ribeirão Preto (UNAERP), e-mail: j</w:t>
      </w:r>
      <w:r w:rsidR="00480F09">
        <w:rPr>
          <w:i/>
          <w:sz w:val="24"/>
          <w:szCs w:val="24"/>
        </w:rPr>
        <w:t>novi@unaerp.br</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38B698C4" w:rsidR="00E3782C" w:rsidRDefault="00E3782C" w:rsidP="00E3782C">
      <w:pPr>
        <w:spacing w:line="228" w:lineRule="exact"/>
        <w:ind w:left="77" w:right="209"/>
        <w:jc w:val="right"/>
        <w:rPr>
          <w:b/>
          <w:bCs/>
          <w:i/>
          <w:spacing w:val="-2"/>
          <w:sz w:val="24"/>
          <w:szCs w:val="24"/>
        </w:rPr>
      </w:pPr>
      <w:r w:rsidRPr="005F70B0">
        <w:rPr>
          <w:b/>
          <w:bCs/>
          <w:i/>
          <w:spacing w:val="-2"/>
          <w:sz w:val="24"/>
          <w:szCs w:val="24"/>
        </w:rPr>
        <w:t>Grupo temático</w:t>
      </w:r>
      <w:r w:rsidR="00DD4689">
        <w:rPr>
          <w:b/>
          <w:bCs/>
          <w:i/>
          <w:spacing w:val="-2"/>
          <w:sz w:val="24"/>
          <w:szCs w:val="24"/>
        </w:rPr>
        <w:t xml:space="preserve">: </w:t>
      </w:r>
      <w:r w:rsidR="00DD4689" w:rsidRPr="00DD4689">
        <w:rPr>
          <w:b/>
          <w:bCs/>
          <w:i/>
          <w:spacing w:val="-2"/>
          <w:sz w:val="24"/>
          <w:szCs w:val="24"/>
        </w:rPr>
        <w:t>Gestão Ambiental e Políticas Ambientais</w:t>
      </w:r>
    </w:p>
    <w:p w14:paraId="125F6DD1" w14:textId="14EFF95C"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DD4689">
        <w:rPr>
          <w:b/>
          <w:bCs/>
          <w:i/>
          <w:spacing w:val="-2"/>
          <w:sz w:val="24"/>
          <w:szCs w:val="24"/>
        </w:rPr>
        <w:t xml:space="preserve">: </w:t>
      </w:r>
      <w:r w:rsidR="00DD4689" w:rsidRPr="00DD4689">
        <w:rPr>
          <w:b/>
          <w:bCs/>
          <w:i/>
          <w:spacing w:val="-2"/>
          <w:sz w:val="24"/>
          <w:szCs w:val="24"/>
        </w:rPr>
        <w:t>Gestão integrada na legislação de recursos naturais</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43038EEA" w:rsidR="00E3782C" w:rsidRPr="005F70B0" w:rsidRDefault="00DD4689" w:rsidP="00E3782C">
      <w:pPr>
        <w:ind w:right="209"/>
        <w:jc w:val="both"/>
        <w:rPr>
          <w:iCs/>
          <w:sz w:val="24"/>
          <w:szCs w:val="24"/>
        </w:rPr>
      </w:pPr>
      <w:r>
        <w:rPr>
          <w:sz w:val="24"/>
          <w:szCs w:val="24"/>
        </w:rPr>
        <w:t>A gestão integrada dos resíduos sólidos urbanos (RSU) representa um dos principais desafios da política ambiental brasileira. Este trabalho tem por objetivo analisar experiências consideradas exitosas de planos de gestão integrada de RSU, identificando arranjos institucionais, modelos de financiamento e estratégias de governança que possibilitam resultados superiores à média nacional. Adotou-se abordagem qualitativa, de natureza bibliográfica e documental, com análise de instrumentos normativos, relatórios oficiais, dados setoriais e literatura científica, além de três estudos de caso representativos: o consórcio CISLIPA (PR), o município de São Paulo (SP) e a capital Curitiba (PR). Os resultados evidenciam que a regionalização consorciada, a regulação contratual com metas de desempenho, a inclusão socioprodutiva de catadores, a integração com a logística reversa e a educação ambiental contínua constituem fatores determinantes do êxito. Conclui-se que os planos de gestão integrada, quando implementados com governança sólida, financiamento adequado e participação social, produzem resultados superiores, reforçando a Política Nacional de Resíduos Sólidos e alinhando-se aos Objetivos de Desenvolvimento Sustentável 11 e 12.</w:t>
      </w:r>
    </w:p>
    <w:p w14:paraId="762F9B08" w14:textId="77777777" w:rsidR="00E3782C" w:rsidRPr="005F70B0" w:rsidRDefault="00E3782C" w:rsidP="00E3782C">
      <w:pPr>
        <w:jc w:val="both"/>
        <w:rPr>
          <w:b/>
          <w:sz w:val="24"/>
          <w:szCs w:val="24"/>
        </w:rPr>
      </w:pPr>
    </w:p>
    <w:p w14:paraId="006243D2" w14:textId="2B339233"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DD4689">
        <w:rPr>
          <w:sz w:val="24"/>
          <w:szCs w:val="24"/>
        </w:rPr>
        <w:t>Coleta seletiva; Consórcios intermunicipais; Gestão integrada; Logística reversa; Resíduos sólidos urbanos</w:t>
      </w:r>
      <w:r w:rsidRPr="005F70B0">
        <w:rPr>
          <w:spacing w:val="-2"/>
          <w:sz w:val="24"/>
          <w:szCs w:val="24"/>
        </w:rPr>
        <w:t>.</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0F98E915" w14:textId="77777777" w:rsidR="007E38E0" w:rsidRDefault="007E38E0" w:rsidP="00DD4689">
      <w:pPr>
        <w:spacing w:line="360" w:lineRule="auto"/>
        <w:ind w:firstLine="720"/>
        <w:jc w:val="both"/>
        <w:rPr>
          <w:sz w:val="24"/>
          <w:szCs w:val="24"/>
        </w:rPr>
      </w:pPr>
    </w:p>
    <w:p w14:paraId="25AEAD23" w14:textId="36AC6B30" w:rsidR="00DD4689" w:rsidRDefault="00DD4689" w:rsidP="00DD4689">
      <w:pPr>
        <w:spacing w:line="360" w:lineRule="auto"/>
        <w:ind w:firstLine="720"/>
        <w:jc w:val="both"/>
      </w:pPr>
      <w:r>
        <w:rPr>
          <w:sz w:val="24"/>
          <w:szCs w:val="24"/>
        </w:rPr>
        <w:t>A gestão integrada dos resíduos sólidos urbanos (RSU) constitui um dos principais desafios da política ambiental brasileira, em razão da complexidade técnica e institucional e dos impactos ambientais e sociais associados. Anualmente, o Brasil produz aproximadamente 77 milhões de toneladas de RSU, dos quais uma considerável parcela ainda é direcionada a lixões ou aterros controlados, resultando em degradação ambiental e na potencialização de riscos à saúde pública (ABRELPE, 2023).</w:t>
      </w:r>
    </w:p>
    <w:p w14:paraId="3934CB91" w14:textId="77777777" w:rsidR="00DD4689" w:rsidRDefault="00DD4689" w:rsidP="00DD4689">
      <w:pPr>
        <w:spacing w:line="360" w:lineRule="auto"/>
        <w:ind w:firstLine="720"/>
        <w:jc w:val="both"/>
      </w:pPr>
      <w:r>
        <w:rPr>
          <w:sz w:val="24"/>
          <w:szCs w:val="24"/>
        </w:rPr>
        <w:t xml:space="preserve">A Política Nacional de Resíduos Sólidos (PNRS), formalizada pela Lei nº 12.305/2010 </w:t>
      </w:r>
      <w:r>
        <w:rPr>
          <w:sz w:val="24"/>
          <w:szCs w:val="24"/>
        </w:rPr>
        <w:lastRenderedPageBreak/>
        <w:t>e regulamentada pelo Decreto nº 10.936/2022, instituiu um arcabouço de princípios e diretrizes essenciais para a gestão de resíduos no Brasil. Entre os pilares fundamentais, destacam-se a responsabilidade compartilhada pelo ciclo de vida dos produtos, a priorização da não geração e da redução de resíduos, a implementação da logística reversa e a promoção da inclusão socioeconômica dos catadores de materiais recicláveis (BRASIL, 2010a).</w:t>
      </w:r>
    </w:p>
    <w:p w14:paraId="397247D4" w14:textId="77777777" w:rsidR="00DD4689" w:rsidRDefault="00DD4689" w:rsidP="00DD4689">
      <w:pPr>
        <w:spacing w:line="360" w:lineRule="auto"/>
        <w:ind w:firstLine="720"/>
        <w:jc w:val="both"/>
      </w:pPr>
      <w:r>
        <w:rPr>
          <w:sz w:val="24"/>
          <w:szCs w:val="24"/>
        </w:rPr>
        <w:t>Entre os instrumentos previstos, destacam-se os Planos Municipais, Regionais e Estaduais de Gestão Integrada de Resíduos Sólidos, que devem conter diagnóstico, metas, programas, indicadores e mecanismos de monitoramento, sendo condição para o acesso a recursos federais (MMA, 2022). Apesar da relevância normativa, os resultados nacionais ainda são limitados, conforme evidenciam os indicadores de geração, reciclagem e disposição final adequada (ABRELPE, 2023).</w:t>
      </w:r>
    </w:p>
    <w:p w14:paraId="703A54CC" w14:textId="77777777" w:rsidR="00DD4689" w:rsidRDefault="00DD4689" w:rsidP="00DD4689">
      <w:pPr>
        <w:spacing w:line="360" w:lineRule="auto"/>
        <w:ind w:firstLine="720"/>
        <w:jc w:val="both"/>
      </w:pPr>
      <w:r>
        <w:rPr>
          <w:sz w:val="24"/>
          <w:szCs w:val="24"/>
        </w:rPr>
        <w:t>A literatura especializada aponta que a efetividade dos planos de gestão integrada depende menos da existência formal do instrumento e mais da capacidade institucional dos entes federados em executá-lo de modo contínuo e financeiramente sustentável (JACOBI; BESEN, 2011; SOUZA; PAULA, 2020). Municípios de pequeno e médio porte, em particular, enfrentam limitações técnicas e orçamentárias que comprometem a manutenção de aterros sanitários próprios, o que reforça a pertinência de arranjos regionalizados, como os consórcios públicos intermunicipais (PHILIPPI JR.; AGUIAR, 2015). Compreender os fatores que diferenciam experiências bem-sucedidas torna-se, portanto, estratégico para subsidiar a formulação de políticas públicas mais eficazes.</w:t>
      </w:r>
    </w:p>
    <w:p w14:paraId="3453A5E5" w14:textId="7CA03F60" w:rsidR="00DD4689" w:rsidRDefault="00DD4689" w:rsidP="00DD4689">
      <w:pPr>
        <w:pStyle w:val="Corpodetexto"/>
        <w:spacing w:before="1" w:line="360" w:lineRule="auto"/>
        <w:ind w:firstLine="720"/>
        <w:jc w:val="both"/>
        <w:rPr>
          <w:sz w:val="24"/>
          <w:szCs w:val="24"/>
        </w:rPr>
      </w:pPr>
      <w:r>
        <w:rPr>
          <w:sz w:val="24"/>
          <w:szCs w:val="24"/>
        </w:rPr>
        <w:t xml:space="preserve">Diante desse cenário, o problema que orienta esta pesquisa consiste em compreender como determinados arranjos institucionais, modelos financeiros e estratégias de governança possibilitam resultados superiores à média nacional. </w:t>
      </w:r>
      <w:r w:rsidR="007E38E0">
        <w:rPr>
          <w:sz w:val="24"/>
          <w:szCs w:val="24"/>
        </w:rPr>
        <w:t>A Figura 1 sintetiza os principais indicadores nacionais que contextualizam o problema investigado</w:t>
      </w:r>
      <w:r w:rsidR="007E38E0" w:rsidRPr="005F70B0">
        <w:rPr>
          <w:sz w:val="24"/>
          <w:szCs w:val="24"/>
        </w:rPr>
        <w:t>.</w:t>
      </w:r>
      <w:r>
        <w:rPr>
          <w:sz w:val="24"/>
          <w:szCs w:val="24"/>
        </w:rPr>
        <w:t xml:space="preserve"> </w:t>
      </w:r>
    </w:p>
    <w:p w14:paraId="62910116" w14:textId="77777777" w:rsidR="00DD4689" w:rsidRDefault="00DD4689" w:rsidP="00DD4689">
      <w:pPr>
        <w:spacing w:before="60" w:after="40"/>
        <w:jc w:val="center"/>
        <w:rPr>
          <w:b/>
          <w:bCs/>
          <w:sz w:val="24"/>
          <w:szCs w:val="24"/>
        </w:rPr>
      </w:pPr>
    </w:p>
    <w:p w14:paraId="1CB6043E" w14:textId="66E10BDD" w:rsidR="00DD4689" w:rsidRPr="00DD4689" w:rsidRDefault="00DD4689" w:rsidP="00DD4689">
      <w:pPr>
        <w:spacing w:before="60" w:after="40"/>
        <w:jc w:val="center"/>
      </w:pPr>
      <w:r w:rsidRPr="00DD4689">
        <w:rPr>
          <w:b/>
          <w:bCs/>
          <w:sz w:val="20"/>
          <w:szCs w:val="20"/>
        </w:rPr>
        <w:t>Figura 1 – Panorama nacional da gestão de resíduos sólidos urbanos no Brasil</w:t>
      </w:r>
    </w:p>
    <w:p w14:paraId="0DCD7BE5" w14:textId="77777777" w:rsidR="00DD4689" w:rsidRDefault="00DD4689" w:rsidP="00DD4689">
      <w:pPr>
        <w:jc w:val="center"/>
      </w:pPr>
      <w:r>
        <w:rPr>
          <w:noProof/>
        </w:rPr>
        <w:drawing>
          <wp:inline distT="0" distB="0" distL="0" distR="0" wp14:anchorId="439BA871" wp14:editId="4599D05E">
            <wp:extent cx="4476750" cy="17240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476750" cy="1724025"/>
                    </a:xfrm>
                    <a:prstGeom prst="rect">
                      <a:avLst/>
                    </a:prstGeom>
                  </pic:spPr>
                </pic:pic>
              </a:graphicData>
            </a:graphic>
          </wp:inline>
        </w:drawing>
      </w:r>
    </w:p>
    <w:p w14:paraId="1F16AA9A" w14:textId="77777777" w:rsidR="00DD4689" w:rsidRPr="00DD4689" w:rsidRDefault="00DD4689" w:rsidP="00DD4689">
      <w:pPr>
        <w:spacing w:before="20" w:after="80"/>
      </w:pPr>
      <w:r w:rsidRPr="00DD4689">
        <w:rPr>
          <w:sz w:val="20"/>
          <w:szCs w:val="20"/>
        </w:rPr>
        <w:t>Fonte: elaborada pelos autores com base em ABRELPE (2023).</w:t>
      </w:r>
    </w:p>
    <w:p w14:paraId="416DEA58" w14:textId="77777777" w:rsidR="007E38E0" w:rsidRDefault="007E38E0" w:rsidP="007E38E0">
      <w:pPr>
        <w:pStyle w:val="Corpodetexto"/>
        <w:spacing w:before="1" w:line="360" w:lineRule="auto"/>
        <w:ind w:firstLine="720"/>
        <w:jc w:val="both"/>
        <w:rPr>
          <w:sz w:val="24"/>
          <w:szCs w:val="24"/>
        </w:rPr>
      </w:pPr>
    </w:p>
    <w:p w14:paraId="0CDC3173" w14:textId="26388F28" w:rsidR="008913F4" w:rsidRDefault="007E38E0" w:rsidP="00DD4689">
      <w:pPr>
        <w:pStyle w:val="Corpodetexto"/>
        <w:spacing w:before="1" w:line="360" w:lineRule="auto"/>
        <w:ind w:firstLine="720"/>
        <w:jc w:val="both"/>
        <w:rPr>
          <w:sz w:val="24"/>
          <w:szCs w:val="24"/>
        </w:rPr>
      </w:pPr>
      <w:r>
        <w:rPr>
          <w:sz w:val="24"/>
          <w:szCs w:val="24"/>
        </w:rPr>
        <w:t>Assim, o presente trabalho tem por objetivo analisar experiências exitosas de planos de gestão integrada de RSU, a partir de três casos: o CISLIPA (PR), consórcio intermunicipal consolidado; o município de São Paulo (SP); e a capital Curitiba (PR), referências em políticas urbanas e ambientais. Além disso</w:t>
      </w:r>
      <w:r w:rsidR="00DD4689">
        <w:rPr>
          <w:sz w:val="24"/>
          <w:szCs w:val="24"/>
        </w:rPr>
        <w:t xml:space="preserve">, busca-se caracterizar os arranjos institucionais de cada experiência, identificar os mecanismos de sustentabilidade financeira adotados e analisar a integração entre coleta seletiva, logística reversa e inclusão socioprodutiva dos catadores. </w:t>
      </w:r>
    </w:p>
    <w:p w14:paraId="16FDABA8" w14:textId="77777777" w:rsidR="009C4B75" w:rsidRPr="005F70B0" w:rsidRDefault="009C4B75" w:rsidP="009C4B75">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7BE693CA" w14:textId="09938D09" w:rsidR="007E38E0" w:rsidRDefault="007E38E0" w:rsidP="007E38E0">
      <w:pPr>
        <w:spacing w:line="360" w:lineRule="auto"/>
        <w:ind w:firstLine="720"/>
        <w:jc w:val="both"/>
      </w:pPr>
      <w:r>
        <w:rPr>
          <w:sz w:val="24"/>
          <w:szCs w:val="24"/>
        </w:rPr>
        <w:t>O estudo adota abordagem qualitativa, de natureza bibliográfica e documental. Foram analisados instrumentos normativos (Lei nº 12.305/2010; Decreto nº 7.404/2010), relatórios oficiais (Plano Nacional de Resíduos Sólidos – Planares), dados setoriais (ABRELPE, 2023) e literatura científica (JACOBI; BESEN, 2011; PHILIPPI JR.; AGUIAR, 2015; SOUZA; PAULA, 2020).</w:t>
      </w:r>
    </w:p>
    <w:p w14:paraId="57C0A7A4" w14:textId="77777777" w:rsidR="007E38E0" w:rsidRDefault="007E38E0" w:rsidP="007E38E0">
      <w:pPr>
        <w:spacing w:line="360" w:lineRule="auto"/>
        <w:ind w:firstLine="720"/>
        <w:jc w:val="both"/>
      </w:pPr>
      <w:r>
        <w:rPr>
          <w:sz w:val="24"/>
          <w:szCs w:val="24"/>
        </w:rPr>
        <w:t>Para ilustrar resultados práticos, foram selecionados três estudos de caso representativos, com base em notoriedade e disponibilidade de dados confiáveis: o Consórcio Intermunicipal de Manejo de Resíduos Sólidos do Noroeste do Paraná (CISLIPA); o município de São Paulo (SP), maior centro urbano do país; e Curitiba (PR), reconhecida internacionalmente por suas políticas ambientais. A análise concentrou-se nos seguintes aspectos: arranjos institucionais, sustentabilidade financeira, indicadores de desempenho, integração com a logística reversa e inclusão socioeconômica.</w:t>
      </w:r>
    </w:p>
    <w:p w14:paraId="64FB16C8" w14:textId="13D5BBD5" w:rsidR="00E3782C" w:rsidRPr="005F70B0" w:rsidRDefault="007E38E0" w:rsidP="007E38E0">
      <w:pPr>
        <w:pStyle w:val="Corpodetexto"/>
        <w:spacing w:before="1" w:line="360" w:lineRule="auto"/>
        <w:ind w:firstLine="720"/>
        <w:jc w:val="both"/>
        <w:rPr>
          <w:sz w:val="24"/>
          <w:szCs w:val="24"/>
        </w:rPr>
      </w:pPr>
      <w:r>
        <w:rPr>
          <w:sz w:val="24"/>
          <w:szCs w:val="24"/>
        </w:rPr>
        <w:t>A escolha dos casos seguiu critérios de diversidade de escala e de modelo de governança, de modo a contemplar configurações distintas: um arranjo regionalizado de natureza consorciada (CISLIPA), uma metrópole com sistema concedido e regulação por autarquia (São Paulo) e um município de gestão direta com forte tradição em educação ambiental (Curitiba). Essa variação permite comparar diferentes soluções institucionais para um mesmo desafio, evitando conclusões restritas a um único contexto. Os dados foram organizados de forma analítico-descritiva, confrontando as informações documentais com os parâmetros estabelecidos pela PNRS e com a literatura científica, o que possibilitou identificar elementos recorrentes associados aos resultados superiores observados.</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54DDB116" w14:textId="77777777" w:rsidR="007E38E0" w:rsidRDefault="007E38E0" w:rsidP="007E38E0">
      <w:pPr>
        <w:spacing w:line="360" w:lineRule="auto"/>
        <w:ind w:firstLine="720"/>
        <w:jc w:val="both"/>
      </w:pPr>
      <w:r>
        <w:rPr>
          <w:sz w:val="24"/>
          <w:szCs w:val="24"/>
        </w:rPr>
        <w:t xml:space="preserve">O marco normativo da PNRS consolidou avanços na política pública de resíduos, mas </w:t>
      </w:r>
      <w:r>
        <w:rPr>
          <w:sz w:val="24"/>
          <w:szCs w:val="24"/>
        </w:rPr>
        <w:lastRenderedPageBreak/>
        <w:t>a implementação permanece desigual. Embora os Planos Municipais de Gestão Integrada de Resíduos Sólidos (PMGIRS) sejam obrigatórios, muitos municípios não os elaboraram ou não os executam efetivamente, mantendo baixos índices de reciclagem e disposição final ainda não universal, o que evidencia a necessidade de soluções consorciadas, integração regional e inovação em instrumentos econômicos (MMA, 2022; ABRELPE, 2023).</w:t>
      </w:r>
    </w:p>
    <w:p w14:paraId="57DF730E" w14:textId="77777777" w:rsidR="007E38E0" w:rsidRDefault="007E38E0" w:rsidP="007E38E0">
      <w:pPr>
        <w:spacing w:line="360" w:lineRule="auto"/>
        <w:ind w:firstLine="720"/>
        <w:jc w:val="both"/>
      </w:pPr>
      <w:r>
        <w:rPr>
          <w:sz w:val="24"/>
          <w:szCs w:val="24"/>
        </w:rPr>
        <w:t>O Consórcio Intermunicipal de Manejo de Resíduos Sólidos do Noroeste do Paraná (CISLIPA), sediado em Paranavaí, é considerado um dos modelos mais consolidados de regionalização da gestão de resíduos sólidos no Brasil. Criado em 1989, reúne municípios consorciados em torno de um aterro sanitário regional e estações de transbordo, o que gera ganhos logísticos, redução de custos e a erradicação dos lixões na região, em conformidade com a PNRS (MMA, 2017; BRASIL, 2010a; PHILIPPI JR.; AGUIAR, 2015). Entre os resultados, destacam-se a disposição final ambientalmente adequada, a gestão técnica profissionalizada, o rateio proporcional de custos, o monitoramento ambiental contínuo do aterro e o apoio a programas de educação ambiental com inclusão de catadores.</w:t>
      </w:r>
    </w:p>
    <w:p w14:paraId="324DC6AA" w14:textId="77777777" w:rsidR="007E38E0" w:rsidRDefault="007E38E0" w:rsidP="007E38E0">
      <w:pPr>
        <w:spacing w:line="360" w:lineRule="auto"/>
        <w:ind w:firstLine="720"/>
        <w:jc w:val="both"/>
      </w:pPr>
      <w:r>
        <w:rPr>
          <w:sz w:val="24"/>
          <w:szCs w:val="24"/>
        </w:rPr>
        <w:t>São Paulo estruturou um dos sistemas de gestão de resíduos mais complexos do país, com responsabilidade atribuída à Autoridade Municipal de Limpeza Urbana (AMLURB), autarquia criada pela Lei municipal nº 13.478/2002. Em 2024, o município instituiu o Comitê Intersecretarial da Política Municipal de Gestão Integrada de Resíduos Sólidos (CGIRS) (SÃO PAULO, 2002; SÃO PAULO, 2024). O município mantém coleta seletiva porta a porta e integra cooperativas de catadores ao sistema oficial, alcançando taxas de reciclagem acima da média nacional (JACOBI; BESEN, 2011; AMLURB, 2020). A experiência paulista evidencia a importância de associar regulação contratual com metas de performance, inclusão socioeconômica de catadores, integração com acordos de logística reversa e campanhas permanentes de educação ambiental.</w:t>
      </w:r>
    </w:p>
    <w:p w14:paraId="6CCB34C8" w14:textId="77777777" w:rsidR="007E38E0" w:rsidRDefault="007E38E0" w:rsidP="007E38E0">
      <w:pPr>
        <w:spacing w:line="360" w:lineRule="auto"/>
        <w:ind w:firstLine="720"/>
        <w:jc w:val="both"/>
      </w:pPr>
      <w:r>
        <w:rPr>
          <w:sz w:val="24"/>
          <w:szCs w:val="24"/>
        </w:rPr>
        <w:t>Curitiba consolidou-se como pioneira na gestão de resíduos, com destaque para o programa “Lixo que não é lixo”, que desde os anos 1990 estimula a separação domiciliar, sob responsabilidade da Secretaria Municipal do Meio Ambiente (CURITIBA, 2023). A capital paranaense apresenta elevada cobertura de coleta urbana (IBGE, 2022) e expressiva fração de recicláveis nos resíduos coletados (SCIELO, 2021). Entre os elementos estruturantes, destacam-se a integração da coleta seletiva com a logística reversa, contratos com exigências de desempenho, educação ambiental contínua e monitoramento por indicadores claros e divulgados, comprovando que resultados consistentes dependem de políticas estáveis, governança institucionalizada e participação social.</w:t>
      </w:r>
    </w:p>
    <w:p w14:paraId="4AB4D25E" w14:textId="77777777" w:rsidR="007E38E0" w:rsidRDefault="007E38E0" w:rsidP="007E38E0">
      <w:pPr>
        <w:spacing w:before="60" w:after="40"/>
        <w:jc w:val="center"/>
      </w:pPr>
      <w:r>
        <w:rPr>
          <w:b/>
          <w:bCs/>
          <w:sz w:val="20"/>
          <w:szCs w:val="20"/>
        </w:rPr>
        <w:lastRenderedPageBreak/>
        <w:t>Quadro 1 – Comparação dos três casos de gestão integrada de RSU</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0"/>
        <w:gridCol w:w="2350"/>
        <w:gridCol w:w="2350"/>
        <w:gridCol w:w="2350"/>
      </w:tblGrid>
      <w:tr w:rsidR="007E38E0" w14:paraId="413A3D25" w14:textId="77777777" w:rsidTr="009D06FD">
        <w:trPr>
          <w:tblHeader/>
        </w:trPr>
        <w:tc>
          <w:tcPr>
            <w:tcW w:w="2040" w:type="dxa"/>
            <w:tcBorders>
              <w:top w:val="single" w:sz="4" w:space="0" w:color="000000"/>
              <w:left w:val="single" w:sz="4" w:space="0" w:color="000000"/>
              <w:bottom w:val="single" w:sz="4" w:space="0" w:color="000000"/>
              <w:right w:val="single" w:sz="4" w:space="0" w:color="000000"/>
            </w:tcBorders>
            <w:shd w:val="clear" w:color="auto" w:fill="D9E2D9"/>
            <w:tcMar>
              <w:top w:w="60" w:type="dxa"/>
              <w:left w:w="100" w:type="dxa"/>
              <w:bottom w:w="60" w:type="dxa"/>
              <w:right w:w="100" w:type="dxa"/>
            </w:tcMar>
          </w:tcPr>
          <w:p w14:paraId="15F747C7" w14:textId="77777777" w:rsidR="007E38E0" w:rsidRDefault="007E38E0" w:rsidP="009D06FD">
            <w:pPr>
              <w:jc w:val="center"/>
            </w:pPr>
            <w:r>
              <w:rPr>
                <w:b/>
                <w:bCs/>
                <w:sz w:val="20"/>
                <w:szCs w:val="20"/>
              </w:rPr>
              <w:t>Dimensão</w:t>
            </w:r>
          </w:p>
        </w:tc>
        <w:tc>
          <w:tcPr>
            <w:tcW w:w="2350" w:type="dxa"/>
            <w:tcBorders>
              <w:top w:val="single" w:sz="4" w:space="0" w:color="000000"/>
              <w:left w:val="single" w:sz="4" w:space="0" w:color="000000"/>
              <w:bottom w:val="single" w:sz="4" w:space="0" w:color="000000"/>
              <w:right w:val="single" w:sz="4" w:space="0" w:color="000000"/>
            </w:tcBorders>
            <w:shd w:val="clear" w:color="auto" w:fill="D9E2D9"/>
            <w:tcMar>
              <w:top w:w="60" w:type="dxa"/>
              <w:left w:w="100" w:type="dxa"/>
              <w:bottom w:w="60" w:type="dxa"/>
              <w:right w:w="100" w:type="dxa"/>
            </w:tcMar>
          </w:tcPr>
          <w:p w14:paraId="4A8958C9" w14:textId="77777777" w:rsidR="007E38E0" w:rsidRDefault="007E38E0" w:rsidP="009D06FD">
            <w:pPr>
              <w:jc w:val="center"/>
            </w:pPr>
            <w:r>
              <w:rPr>
                <w:b/>
                <w:bCs/>
                <w:sz w:val="20"/>
                <w:szCs w:val="20"/>
              </w:rPr>
              <w:t>CISLIPA (PR)</w:t>
            </w:r>
          </w:p>
        </w:tc>
        <w:tc>
          <w:tcPr>
            <w:tcW w:w="2350" w:type="dxa"/>
            <w:tcBorders>
              <w:top w:val="single" w:sz="4" w:space="0" w:color="000000"/>
              <w:left w:val="single" w:sz="4" w:space="0" w:color="000000"/>
              <w:bottom w:val="single" w:sz="4" w:space="0" w:color="000000"/>
              <w:right w:val="single" w:sz="4" w:space="0" w:color="000000"/>
            </w:tcBorders>
            <w:shd w:val="clear" w:color="auto" w:fill="D9E2D9"/>
            <w:tcMar>
              <w:top w:w="60" w:type="dxa"/>
              <w:left w:w="100" w:type="dxa"/>
              <w:bottom w:w="60" w:type="dxa"/>
              <w:right w:w="100" w:type="dxa"/>
            </w:tcMar>
          </w:tcPr>
          <w:p w14:paraId="121FF967" w14:textId="77777777" w:rsidR="007E38E0" w:rsidRDefault="007E38E0" w:rsidP="009D06FD">
            <w:pPr>
              <w:jc w:val="center"/>
            </w:pPr>
            <w:r>
              <w:rPr>
                <w:b/>
                <w:bCs/>
                <w:sz w:val="20"/>
                <w:szCs w:val="20"/>
              </w:rPr>
              <w:t>São Paulo (SP)</w:t>
            </w:r>
          </w:p>
        </w:tc>
        <w:tc>
          <w:tcPr>
            <w:tcW w:w="2350" w:type="dxa"/>
            <w:tcBorders>
              <w:top w:val="single" w:sz="4" w:space="0" w:color="000000"/>
              <w:left w:val="single" w:sz="4" w:space="0" w:color="000000"/>
              <w:bottom w:val="single" w:sz="4" w:space="0" w:color="000000"/>
              <w:right w:val="single" w:sz="4" w:space="0" w:color="000000"/>
            </w:tcBorders>
            <w:shd w:val="clear" w:color="auto" w:fill="D9E2D9"/>
            <w:tcMar>
              <w:top w:w="60" w:type="dxa"/>
              <w:left w:w="100" w:type="dxa"/>
              <w:bottom w:w="60" w:type="dxa"/>
              <w:right w:w="100" w:type="dxa"/>
            </w:tcMar>
          </w:tcPr>
          <w:p w14:paraId="6FAFAAD9" w14:textId="77777777" w:rsidR="007E38E0" w:rsidRDefault="007E38E0" w:rsidP="009D06FD">
            <w:pPr>
              <w:jc w:val="center"/>
            </w:pPr>
            <w:r>
              <w:rPr>
                <w:b/>
                <w:bCs/>
                <w:sz w:val="20"/>
                <w:szCs w:val="20"/>
              </w:rPr>
              <w:t>Curitiba (PR)</w:t>
            </w:r>
          </w:p>
        </w:tc>
      </w:tr>
      <w:tr w:rsidR="007E38E0" w14:paraId="2C0B7FD7" w14:textId="77777777" w:rsidTr="009D06FD">
        <w:tc>
          <w:tcPr>
            <w:tcW w:w="20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488716" w14:textId="77777777" w:rsidR="007E38E0" w:rsidRDefault="007E38E0" w:rsidP="009D06FD">
            <w:r>
              <w:rPr>
                <w:sz w:val="20"/>
                <w:szCs w:val="20"/>
              </w:rPr>
              <w:t>Modelo de gestão</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733E3E" w14:textId="77777777" w:rsidR="007E38E0" w:rsidRDefault="007E38E0" w:rsidP="009D06FD">
            <w:r>
              <w:rPr>
                <w:sz w:val="20"/>
                <w:szCs w:val="20"/>
              </w:rPr>
              <w:t>Consórcio intermunicipal (30 municípios)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27B60D" w14:textId="77777777" w:rsidR="007E38E0" w:rsidRDefault="007E38E0" w:rsidP="009D06FD">
            <w:r>
              <w:rPr>
                <w:sz w:val="20"/>
                <w:szCs w:val="20"/>
              </w:rPr>
              <w:t>Autarquia (AMLURB) e concessões privadas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7FEF49" w14:textId="77777777" w:rsidR="007E38E0" w:rsidRDefault="007E38E0" w:rsidP="009D06FD">
            <w:r>
              <w:rPr>
                <w:sz w:val="20"/>
                <w:szCs w:val="20"/>
              </w:rPr>
              <w:t>Gestão direta (Secretaria Municipal do Meio Ambiente)</w:t>
            </w:r>
          </w:p>
        </w:tc>
      </w:tr>
      <w:tr w:rsidR="007E38E0" w14:paraId="0ED6F9C9" w14:textId="77777777" w:rsidTr="009D06FD">
        <w:tc>
          <w:tcPr>
            <w:tcW w:w="20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34170C" w14:textId="77777777" w:rsidR="007E38E0" w:rsidRDefault="007E38E0" w:rsidP="009D06FD">
            <w:r>
              <w:rPr>
                <w:sz w:val="20"/>
                <w:szCs w:val="20"/>
              </w:rPr>
              <w:t>Abrangência</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650D2F" w14:textId="77777777" w:rsidR="007E38E0" w:rsidRDefault="007E38E0" w:rsidP="009D06FD">
            <w:r>
              <w:rPr>
                <w:sz w:val="20"/>
                <w:szCs w:val="20"/>
              </w:rPr>
              <w:t>≈ 320 mil habitantes atendidos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B7BE82" w14:textId="77777777" w:rsidR="007E38E0" w:rsidRDefault="007E38E0" w:rsidP="009D06FD">
            <w:r>
              <w:rPr>
                <w:sz w:val="20"/>
                <w:szCs w:val="20"/>
              </w:rPr>
              <w:t>Maior centro urbano do país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145394" w14:textId="77777777" w:rsidR="007E38E0" w:rsidRDefault="007E38E0" w:rsidP="009D06FD">
            <w:r>
              <w:rPr>
                <w:sz w:val="20"/>
                <w:szCs w:val="20"/>
              </w:rPr>
              <w:t>99,86% de cobertura de coleta urbana</w:t>
            </w:r>
          </w:p>
        </w:tc>
      </w:tr>
      <w:tr w:rsidR="007E38E0" w14:paraId="478A8D55" w14:textId="77777777" w:rsidTr="009D06FD">
        <w:tc>
          <w:tcPr>
            <w:tcW w:w="20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393D27" w14:textId="77777777" w:rsidR="007E38E0" w:rsidRDefault="007E38E0" w:rsidP="009D06FD">
            <w:r>
              <w:rPr>
                <w:sz w:val="20"/>
                <w:szCs w:val="20"/>
              </w:rPr>
              <w:t>Desempenho</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EBF6A7" w14:textId="77777777" w:rsidR="007E38E0" w:rsidRDefault="007E38E0" w:rsidP="009D06FD">
            <w:r>
              <w:rPr>
                <w:sz w:val="20"/>
                <w:szCs w:val="20"/>
              </w:rPr>
              <w:t>100% de disposição final adequada</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625DAD" w14:textId="77777777" w:rsidR="007E38E0" w:rsidRDefault="007E38E0" w:rsidP="009D06FD">
            <w:r>
              <w:rPr>
                <w:sz w:val="20"/>
                <w:szCs w:val="20"/>
              </w:rPr>
              <w:t>Reciclagem superior a 7%</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B09D2D" w14:textId="77777777" w:rsidR="007E38E0" w:rsidRDefault="007E38E0" w:rsidP="009D06FD">
            <w:r>
              <w:rPr>
                <w:sz w:val="20"/>
                <w:szCs w:val="20"/>
              </w:rPr>
              <w:t>≈ 40% de recicláveis na fração coletada</w:t>
            </w:r>
          </w:p>
        </w:tc>
      </w:tr>
      <w:tr w:rsidR="007E38E0" w14:paraId="33D72C3D" w14:textId="77777777" w:rsidTr="009D06FD">
        <w:tc>
          <w:tcPr>
            <w:tcW w:w="20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5CC262" w14:textId="77777777" w:rsidR="007E38E0" w:rsidRDefault="007E38E0" w:rsidP="009D06FD">
            <w:r>
              <w:rPr>
                <w:sz w:val="20"/>
                <w:szCs w:val="20"/>
              </w:rPr>
              <w:t>Inclusão de catadores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99EE89" w14:textId="77777777" w:rsidR="007E38E0" w:rsidRDefault="007E38E0" w:rsidP="009D06FD">
            <w:r>
              <w:rPr>
                <w:sz w:val="20"/>
                <w:szCs w:val="20"/>
              </w:rPr>
              <w:t>Coleta seletiva com inclusão de catadores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60DBCE" w14:textId="77777777" w:rsidR="007E38E0" w:rsidRDefault="007E38E0" w:rsidP="009D06FD">
            <w:r>
              <w:rPr>
                <w:sz w:val="20"/>
                <w:szCs w:val="20"/>
              </w:rPr>
              <w:t>Mais de 20 cooperativas integradas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DD461A" w14:textId="77777777" w:rsidR="007E38E0" w:rsidRDefault="007E38E0" w:rsidP="009D06FD">
            <w:r>
              <w:rPr>
                <w:sz w:val="20"/>
                <w:szCs w:val="20"/>
              </w:rPr>
              <w:t>Integração via coleta seletiva</w:t>
            </w:r>
          </w:p>
        </w:tc>
      </w:tr>
      <w:tr w:rsidR="007E38E0" w14:paraId="3BD8D4E6" w14:textId="77777777" w:rsidTr="009D06FD">
        <w:tc>
          <w:tcPr>
            <w:tcW w:w="20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C8DD00" w14:textId="77777777" w:rsidR="007E38E0" w:rsidRDefault="007E38E0" w:rsidP="009D06FD">
            <w:r>
              <w:rPr>
                <w:sz w:val="20"/>
                <w:szCs w:val="20"/>
              </w:rPr>
              <w:t>Fator de destaque</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D335B9" w14:textId="77777777" w:rsidR="007E38E0" w:rsidRDefault="007E38E0" w:rsidP="009D06FD">
            <w:r>
              <w:rPr>
                <w:sz w:val="20"/>
                <w:szCs w:val="20"/>
              </w:rPr>
              <w:t>Regionalização consorciada</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C0C331" w14:textId="77777777" w:rsidR="007E38E0" w:rsidRDefault="007E38E0" w:rsidP="009D06FD">
            <w:r>
              <w:rPr>
                <w:sz w:val="20"/>
                <w:szCs w:val="20"/>
              </w:rPr>
              <w:t>Regulação contratual com metas</w:t>
            </w:r>
          </w:p>
        </w:tc>
        <w:tc>
          <w:tcPr>
            <w:tcW w:w="23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0CDF21" w14:textId="77777777" w:rsidR="007E38E0" w:rsidRDefault="007E38E0" w:rsidP="009D06FD">
            <w:r>
              <w:rPr>
                <w:sz w:val="20"/>
                <w:szCs w:val="20"/>
              </w:rPr>
              <w:t>Educação ambiental contínua</w:t>
            </w:r>
          </w:p>
        </w:tc>
      </w:tr>
    </w:tbl>
    <w:p w14:paraId="086C4237" w14:textId="77777777" w:rsidR="007E38E0" w:rsidRDefault="007E38E0" w:rsidP="007E38E0">
      <w:pPr>
        <w:spacing w:before="20" w:after="80"/>
      </w:pPr>
      <w:r>
        <w:rPr>
          <w:sz w:val="20"/>
          <w:szCs w:val="20"/>
        </w:rPr>
        <w:t>Fonte: elaborado pelos autores com base em MMA (2017), JACOBI e Besen (2011), AMLURB (2020), IBGE (2022) e SciELO (2021).</w:t>
      </w:r>
    </w:p>
    <w:p w14:paraId="3C34F679" w14:textId="77777777" w:rsidR="007E38E0" w:rsidRDefault="007E38E0" w:rsidP="007E38E0"/>
    <w:p w14:paraId="56E0462A" w14:textId="77777777" w:rsidR="007E38E0" w:rsidRDefault="007E38E0" w:rsidP="007E38E0">
      <w:pPr>
        <w:spacing w:line="360" w:lineRule="auto"/>
        <w:ind w:firstLine="720"/>
        <w:jc w:val="both"/>
      </w:pPr>
      <w:r>
        <w:rPr>
          <w:sz w:val="24"/>
          <w:szCs w:val="24"/>
        </w:rPr>
        <w:t>A análise comparativa dos três casos permite identificar elementos convergentes que ajudam a explicar o desempenho superior à média nacional. Em todos eles, observa-se a presença de governança institucionalizada, com responsabilidades claramente atribuídas a órgãos ou consórcios dotados de corpo técnico próprio; mecanismos de financiamento previsíveis, seja por rateio proporcional entre municípios consorciados, seja por contratos de concessão com metas de desempenho; e a integração efetiva entre coleta seletiva, logística reversa e inclusão socioprodutiva dos catadores. Esses achados corroboram a literatura, que associa a efetividade da gestão de resíduos à estabilidade das políticas e à continuidade administrativa, e não apenas à existência formal dos planos (JACOBI; BESEN, 2011; SOUZA; PAULA, 2020). Por outro lado, a comparação evidencia que não há um modelo único: enquanto a regionalização consorciada se mostra mais adequada a municípios de menor porte, grandes centros urbanos tendem a recorrer à regulação contratual de concessionárias, o que reforça a importância de soluções adaptadas à realidade de cada território.</w:t>
      </w:r>
    </w:p>
    <w:p w14:paraId="021079D3" w14:textId="77777777" w:rsidR="00243512" w:rsidRPr="005F70B0" w:rsidRDefault="00243512" w:rsidP="009C4B75">
      <w:pPr>
        <w:pStyle w:val="Corpodetexto"/>
        <w:spacing w:line="360" w:lineRule="auto"/>
        <w:ind w:firstLine="720"/>
        <w:jc w:val="both"/>
        <w:rPr>
          <w:sz w:val="24"/>
          <w:szCs w:val="24"/>
        </w:rPr>
      </w:pPr>
    </w:p>
    <w:p w14:paraId="1C25DF7A" w14:textId="08AB03CF" w:rsidR="00243512" w:rsidRPr="005F70B0" w:rsidRDefault="00243512" w:rsidP="009C4B75">
      <w:pPr>
        <w:pStyle w:val="Corpodetexto"/>
        <w:spacing w:line="360" w:lineRule="auto"/>
        <w:jc w:val="both"/>
        <w:rPr>
          <w:b/>
          <w:bCs/>
          <w:sz w:val="28"/>
          <w:szCs w:val="28"/>
        </w:rPr>
      </w:pPr>
      <w:r w:rsidRPr="005F70B0">
        <w:rPr>
          <w:b/>
          <w:bCs/>
          <w:sz w:val="28"/>
          <w:szCs w:val="28"/>
        </w:rPr>
        <w:t>Considerações Finais</w:t>
      </w:r>
    </w:p>
    <w:p w14:paraId="159481A9" w14:textId="3B1F34FA" w:rsidR="007E38E0" w:rsidRDefault="007E38E0" w:rsidP="007E38E0">
      <w:pPr>
        <w:spacing w:line="360" w:lineRule="auto"/>
        <w:ind w:firstLine="720"/>
        <w:jc w:val="both"/>
      </w:pPr>
      <w:r>
        <w:rPr>
          <w:sz w:val="24"/>
          <w:szCs w:val="24"/>
        </w:rPr>
        <w:t xml:space="preserve">Os três casos analisados, CISLIPA, São Paulo e Curitiba demonstram que os planos de gestão integrada, quando implementados com governança sólida, financiamento adequado e participação social, conseguem produzir resultados superiores à média nacional. Enquanto o CISLIPA evidencia a eficácia da regionalização consorciada, São Paulo destaca a importância da regulação e da inclusão socioprodutiva, e Curitiba reforça o papel da educação ambiental e da participação comunitária. Como agenda de aprimoramento, destacam-se a expansão de consórcios intermunicipais em regiões de pequeno e médio porte, a adoção de modelos </w:t>
      </w:r>
      <w:r>
        <w:rPr>
          <w:sz w:val="24"/>
          <w:szCs w:val="24"/>
        </w:rPr>
        <w:lastRenderedPageBreak/>
        <w:t>tarifários transparentes e socialmente justos, a integração efetiva da logística reversa aos planos, o fortalecimento da inclusão dos catadores e a institucionalização do monitoramento e da transparência ativa. Essas medidas reforçam a PNRS e alinham-se aos Objetivos de Desenvolvimento Sustentável (ODS 11 e 12), contribuindo para a consolidação da economia circular no Brasil.</w:t>
      </w:r>
    </w:p>
    <w:p w14:paraId="1459CD48" w14:textId="77777777" w:rsidR="009C4B75" w:rsidRPr="005F70B0" w:rsidRDefault="009C4B75" w:rsidP="009C4B75">
      <w:pPr>
        <w:pStyle w:val="Corpodetexto"/>
        <w:spacing w:line="360" w:lineRule="auto"/>
        <w:ind w:firstLine="720"/>
        <w:jc w:val="both"/>
        <w:rPr>
          <w:sz w:val="24"/>
          <w:szCs w:val="24"/>
        </w:rPr>
      </w:pPr>
    </w:p>
    <w:p w14:paraId="58B32154" w14:textId="3AF5B758"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1AA70547" w14:textId="519E8696" w:rsidR="007E38E0" w:rsidRDefault="007E38E0" w:rsidP="007E38E0">
      <w:pPr>
        <w:spacing w:line="360" w:lineRule="auto"/>
        <w:ind w:firstLine="720"/>
        <w:jc w:val="both"/>
      </w:pPr>
      <w:r>
        <w:rPr>
          <w:sz w:val="24"/>
          <w:szCs w:val="24"/>
        </w:rPr>
        <w:t>Os autores agradecem à Coordenação de Aperfeiçoamento de Pessoal de Nível Superior (CAPES) pelo apoio à pesquisa, por meio de bolsa de doutorado.</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54F5AD60" w14:textId="77777777" w:rsidR="007E38E0" w:rsidRDefault="007E38E0" w:rsidP="007E38E0">
      <w:pPr>
        <w:spacing w:after="60"/>
      </w:pPr>
      <w:r>
        <w:t>ABRELPE. Panorama dos resíduos sólidos no Brasil. São Paulo: ABRELPE, 2023.</w:t>
      </w:r>
    </w:p>
    <w:p w14:paraId="70091EA1" w14:textId="77777777" w:rsidR="007E38E0" w:rsidRDefault="007E38E0" w:rsidP="007E38E0">
      <w:pPr>
        <w:spacing w:after="60"/>
      </w:pPr>
      <w:r>
        <w:t>AMLURB. Plano de Gestão Integrada de Resíduos Sólidos do Município de São Paulo – PGIRS. São Paulo: AMLURB, 2014.</w:t>
      </w:r>
    </w:p>
    <w:p w14:paraId="28E8EFC4" w14:textId="77777777" w:rsidR="007E38E0" w:rsidRDefault="007E38E0" w:rsidP="007E38E0">
      <w:pPr>
        <w:spacing w:after="60"/>
      </w:pPr>
      <w:r>
        <w:t>BRASIL. Lei nº 12.305, de 2 de agosto de 2010. Institui a Política Nacional de Resíduos Sólidos. Diário Oficial da União, Brasília, DF, 3 ago. 2010a.</w:t>
      </w:r>
    </w:p>
    <w:p w14:paraId="0B42EDA0" w14:textId="77777777" w:rsidR="007E38E0" w:rsidRDefault="007E38E0" w:rsidP="007E38E0">
      <w:pPr>
        <w:spacing w:after="60"/>
      </w:pPr>
      <w:r>
        <w:t>BRASIL. Decreto nº 10.936, de 12 de janeiro de 2022. Regulamenta a Lei nº 12.305, de 2 de agosto de 2010, que institui a Política Nacional de Resíduos Sólidos. Diário Oficial da União, Brasília, DF, 13 jan. 2022a.</w:t>
      </w:r>
    </w:p>
    <w:p w14:paraId="21A2C82D" w14:textId="77777777" w:rsidR="007E38E0" w:rsidRDefault="007E38E0" w:rsidP="007E38E0">
      <w:pPr>
        <w:spacing w:after="60"/>
      </w:pPr>
      <w:r>
        <w:t>BRASIL. Decreto nº 11.043, de 13 de abril de 2022. Institui o Plano Nacional de Resíduos Sólidos. Diário Oficial da União, Brasília, DF, 14 abr. 2022b.</w:t>
      </w:r>
    </w:p>
    <w:p w14:paraId="7CE630E6" w14:textId="77777777" w:rsidR="007E38E0" w:rsidRDefault="007E38E0" w:rsidP="007E38E0">
      <w:pPr>
        <w:spacing w:after="60"/>
      </w:pPr>
      <w:r>
        <w:t>CURITIBA. Gerenciamento de resíduos sólidos urbanos. Curitiba: Secretaria Municipal do Meio Ambiente, 2023.</w:t>
      </w:r>
    </w:p>
    <w:p w14:paraId="25EEDD7E" w14:textId="77777777" w:rsidR="007E38E0" w:rsidRDefault="007E38E0" w:rsidP="007E38E0">
      <w:pPr>
        <w:spacing w:after="60"/>
      </w:pPr>
      <w:r>
        <w:t>IBGE. Censo Demográfico 2022: resultados sobre coleta de lixo domiciliar. Brasília: IBGE, 2022.</w:t>
      </w:r>
    </w:p>
    <w:p w14:paraId="57B40104" w14:textId="77777777" w:rsidR="007E38E0" w:rsidRDefault="007E38E0" w:rsidP="007E38E0">
      <w:pPr>
        <w:spacing w:after="60"/>
      </w:pPr>
      <w:r>
        <w:t>JACOBI, P. R.; BESEN, G. R. Gestão de resíduos sólidos em São Paulo: desafios da sustentabilidade. Estudos Avançados, v. 25, n. 71, p. 135-158, 2011.</w:t>
      </w:r>
    </w:p>
    <w:p w14:paraId="2F97D2EA" w14:textId="77777777" w:rsidR="007E38E0" w:rsidRDefault="007E38E0" w:rsidP="007E38E0">
      <w:pPr>
        <w:spacing w:after="60"/>
      </w:pPr>
      <w:r>
        <w:t>MMA – MINISTÉRIO DO MEIO AMBIENTE. Consórcios intermunicipais e a regionalização da gestão de resíduos sólidos. Brasília, DF: MMA, 2017.</w:t>
      </w:r>
    </w:p>
    <w:p w14:paraId="6E833A64" w14:textId="77777777" w:rsidR="007E38E0" w:rsidRDefault="007E38E0" w:rsidP="007E38E0">
      <w:pPr>
        <w:spacing w:after="60"/>
      </w:pPr>
      <w:r>
        <w:t>MMA – MINISTÉRIO DO MEIO AMBIENTE. Plano Nacional de Resíduos Sólidos – Planares. Brasília, DF: MMA, 2022.</w:t>
      </w:r>
    </w:p>
    <w:p w14:paraId="3B63F0EF" w14:textId="77777777" w:rsidR="007E38E0" w:rsidRDefault="007E38E0" w:rsidP="007E38E0">
      <w:pPr>
        <w:spacing w:after="60"/>
      </w:pPr>
      <w:r>
        <w:t>PHILIPPI JR., A.; AGUIAR, A. O. Política Nacional de Resíduos Sólidos: avanços e desafios. Revista Engenharia Sanitária e Ambiental, v. 20, n. 1, p. 29-38, 2015.</w:t>
      </w:r>
    </w:p>
    <w:p w14:paraId="041EDC2A" w14:textId="77777777" w:rsidR="007E38E0" w:rsidRDefault="007E38E0" w:rsidP="007E38E0">
      <w:pPr>
        <w:spacing w:after="60"/>
      </w:pPr>
      <w:r>
        <w:t>SÃO PAULO (Município). Lei nº 13.478, de 30 de dezembro de 2002. Organiza o Sistema de Limpeza Urbana e cria a AMLURB. São Paulo: Câmara Municipal, 2002.</w:t>
      </w:r>
    </w:p>
    <w:p w14:paraId="2EF0FAD8" w14:textId="77777777" w:rsidR="007E38E0" w:rsidRDefault="007E38E0" w:rsidP="007E38E0">
      <w:pPr>
        <w:spacing w:after="60"/>
      </w:pPr>
      <w:r>
        <w:t>SÃO PAULO (Município). Decreto nº 63.113, de 2 de janeiro de 2024. Institui o Comitê Intersecretarial da Política Municipal de Gestão Integrada de Resíduos Sólidos – CGIRS. São Paulo: Prefeitura, 2024.</w:t>
      </w:r>
    </w:p>
    <w:p w14:paraId="6DD40429" w14:textId="77777777" w:rsidR="007E38E0" w:rsidRDefault="007E38E0" w:rsidP="007E38E0">
      <w:pPr>
        <w:spacing w:after="60"/>
      </w:pPr>
      <w:r>
        <w:t>SCIELO. Composição gravimétrica dos resíduos sólidos urbanos de Curitiba. Engenharia Sanitária e Ambiental, v. 26, n. 2, p. 251-262, 2021.</w:t>
      </w:r>
    </w:p>
    <w:p w14:paraId="0BA8C96F" w14:textId="29FA9B5D" w:rsidR="001C5BCC" w:rsidRDefault="007E38E0" w:rsidP="007E38E0">
      <w:pPr>
        <w:spacing w:after="60"/>
      </w:pPr>
      <w:r>
        <w:t>SOUZA, M. T. S.; PAULA, M. B. Os desafios da gestão de resíduos sólidos no Brasil. Cadernos EBAPE.BR, v. 18, n. spe, p. 799-812, 2020.</w:t>
      </w:r>
    </w:p>
    <w:sectPr w:rsidR="001C5BCC" w:rsidSect="008913F4">
      <w:headerReference w:type="default" r:id="rId9"/>
      <w:footerReference w:type="default" r:id="rId10"/>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4F41A" w14:textId="77777777" w:rsidR="007025C1" w:rsidRDefault="007025C1">
      <w:r>
        <w:separator/>
      </w:r>
    </w:p>
  </w:endnote>
  <w:endnote w:type="continuationSeparator" w:id="0">
    <w:p w14:paraId="1648FF9B" w14:textId="77777777" w:rsidR="007025C1" w:rsidRDefault="00702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6512" w14:textId="77777777" w:rsidR="007025C1" w:rsidRDefault="007025C1">
      <w:r>
        <w:separator/>
      </w:r>
    </w:p>
  </w:footnote>
  <w:footnote w:type="continuationSeparator" w:id="0">
    <w:p w14:paraId="6F9BD9E5" w14:textId="77777777" w:rsidR="007025C1" w:rsidRDefault="00702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1048455931">
    <w:abstractNumId w:val="0"/>
  </w:num>
  <w:num w:numId="2" w16cid:durableId="1202594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815CB"/>
    <w:rsid w:val="001923EE"/>
    <w:rsid w:val="001C5BCC"/>
    <w:rsid w:val="00243512"/>
    <w:rsid w:val="0036697E"/>
    <w:rsid w:val="00480F09"/>
    <w:rsid w:val="005259CE"/>
    <w:rsid w:val="005F70B0"/>
    <w:rsid w:val="00624629"/>
    <w:rsid w:val="00694319"/>
    <w:rsid w:val="007025C1"/>
    <w:rsid w:val="007561D8"/>
    <w:rsid w:val="007E38E0"/>
    <w:rsid w:val="008858BD"/>
    <w:rsid w:val="00886745"/>
    <w:rsid w:val="008913F4"/>
    <w:rsid w:val="009C4B75"/>
    <w:rsid w:val="009E39F5"/>
    <w:rsid w:val="00A33E6F"/>
    <w:rsid w:val="00AD22F1"/>
    <w:rsid w:val="00AF5124"/>
    <w:rsid w:val="00B1783B"/>
    <w:rsid w:val="00C0162C"/>
    <w:rsid w:val="00C538C1"/>
    <w:rsid w:val="00C60F3C"/>
    <w:rsid w:val="00CB7608"/>
    <w:rsid w:val="00D22860"/>
    <w:rsid w:val="00DD4689"/>
    <w:rsid w:val="00E3782C"/>
    <w:rsid w:val="00E42F17"/>
    <w:rsid w:val="00EA25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D22860"/>
    <w:rPr>
      <w:color w:val="0000FF" w:themeColor="hyperlink"/>
      <w:u w:val="single"/>
    </w:rPr>
  </w:style>
  <w:style w:type="character" w:styleId="MenoPendente">
    <w:name w:val="Unresolved Mention"/>
    <w:basedOn w:val="Fontepargpadro"/>
    <w:uiPriority w:val="99"/>
    <w:semiHidden/>
    <w:unhideWhenUsed/>
    <w:rsid w:val="00D22860"/>
    <w:rPr>
      <w:color w:val="605E5C"/>
      <w:shd w:val="clear" w:color="auto" w:fill="E1DFDD"/>
    </w:rPr>
  </w:style>
  <w:style w:type="paragraph" w:customStyle="1" w:styleId="Forte1">
    <w:name w:val="Forte1"/>
    <w:qFormat/>
    <w:rsid w:val="00DD4689"/>
    <w:pPr>
      <w:widowControl/>
      <w:autoSpaceDE/>
      <w:autoSpaceDN/>
    </w:pPr>
    <w:rPr>
      <w:rFonts w:ascii="Times New Roman" w:eastAsia="Times New Roman" w:hAnsi="Times New Roman" w:cs="Times New Roman"/>
      <w:b/>
      <w:bCs/>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2354</Words>
  <Characters>12716</Characters>
  <Application>Microsoft Office Word</Application>
  <DocSecurity>0</DocSecurity>
  <Lines>105</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Meu-Dell</cp:lastModifiedBy>
  <cp:revision>4</cp:revision>
  <dcterms:created xsi:type="dcterms:W3CDTF">2026-06-30T18:44:00Z</dcterms:created>
  <dcterms:modified xsi:type="dcterms:W3CDTF">2026-06-30T18:55:00Z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