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E3" w:rsidRDefault="00DF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Reflexões Sobre a Condição Huma</w:t>
      </w:r>
      <w:r w:rsidR="00BE61E1">
        <w:rPr>
          <w:rFonts w:ascii="Times New Roman" w:eastAsia="Times New Roman" w:hAnsi="Times New Roman" w:cs="Times New Roman"/>
          <w:b/>
          <w:i/>
          <w:sz w:val="24"/>
          <w:szCs w:val="24"/>
        </w:rPr>
        <w:t>na dos Sertanejos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na Obra “Vidas Secas” de Graciliano Ramos</w:t>
      </w:r>
    </w:p>
    <w:p w:rsidR="00941BE3" w:rsidRDefault="0094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BE3" w:rsidRDefault="00941B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BE3" w:rsidRDefault="00DF6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Otacílio Gomes da Silva Neto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941BE3" w:rsidRDefault="00941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1BE3" w:rsidRDefault="00941B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BE3" w:rsidRDefault="00DF60D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941BE3" w:rsidRDefault="00B07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deste trabalho se insere na tentativa de elaborar uma reflexão filosófica do sertão nordestino a partir</w:t>
      </w:r>
      <w:r w:rsidR="00DD2E99">
        <w:rPr>
          <w:rFonts w:ascii="Times New Roman" w:eastAsia="Times New Roman" w:hAnsi="Times New Roman" w:cs="Times New Roman"/>
          <w:sz w:val="24"/>
          <w:szCs w:val="24"/>
        </w:rPr>
        <w:t xml:space="preserve"> de personagens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romance “Vidas secas” (1938) de Graciliano Ramos.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0DA">
        <w:rPr>
          <w:rFonts w:ascii="Times New Roman" w:eastAsia="Times New Roman" w:hAnsi="Times New Roman" w:cs="Times New Roman"/>
          <w:sz w:val="24"/>
          <w:szCs w:val="24"/>
        </w:rPr>
        <w:t>Os primeiros retratos da região que estava sendo constituída como sertão do Nordeste foram registrados via literatura, e mais especificamente, na chamada literatura de 1930, em um período no qual convencionou-se chamar de “Regionalismo”.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Utilizaremos o método hermenêutico com o intuito de analisar</w:t>
      </w:r>
      <w:r w:rsidR="00DD2E99">
        <w:rPr>
          <w:rFonts w:ascii="Times New Roman" w:eastAsia="Times New Roman" w:hAnsi="Times New Roman" w:cs="Times New Roman"/>
          <w:sz w:val="24"/>
          <w:szCs w:val="24"/>
        </w:rPr>
        <w:t xml:space="preserve"> filosoficamente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significado da atuação de personagens como Fabiano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Vitória </w:t>
      </w:r>
      <w:r w:rsidR="00DD2E99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DF60DA">
        <w:rPr>
          <w:rFonts w:ascii="Times New Roman" w:eastAsia="Times New Roman" w:hAnsi="Times New Roman" w:cs="Times New Roman"/>
          <w:sz w:val="24"/>
          <w:szCs w:val="24"/>
        </w:rPr>
        <w:t xml:space="preserve"> demonstrar que</w:t>
      </w:r>
      <w:r w:rsidR="00DD2E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60DA">
        <w:rPr>
          <w:rFonts w:ascii="Times New Roman" w:eastAsia="Times New Roman" w:hAnsi="Times New Roman" w:cs="Times New Roman"/>
          <w:sz w:val="24"/>
          <w:szCs w:val="24"/>
        </w:rPr>
        <w:t xml:space="preserve"> mesmo em situações de crise</w:t>
      </w:r>
      <w:bookmarkStart w:id="0" w:name="_GoBack"/>
      <w:bookmarkEnd w:id="0"/>
      <w:r w:rsidR="00DF60DA">
        <w:rPr>
          <w:rFonts w:ascii="Times New Roman" w:eastAsia="Times New Roman" w:hAnsi="Times New Roman" w:cs="Times New Roman"/>
          <w:sz w:val="24"/>
          <w:szCs w:val="24"/>
        </w:rPr>
        <w:t xml:space="preserve"> humanitária alinhadas ao subdesenvolvimento, </w:t>
      </w:r>
      <w:r w:rsidR="00DD2E99">
        <w:rPr>
          <w:rFonts w:ascii="Times New Roman" w:eastAsia="Times New Roman" w:hAnsi="Times New Roman" w:cs="Times New Roman"/>
          <w:sz w:val="24"/>
          <w:szCs w:val="24"/>
        </w:rPr>
        <w:t>estes</w:t>
      </w:r>
      <w:r w:rsidR="00DF60DA">
        <w:rPr>
          <w:rFonts w:ascii="Times New Roman" w:eastAsia="Times New Roman" w:hAnsi="Times New Roman" w:cs="Times New Roman"/>
          <w:sz w:val="24"/>
          <w:szCs w:val="24"/>
        </w:rPr>
        <w:t xml:space="preserve"> sertanejos intuitivamente foram capazes de refletir sobre suas vidas com profundidade, a despeito das forças governamentais locais e nacionais daquela época que relegaram o povo sertanejo à exploração e à miséria. Autores como Graciliano Ramos diagnosticaram bem a situação precária na qual vivia o povo sertanejo, mas nem por isso deixaram de demonstrar que, mesmo intuitivamente, os sertanejos eram capazes de compreender a si mesmos com profundidade, assim como conseguiam refletir sobre a situação de desigualdade social e de injustiça na qual foram abandonados.</w:t>
      </w:r>
    </w:p>
    <w:p w:rsidR="00941BE3" w:rsidRDefault="00941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E3" w:rsidRDefault="00DF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</w:p>
    <w:p w:rsidR="00941BE3" w:rsidRDefault="005B06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Sertão nordestino,</w:t>
      </w:r>
      <w:r w:rsidR="00DF6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0DA">
        <w:rPr>
          <w:rFonts w:ascii="Times New Roman" w:eastAsia="Times New Roman" w:hAnsi="Times New Roman" w:cs="Times New Roman"/>
          <w:i/>
          <w:sz w:val="24"/>
          <w:szCs w:val="24"/>
        </w:rPr>
        <w:t>Vidas secas</w:t>
      </w:r>
      <w:r>
        <w:rPr>
          <w:rFonts w:ascii="Times New Roman" w:eastAsia="Times New Roman" w:hAnsi="Times New Roman" w:cs="Times New Roman"/>
          <w:sz w:val="24"/>
          <w:szCs w:val="24"/>
        </w:rPr>
        <w:t>, filosofia, desigualdade,</w:t>
      </w:r>
      <w:r w:rsidR="00DF60DA">
        <w:rPr>
          <w:rFonts w:ascii="Times New Roman" w:eastAsia="Times New Roman" w:hAnsi="Times New Roman" w:cs="Times New Roman"/>
          <w:sz w:val="24"/>
          <w:szCs w:val="24"/>
        </w:rPr>
        <w:t xml:space="preserve"> injustiça.</w:t>
      </w:r>
    </w:p>
    <w:p w:rsidR="00941BE3" w:rsidRDefault="00941BE3">
      <w:pPr>
        <w:rPr>
          <w:rFonts w:ascii="Times New Roman" w:eastAsia="Times New Roman" w:hAnsi="Times New Roman" w:cs="Times New Roman"/>
        </w:rPr>
      </w:pPr>
    </w:p>
    <w:p w:rsidR="00941BE3" w:rsidRDefault="00941BE3"/>
    <w:p w:rsidR="00941BE3" w:rsidRDefault="00941BE3"/>
    <w:p w:rsidR="00941BE3" w:rsidRDefault="00941BE3"/>
    <w:p w:rsidR="00941BE3" w:rsidRDefault="00941BE3">
      <w:pPr>
        <w:jc w:val="center"/>
      </w:pPr>
    </w:p>
    <w:sectPr w:rsidR="00941BE3">
      <w:headerReference w:type="default" r:id="rId6"/>
      <w:footerReference w:type="default" r:id="rId7"/>
      <w:pgSz w:w="11906" w:h="16838"/>
      <w:pgMar w:top="993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7D" w:rsidRDefault="002A647D">
      <w:pPr>
        <w:spacing w:after="0" w:line="240" w:lineRule="auto"/>
      </w:pPr>
      <w:r>
        <w:separator/>
      </w:r>
    </w:p>
  </w:endnote>
  <w:endnote w:type="continuationSeparator" w:id="0">
    <w:p w:rsidR="002A647D" w:rsidRDefault="002A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3" w:rsidRDefault="00941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7D" w:rsidRDefault="002A647D">
      <w:pPr>
        <w:spacing w:after="0" w:line="240" w:lineRule="auto"/>
      </w:pPr>
      <w:r>
        <w:separator/>
      </w:r>
    </w:p>
  </w:footnote>
  <w:footnote w:type="continuationSeparator" w:id="0">
    <w:p w:rsidR="002A647D" w:rsidRDefault="002A647D">
      <w:pPr>
        <w:spacing w:after="0" w:line="240" w:lineRule="auto"/>
      </w:pPr>
      <w:r>
        <w:continuationSeparator/>
      </w:r>
    </w:p>
  </w:footnote>
  <w:footnote w:id="1">
    <w:p w:rsidR="00941BE3" w:rsidRDefault="00DF6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Professor do Departamento de Filosofia (UEPB). Doutor em Filosofia na área de concentração em Ética e Filosofia Política pelo Programa Integrado de Doutorado em Filosofia - UFPE-UFPB-UFRN. Membro da Associação Brasileira de Filosofia da Religião (ABFR). Desenvolve trabalhos na área de Ética, Filosofia da Religião, Filosofia da História, Filosofia e Literatura.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3" w:rsidRDefault="00DF60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480175" cy="982980"/>
          <wp:effectExtent l="0" t="0" r="0" b="0"/>
          <wp:docPr id="1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 t="32458" b="37201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1BE3" w:rsidRDefault="00941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20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E3"/>
    <w:rsid w:val="001E4C8E"/>
    <w:rsid w:val="00252910"/>
    <w:rsid w:val="002A647D"/>
    <w:rsid w:val="0037545D"/>
    <w:rsid w:val="005B065F"/>
    <w:rsid w:val="00941BE3"/>
    <w:rsid w:val="00B075F1"/>
    <w:rsid w:val="00BE61E1"/>
    <w:rsid w:val="00C86191"/>
    <w:rsid w:val="00DD2E99"/>
    <w:rsid w:val="00D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8484A-3918-4D5B-BB41-E5DC6E7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2025-01-05T14:45:00Z</dcterms:created>
  <dcterms:modified xsi:type="dcterms:W3CDTF">2025-01-06T01:53:00Z</dcterms:modified>
</cp:coreProperties>
</file>