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282" w:rsidRPr="00C827A6" w:rsidRDefault="00975282" w:rsidP="00975282">
      <w:pPr>
        <w:pStyle w:val="NormalWeb"/>
        <w:spacing w:line="360" w:lineRule="auto"/>
        <w:jc w:val="center"/>
        <w:rPr>
          <w:b/>
          <w:sz w:val="28"/>
          <w:szCs w:val="28"/>
        </w:rPr>
      </w:pPr>
      <w:r w:rsidRPr="00B57217">
        <w:rPr>
          <w:b/>
          <w:sz w:val="28"/>
          <w:szCs w:val="28"/>
        </w:rPr>
        <w:t>CERATOCONE: PREVALÊNCIA, FATORES DE RISCO E DESAFIOS DIAGNÓSTICOS NA POPULAÇÃO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C827A6" w:rsidRPr="00C827A6" w:rsidRDefault="00805ABD" w:rsidP="00C827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27A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Beatriz Araújo</w:t>
      </w:r>
      <w:r w:rsidR="00C827A6" w:rsidRPr="00C827A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Costa Simões</w:t>
      </w:r>
      <w:r w:rsidR="00412EEC" w:rsidRPr="00C827A6">
        <w:rPr>
          <w:rFonts w:ascii="Times New Roman" w:eastAsia="Times New Roman" w:hAnsi="Times New Roman" w:cs="Times New Roman"/>
          <w:color w:val="000000"/>
          <w:sz w:val="16"/>
          <w:szCs w:val="16"/>
        </w:rPr>
        <w:t>¹</w:t>
      </w:r>
    </w:p>
    <w:p w:rsidR="00C827A6" w:rsidRPr="00C827A6" w:rsidRDefault="00C827A6" w:rsidP="00C827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27A6">
        <w:rPr>
          <w:rFonts w:ascii="Times New Roman" w:hAnsi="Times New Roman" w:cs="Times New Roman"/>
          <w:sz w:val="16"/>
          <w:szCs w:val="16"/>
        </w:rPr>
        <w:t>Graduanda em Medicina e Saúde pela Universidade Evangélica de Goiás – UniEVANGÉLICA, Anápolis, GO, beatriz_biacs@me.com</w:t>
      </w:r>
    </w:p>
    <w:p w:rsidR="00C827A6" w:rsidRPr="00C827A6" w:rsidRDefault="00C827A6" w:rsidP="00C827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b/>
          <w:sz w:val="16"/>
          <w:szCs w:val="16"/>
        </w:rPr>
      </w:pPr>
      <w:r w:rsidRPr="00C827A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Ana Beatriz Magalhães Cunha</w:t>
      </w:r>
      <w:r w:rsidRPr="00C827A6">
        <w:rPr>
          <w:b/>
          <w:sz w:val="16"/>
          <w:szCs w:val="16"/>
        </w:rPr>
        <w:t xml:space="preserve"> </w:t>
      </w:r>
    </w:p>
    <w:p w:rsidR="00C827A6" w:rsidRPr="00C827A6" w:rsidRDefault="00C827A6" w:rsidP="00C827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sz w:val="16"/>
          <w:szCs w:val="16"/>
        </w:rPr>
      </w:pPr>
      <w:r w:rsidRPr="00C827A6">
        <w:rPr>
          <w:rFonts w:ascii="Times New Roman" w:hAnsi="Times New Roman" w:cs="Times New Roman"/>
          <w:sz w:val="16"/>
          <w:szCs w:val="16"/>
        </w:rPr>
        <w:t>Graduanda em Medicina e Saúde pela Universidade de Rio Verde - UNIRV, Goiânia, GO</w:t>
      </w:r>
    </w:p>
    <w:p w:rsidR="00C827A6" w:rsidRPr="00C827A6" w:rsidRDefault="00C827A6" w:rsidP="00C827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b/>
          <w:sz w:val="16"/>
          <w:szCs w:val="16"/>
        </w:rPr>
      </w:pPr>
      <w:r w:rsidRPr="00C827A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Isadora Gundim Ávila Duarte </w:t>
      </w:r>
      <w:r w:rsidRPr="00C827A6">
        <w:rPr>
          <w:b/>
          <w:sz w:val="16"/>
          <w:szCs w:val="16"/>
        </w:rPr>
        <w:t>Amazonas do Brasil Mendanha</w:t>
      </w:r>
    </w:p>
    <w:p w:rsidR="00C827A6" w:rsidRPr="00C827A6" w:rsidRDefault="00C827A6" w:rsidP="00C827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sz w:val="16"/>
          <w:szCs w:val="16"/>
        </w:rPr>
      </w:pPr>
      <w:r w:rsidRPr="00C827A6">
        <w:rPr>
          <w:rFonts w:ascii="Times New Roman" w:hAnsi="Times New Roman" w:cs="Times New Roman"/>
          <w:sz w:val="16"/>
          <w:szCs w:val="16"/>
        </w:rPr>
        <w:t>Graduanda em Medicina e Saúde pela Universidade de Rio Verde - UNIRV, Goiânia, GO</w:t>
      </w:r>
    </w:p>
    <w:p w:rsidR="00C827A6" w:rsidRPr="00C827A6" w:rsidRDefault="00C827A6" w:rsidP="00C827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827A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Isabela Prado Candini Silva</w:t>
      </w:r>
    </w:p>
    <w:p w:rsidR="00C827A6" w:rsidRPr="00C827A6" w:rsidRDefault="00C827A6" w:rsidP="00C827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sz w:val="16"/>
          <w:szCs w:val="16"/>
        </w:rPr>
      </w:pPr>
      <w:r w:rsidRPr="00C827A6">
        <w:rPr>
          <w:rFonts w:ascii="Times New Roman" w:hAnsi="Times New Roman" w:cs="Times New Roman"/>
          <w:sz w:val="16"/>
          <w:szCs w:val="16"/>
        </w:rPr>
        <w:t>Graduanda em Medicina e Saúde pela Universidade de Rio Verde - UNIRV, Goiânia, GO</w:t>
      </w:r>
    </w:p>
    <w:p w:rsidR="00C827A6" w:rsidRPr="00C827A6" w:rsidRDefault="00C827A6" w:rsidP="00C827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827A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Murilo Gonzalez de Souza Pinto</w:t>
      </w:r>
    </w:p>
    <w:p w:rsidR="00C827A6" w:rsidRPr="00C827A6" w:rsidRDefault="00C827A6" w:rsidP="00C827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sz w:val="16"/>
          <w:szCs w:val="16"/>
        </w:rPr>
      </w:pPr>
      <w:r w:rsidRPr="00C827A6">
        <w:rPr>
          <w:rFonts w:ascii="Times New Roman" w:hAnsi="Times New Roman" w:cs="Times New Roman"/>
          <w:sz w:val="16"/>
          <w:szCs w:val="16"/>
        </w:rPr>
        <w:t>Graduanda em Medicina e Saúde pela Universidade de Rio Verde - UNIRV, Goiânia, GO</w:t>
      </w:r>
    </w:p>
    <w:p w:rsidR="00C827A6" w:rsidRPr="00C827A6" w:rsidRDefault="00C827A6" w:rsidP="00C827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827A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Raissa Bezerra Correia</w:t>
      </w:r>
    </w:p>
    <w:p w:rsidR="00C827A6" w:rsidRPr="00C827A6" w:rsidRDefault="00C827A6" w:rsidP="00C827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sz w:val="16"/>
          <w:szCs w:val="16"/>
        </w:rPr>
      </w:pPr>
      <w:r w:rsidRPr="00C827A6">
        <w:rPr>
          <w:rFonts w:ascii="Times New Roman" w:hAnsi="Times New Roman" w:cs="Times New Roman"/>
          <w:sz w:val="16"/>
          <w:szCs w:val="16"/>
        </w:rPr>
        <w:t>Graduanda em Medicina e Saúde pela Universidade de Rio Verde - UNIRV, Goiânia, GO</w:t>
      </w:r>
    </w:p>
    <w:p w:rsidR="00C827A6" w:rsidRPr="00C827A6" w:rsidRDefault="00C827A6" w:rsidP="00C827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C827A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Victoria Faria de Oliveira</w:t>
      </w:r>
    </w:p>
    <w:p w:rsidR="00C827A6" w:rsidRPr="00C827A6" w:rsidRDefault="00C827A6" w:rsidP="00C827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sz w:val="16"/>
          <w:szCs w:val="16"/>
        </w:rPr>
      </w:pPr>
      <w:r w:rsidRPr="00C827A6">
        <w:rPr>
          <w:rFonts w:ascii="Times New Roman" w:hAnsi="Times New Roman" w:cs="Times New Roman"/>
          <w:sz w:val="16"/>
          <w:szCs w:val="16"/>
        </w:rPr>
        <w:t>Graduanda em Medicina e Saúde pela Universidade de Rio Verde - UNIRV, Goiânia, GO</w:t>
      </w:r>
    </w:p>
    <w:p w:rsidR="00C827A6" w:rsidRDefault="00C827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30BC" w:rsidRDefault="003C30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05ABD" w:rsidRPr="00B34945" w:rsidRDefault="00805ABD" w:rsidP="00805ABD">
      <w:pPr>
        <w:pStyle w:val="NormalWeb"/>
        <w:spacing w:before="100" w:after="100"/>
        <w:jc w:val="both"/>
      </w:pPr>
      <w:r w:rsidRPr="004211F0">
        <w:rPr>
          <w:b/>
        </w:rPr>
        <w:t>Introdução</w:t>
      </w:r>
      <w:r>
        <w:t xml:space="preserve">: O ceratocone é uma condição rara, marcada pela alteração gradual na curvatura da córnea, resultando em seu afinamento. Essa modificação faz com que a córnea se projete para frente, criando uma protuberância em formato de cone, o que pode prejudicar a visão. A condição geralmente se desenvolve durante a adolescência ou no início da vida adulta, progredindo ao longo do tempo e podendo causar perda severa da visão se não tratada adequadamente. Os tratamentos variam de lentes de contato especiais a intervenções cirúrgicas, dependendo da gravidade do caso. Fatores genéticos, ambientais e o ato repetitivo de esfregar os olhos são considerados contribuintes para o desenvolvimento do ceratocone. </w:t>
      </w:r>
      <w:r>
        <w:rPr>
          <w:b/>
        </w:rPr>
        <w:t xml:space="preserve">Objetivo: </w:t>
      </w:r>
      <w:r>
        <w:t xml:space="preserve">Este estudo tem como objetivo investigar a incidência dessa condição em diferentes populações, identificar os principais fatores de risco e observar tendências ao longo do tempo. </w:t>
      </w:r>
      <w:r>
        <w:rPr>
          <w:b/>
        </w:rPr>
        <w:t xml:space="preserve">Metodologia: </w:t>
      </w:r>
      <w:r>
        <w:t xml:space="preserve">Foi conduzida uma revisão integrativa da literatura, utilizando uma abordagem descritiva. A pesquisa envolveu a seleção criteriosa de 19 artigos de bases de dados como BVS, SciELO e PubMed, a partir dos Descritores em Ciências da Saúde (DeCS): “Ceratocone”; “Diagnóstico Clínico”; “Oftalmopatias”. Considerando apenas publicações completas, gratuitas, e dos últimos 10 anos, disponíveis em inglês, português e espanhol. A pesquisa foi guiada por uma pergunta central sobre a incidência do ceratocone e os principais fatores associados ao seu desenvolvimento. </w:t>
      </w:r>
      <w:r>
        <w:rPr>
          <w:b/>
        </w:rPr>
        <w:t xml:space="preserve">Resultados e discussão: </w:t>
      </w:r>
      <w:r>
        <w:t xml:space="preserve">Os resultados indicam uma prevalência considerável de ceratocone, particularmente em indivíduos jovens, com uma predominância no sexo masculino. A doença foi classificada como grave na maioria dos casos. A pesquisa também sugere uma possível conexão entre alergias oculares e o desenvolvimento do ceratocone, especialmente em crianças, onde hábitos como esfregar os olhos podem estar associados ao afinamento da córnea. As dificuldades no diagnóstico </w:t>
      </w:r>
      <w:r>
        <w:lastRenderedPageBreak/>
        <w:t xml:space="preserve">precoce, devido à variedade de sintomas e à necessidade de métodos especializados, foram destacadas como uma limitação significativa. </w:t>
      </w:r>
      <w:r>
        <w:rPr>
          <w:b/>
        </w:rPr>
        <w:t xml:space="preserve">Conclusão: </w:t>
      </w:r>
      <w:r>
        <w:t>Este estudo reforça a importância de um diagnóstico precoce e de um tratamento adequado para o ceratocone, uma condição que afeta principalmente os jovens e que frequentemente está associada a outras comorbidades, como asma e alergias. A possível relação entre alergias oculares e ceratocone ressalta a necessidade de medidas preventivas, como a conscientização sobre os perigos de esfregar os olhos. As limitações no diagnóstico precoce e a complexidade do ceratocone sublinham a importância de mais pesquisas para entender melhor os fatores de risco e para desenvolver tratamentos mais eficazes e estratégias de prevenção.</w:t>
      </w:r>
    </w:p>
    <w:p w:rsidR="003C30BC" w:rsidRDefault="003C30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30BC" w:rsidRPr="00805ABD" w:rsidRDefault="00412EEC" w:rsidP="00805ABD">
      <w:pPr>
        <w:pStyle w:val="NormalWeb"/>
        <w:spacing w:line="360" w:lineRule="auto"/>
        <w:jc w:val="both"/>
      </w:pPr>
      <w:r>
        <w:rPr>
          <w:b/>
          <w:color w:val="000000"/>
        </w:rPr>
        <w:t xml:space="preserve">Palavras-Chave: </w:t>
      </w:r>
      <w:r w:rsidR="00805ABD" w:rsidRPr="00805ABD">
        <w:t>Ceratocone; Fatores de Risco; Prevalência</w:t>
      </w:r>
      <w:r w:rsidRPr="00805ABD">
        <w:rPr>
          <w:color w:val="000000"/>
        </w:rPr>
        <w:t>.</w:t>
      </w:r>
      <w:r>
        <w:rPr>
          <w:color w:val="000000"/>
        </w:rPr>
        <w:t xml:space="preserve"> </w:t>
      </w:r>
    </w:p>
    <w:p w:rsidR="003C30BC" w:rsidRDefault="003C30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30BC" w:rsidRDefault="00412E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REFERÊNCIAS: </w:t>
      </w:r>
    </w:p>
    <w:p w:rsidR="00805ABD" w:rsidRPr="00805ABD" w:rsidRDefault="00805ABD" w:rsidP="00805ABD">
      <w:pPr>
        <w:spacing w:line="240" w:lineRule="auto"/>
        <w:jc w:val="both"/>
        <w:rPr>
          <w:rStyle w:val="selectable-text1"/>
          <w:rFonts w:ascii="Times New Roman" w:hAnsi="Times New Roman" w:cs="Times New Roman"/>
          <w:sz w:val="24"/>
          <w:szCs w:val="24"/>
        </w:rPr>
      </w:pPr>
      <w:r w:rsidRPr="00805ABD">
        <w:rPr>
          <w:rStyle w:val="selectable-text1"/>
          <w:rFonts w:ascii="Times New Roman" w:hAnsi="Times New Roman" w:cs="Times New Roman"/>
          <w:sz w:val="24"/>
          <w:szCs w:val="24"/>
        </w:rPr>
        <w:t xml:space="preserve">ESPERIDIÃO, A. B.; SPADA, F. DOS R.; GRUMANN JÚNIOR, A.. Características e desfechos clínicos dos pacientes diagnosticados com ceratocone. </w:t>
      </w:r>
      <w:r w:rsidRPr="00805ABD">
        <w:rPr>
          <w:rStyle w:val="selectable-text1"/>
          <w:rFonts w:ascii="Times New Roman" w:hAnsi="Times New Roman" w:cs="Times New Roman"/>
          <w:b/>
          <w:sz w:val="24"/>
          <w:szCs w:val="24"/>
        </w:rPr>
        <w:t>Revista Brasileira de Oftalmologia</w:t>
      </w:r>
      <w:r w:rsidRPr="00805ABD">
        <w:rPr>
          <w:rStyle w:val="selectable-text1"/>
          <w:rFonts w:ascii="Times New Roman" w:hAnsi="Times New Roman" w:cs="Times New Roman"/>
          <w:sz w:val="24"/>
          <w:szCs w:val="24"/>
        </w:rPr>
        <w:t xml:space="preserve">, v. 80, n. 1, p. 49–55, jan. 2021. </w:t>
      </w:r>
    </w:p>
    <w:p w:rsidR="00805ABD" w:rsidRPr="00805ABD" w:rsidRDefault="00805ABD" w:rsidP="00805ABD">
      <w:pPr>
        <w:spacing w:line="240" w:lineRule="auto"/>
        <w:jc w:val="both"/>
        <w:rPr>
          <w:rStyle w:val="selectable-text1"/>
          <w:rFonts w:ascii="Times New Roman" w:hAnsi="Times New Roman" w:cs="Times New Roman"/>
          <w:sz w:val="24"/>
          <w:szCs w:val="24"/>
        </w:rPr>
      </w:pPr>
      <w:r w:rsidRPr="00805ABD">
        <w:rPr>
          <w:rStyle w:val="selectable-text1"/>
          <w:rFonts w:ascii="Times New Roman" w:hAnsi="Times New Roman" w:cs="Times New Roman"/>
          <w:sz w:val="24"/>
          <w:szCs w:val="24"/>
        </w:rPr>
        <w:t xml:space="preserve">PUTZ, C. </w:t>
      </w:r>
      <w:r w:rsidRPr="00805ABD">
        <w:rPr>
          <w:rStyle w:val="selectable-text1"/>
          <w:rFonts w:ascii="Times New Roman" w:hAnsi="Times New Roman" w:cs="Times New Roman"/>
          <w:b/>
          <w:sz w:val="24"/>
          <w:szCs w:val="24"/>
        </w:rPr>
        <w:t>Oftalmologia: Ciências Básicas</w:t>
      </w:r>
      <w:r w:rsidRPr="00805ABD">
        <w:rPr>
          <w:rStyle w:val="selectable-text1"/>
          <w:rFonts w:ascii="Times New Roman" w:hAnsi="Times New Roman" w:cs="Times New Roman"/>
          <w:sz w:val="24"/>
          <w:szCs w:val="24"/>
        </w:rPr>
        <w:t>. 3.ed. Rio de Janeiro, Elsevier LTDA, 2017.</w:t>
      </w:r>
    </w:p>
    <w:p w:rsidR="00805ABD" w:rsidRPr="00805ABD" w:rsidRDefault="00805ABD" w:rsidP="00805ABD">
      <w:pPr>
        <w:pStyle w:val="selectable-text"/>
        <w:jc w:val="both"/>
        <w:rPr>
          <w:rStyle w:val="selectable-text1"/>
        </w:rPr>
      </w:pPr>
      <w:r w:rsidRPr="00805ABD">
        <w:rPr>
          <w:rStyle w:val="selectable-text1"/>
        </w:rPr>
        <w:t>SOUZA-DIAS, CARLOS</w:t>
      </w:r>
      <w:r w:rsidRPr="00805ABD">
        <w:rPr>
          <w:rStyle w:val="selectable-text1"/>
          <w:b/>
        </w:rPr>
        <w:t>. Manual da residência de oftalmologia</w:t>
      </w:r>
      <w:r w:rsidRPr="00805ABD">
        <w:rPr>
          <w:rStyle w:val="selectable-text1"/>
        </w:rPr>
        <w:t>. 1.ed. São Paulo, Manole, 2018.</w:t>
      </w:r>
    </w:p>
    <w:p w:rsidR="00805ABD" w:rsidRDefault="00805A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30BC" w:rsidRDefault="003C30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30BC" w:rsidRDefault="003C30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30BC" w:rsidRDefault="003C3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3C30BC" w:rsidSect="00522A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800" w:rsidRDefault="00416800">
      <w:pPr>
        <w:spacing w:after="0" w:line="240" w:lineRule="auto"/>
      </w:pPr>
      <w:r>
        <w:separator/>
      </w:r>
    </w:p>
  </w:endnote>
  <w:endnote w:type="continuationSeparator" w:id="1">
    <w:p w:rsidR="00416800" w:rsidRDefault="0041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BC" w:rsidRDefault="003C30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BC" w:rsidRDefault="003C30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BC" w:rsidRDefault="003C30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800" w:rsidRDefault="00416800">
      <w:pPr>
        <w:spacing w:after="0" w:line="240" w:lineRule="auto"/>
      </w:pPr>
      <w:r>
        <w:separator/>
      </w:r>
    </w:p>
  </w:footnote>
  <w:footnote w:type="continuationSeparator" w:id="1">
    <w:p w:rsidR="00416800" w:rsidRDefault="00416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BC" w:rsidRDefault="00522A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BC" w:rsidRDefault="00412E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80010</wp:posOffset>
          </wp:positionV>
          <wp:extent cx="2214245" cy="872490"/>
          <wp:effectExtent l="0" t="0" r="0" b="3810"/>
          <wp:wrapTopAndBottom distT="0" dist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BC" w:rsidRDefault="00522A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0pt;height:960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C30BC"/>
    <w:rsid w:val="003C30BC"/>
    <w:rsid w:val="00412EEC"/>
    <w:rsid w:val="00416800"/>
    <w:rsid w:val="00522AC5"/>
    <w:rsid w:val="00805ABD"/>
    <w:rsid w:val="00975282"/>
    <w:rsid w:val="00AC3F9E"/>
    <w:rsid w:val="00C47B79"/>
    <w:rsid w:val="00C827A6"/>
    <w:rsid w:val="00CD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2AC5"/>
  </w:style>
  <w:style w:type="paragraph" w:styleId="Ttulo1">
    <w:name w:val="heading 1"/>
    <w:basedOn w:val="Normal"/>
    <w:next w:val="Normal"/>
    <w:rsid w:val="00522A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522A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522A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522A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22AC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22A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22A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22AC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22A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522A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975282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able-text">
    <w:name w:val="selectable-text"/>
    <w:basedOn w:val="Normal"/>
    <w:rsid w:val="0080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Fontepargpadro"/>
    <w:rsid w:val="00805ABD"/>
  </w:style>
  <w:style w:type="paragraph" w:styleId="SemEspaamento">
    <w:name w:val="No Spacing"/>
    <w:uiPriority w:val="1"/>
    <w:qFormat/>
    <w:rsid w:val="00C827A6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Fontepargpadro"/>
    <w:uiPriority w:val="99"/>
    <w:unhideWhenUsed/>
    <w:rsid w:val="00C827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9cXQRV0YiWKkuspiMHLvVjtOIw==">CgMxLjA4AHIhMUlEbC1ST1JaR2V6MF9xVzFUVTBDLVBlaWpTZFNsVFow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639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Gabriela</cp:lastModifiedBy>
  <cp:revision>2</cp:revision>
  <dcterms:created xsi:type="dcterms:W3CDTF">2024-10-31T18:49:00Z</dcterms:created>
  <dcterms:modified xsi:type="dcterms:W3CDTF">2024-10-31T18:49:00Z</dcterms:modified>
</cp:coreProperties>
</file>