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X Encontro Humanístico Multidisciplinar - EHM e IX Congresso Latino-Americano de Estudos Humanísticos Multidisciplinares - CLAEHM</w:t>
      </w:r>
    </w:p>
    <w:p w14:paraId="00000002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Dezembro de 2024, Online | </w:t>
      </w:r>
      <w:hyperlink r:id="rId6"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claec.org/ehm</w:t>
        </w:r>
      </w:hyperlink>
    </w:p>
    <w:p w14:paraId="00000003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Resumos Expandidos</w:t>
      </w:r>
    </w:p>
    <w:p w14:paraId="00000004" w14:textId="77777777" w:rsidR="00574583" w:rsidRDefault="0057458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5" w14:textId="77777777" w:rsidR="00574583" w:rsidRDefault="0057458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77777777" w:rsidR="00574583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 PEDAGOGIA COMO FERRAMENTA DE REABILITAÇÃO DE UM SUJEITO AFÁSICO PÓS-AVC: UM ENSAIO REFLEXIVO DA EXPERIÊNCIA VIVIDA</w:t>
      </w:r>
    </w:p>
    <w:p w14:paraId="00000007" w14:textId="77777777" w:rsidR="00574583" w:rsidRDefault="0057458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14:paraId="00000008" w14:textId="77777777" w:rsidR="00574583" w:rsidRDefault="00000000">
      <w:pPr>
        <w:spacing w:line="308" w:lineRule="auto"/>
        <w:jc w:val="center"/>
        <w:rPr>
          <w:rFonts w:ascii="Times New Roman" w:eastAsia="Times New Roman" w:hAnsi="Times New Roman" w:cs="Times New Roman"/>
          <w:b/>
          <w:i/>
          <w:color w:val="1F1F1F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sz w:val="30"/>
          <w:szCs w:val="30"/>
          <w:highlight w:val="white"/>
        </w:rPr>
        <w:t>LA PEDAGOGÍA COMO HERRAMIENTA PARA LA REHABILITACIÓN DE UN SUJETO AFÁSICO POST-ICT: UNA PRUEBA REFLEXIVA DE LA EXPERIENCIA VIVIDA</w:t>
      </w:r>
    </w:p>
    <w:p w14:paraId="00000009" w14:textId="77777777" w:rsidR="00574583" w:rsidRDefault="00574583">
      <w:pPr>
        <w:jc w:val="center"/>
        <w:rPr>
          <w:rFonts w:ascii="Times New Roman" w:eastAsia="Times New Roman" w:hAnsi="Times New Roman" w:cs="Times New Roman"/>
          <w:b/>
        </w:rPr>
      </w:pPr>
    </w:p>
    <w:p w14:paraId="0000000A" w14:textId="77777777" w:rsidR="00574583" w:rsidRDefault="00000000">
      <w:pPr>
        <w:widowControl w:val="0"/>
        <w:spacing w:before="335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Alícia Reinheimer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B" w14:textId="77777777" w:rsidR="00574583" w:rsidRDefault="00000000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Rose Mari Ferreira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0000000C" w14:textId="77777777" w:rsidR="00574583" w:rsidRDefault="00574583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0D" w14:textId="77777777" w:rsidR="00574583" w:rsidRDefault="00574583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0E" w14:textId="77777777" w:rsidR="0057458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proofErr w:type="spellEnd"/>
    </w:p>
    <w:p w14:paraId="0000000F" w14:textId="77777777" w:rsidR="00574583" w:rsidRDefault="005745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574583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Este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ensaio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é 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recorte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Trabalho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Curso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primeira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autora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que,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mulher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mãe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estudante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Pedagogia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motivou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investigar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recuperação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oral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um familiar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sofreu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Acidente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Vascular Cerebral (AVC)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desenvolveu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O AVC é a principal causa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mortalidade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Brasil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causas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incapacidade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mundo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resulta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lesões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sistema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nervoso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central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afetam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linguística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conhecidas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Broca 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Wernicke.</w:t>
      </w:r>
    </w:p>
    <w:p w14:paraId="00000011" w14:textId="77777777" w:rsidR="00574583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objetivo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estudo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descrever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realfabetização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um familiar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afásico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abordando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desafios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enfrentados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utilizadas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metodologia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adotada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Relato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permite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narrativa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reflexiva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sobre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processo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educativo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mostram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que Fabiano Meyer, 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motorista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sofreu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um AVC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fevereiro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2022,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apresentou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Broca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métodos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pedagógicos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personalizados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foram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fundamentais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sua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recuperação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utilizando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ensino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alfabeto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repetição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jogos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educativos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estimular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linguísticas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00000012" w14:textId="77777777" w:rsidR="00574583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avanços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observados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nomeação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leitura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evidenciam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eficácia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práticas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pedagógicas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adotadas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estudo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destaca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Pedagogia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promovendo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abordagem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adaptativa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considera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necessidades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individuais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pacientes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suporte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emocional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família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também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mostrou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fundamental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superar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barreiras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psicológicas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reconstruir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autoestima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Este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relato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busca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contribuir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entendimento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pedagógica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contextos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enfatizando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necessidade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inclusiva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condições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neurológicas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00000013" w14:textId="77777777" w:rsidR="00574583" w:rsidRDefault="0057458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4" w14:textId="77777777" w:rsidR="00574583" w:rsidRDefault="0057458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5" w14:textId="77777777" w:rsidR="00574583" w:rsidRDefault="00574583">
      <w:pP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0000016" w14:textId="77777777" w:rsidR="00574583" w:rsidRDefault="00000000" w:rsidP="00F911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Encontro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EHM e IX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Congresso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Latino-Americano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CLAEHM</w:t>
      </w:r>
    </w:p>
    <w:p w14:paraId="00000017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Dezembro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 2024, Online | </w:t>
      </w:r>
      <w:hyperlink r:id="rId7"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claec.org/</w:t>
        </w:r>
        <w:proofErr w:type="spellStart"/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ehm</w:t>
        </w:r>
        <w:proofErr w:type="spellEnd"/>
      </w:hyperlink>
    </w:p>
    <w:p w14:paraId="00000018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Resumos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Expandidos</w:t>
      </w:r>
      <w:proofErr w:type="spellEnd"/>
    </w:p>
    <w:p w14:paraId="00000019" w14:textId="77777777" w:rsidR="00574583" w:rsidRDefault="0057458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A" w14:textId="77777777" w:rsidR="0057458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Palavras-chave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AVC; ferramentas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pedagógicas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pedagogia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1B" w14:textId="77777777" w:rsidR="00574583" w:rsidRDefault="00574583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C" w14:textId="77777777" w:rsidR="0057458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  <w:proofErr w:type="spellEnd"/>
    </w:p>
    <w:p w14:paraId="0000001D" w14:textId="77777777" w:rsidR="00574583" w:rsidRDefault="005745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574583" w:rsidRDefault="00000000">
      <w:pP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Este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ensayo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es un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recorte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Trabajo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Conclusión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Curso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primera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autora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quien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mujer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madre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estudiante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Pedagogía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motivó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investigar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recuperación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lenguaje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oral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escrito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un familiar que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sufrió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Accidente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Vascular Cerebral (AVC)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desarrolló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El AVC es la principal causa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mortalidad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Brasil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una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principales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causas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incapacidad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mundo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resulta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lesiones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sistema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nervioso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central que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afectan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capacidad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lingüística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siendo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más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conocidas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Broca y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Wernicke.</w:t>
      </w:r>
    </w:p>
    <w:p w14:paraId="0000001F" w14:textId="77777777" w:rsidR="00574583" w:rsidRDefault="00000000">
      <w:pP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objetivo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estudio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describir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experiencia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realfabetización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un familiar</w:t>
      </w:r>
      <w:proofErr w:type="gram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afásico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abordando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desafíos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enfrentados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estrategias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utilizadas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metodología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adoptada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fue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Relato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Experiencia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permite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una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narrativa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reflexiva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sobre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proceso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educativo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Los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resultados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muestran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que Fabiano Meyer, un conductor que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sufrió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un AVC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febrero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2022,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presentó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Broca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cómo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aplicación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métodos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pedagógicos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personalizados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fue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fundamental para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su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recuperación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utilizando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estrategias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enseñanza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alfabeto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por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repetición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juegos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educativos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estimular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habilidades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lingüísticas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.</w:t>
      </w:r>
    </w:p>
    <w:p w14:paraId="00000020" w14:textId="77777777" w:rsidR="00574583" w:rsidRDefault="00000000">
      <w:pP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avances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observados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denominación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lectura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escritura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evidencian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eficacia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prácticas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pedagógicas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adoptadas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estudio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destaca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importancia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Pedagogía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rehabilitación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promoviendo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enfoque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adaptativo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considera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necesidades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individuales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apoyo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emocional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 familia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también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mostró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fundamental para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superar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barreras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psicológicas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reconstruir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autoestima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los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alumnos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. Este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relato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busca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contribuir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comprensión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aplicación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pedagógica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contextos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rehabilitación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enfatizando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necesidad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una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educación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inclusiva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tratamiento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condiciones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neurológicas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.</w:t>
      </w:r>
    </w:p>
    <w:p w14:paraId="00000021" w14:textId="77777777" w:rsidR="00574583" w:rsidRDefault="00574583">
      <w:pP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</w:p>
    <w:p w14:paraId="00000022" w14:textId="77777777" w:rsidR="00574583" w:rsidRDefault="00000000">
      <w:pPr>
        <w:spacing w:line="308" w:lineRule="auto"/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Palabras clave: Palabras clave: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; AVC;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herramientas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pedagógicas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pedagogía</w:t>
      </w:r>
      <w:proofErr w:type="spellEnd"/>
      <w:r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  <w:t>.</w:t>
      </w:r>
    </w:p>
    <w:p w14:paraId="00000023" w14:textId="77777777" w:rsidR="00574583" w:rsidRDefault="00574583">
      <w:pPr>
        <w:spacing w:line="308" w:lineRule="auto"/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</w:p>
    <w:p w14:paraId="00000024" w14:textId="47EB3DB3" w:rsidR="00574583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t>1</w:t>
      </w:r>
      <w:r w:rsidR="00E236DB"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t>Introdução</w:t>
      </w:r>
      <w:proofErr w:type="spellEnd"/>
    </w:p>
    <w:p w14:paraId="00000025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ensaio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(TCC)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vivenciar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recuperação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 familiar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Vascular Cerebral (AVC)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isquêmico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AVC é a principal causa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principal causa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incapacidade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(BRASIL, 2001)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AVC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homens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causas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incapacidade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hospitalizações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7" w14:textId="77777777" w:rsidR="00574583" w:rsidRDefault="00000000" w:rsidP="00F91125">
      <w:pPr>
        <w:widowControl w:val="0"/>
        <w:tabs>
          <w:tab w:val="left" w:pos="8647"/>
        </w:tabs>
        <w:spacing w:before="43" w:line="240" w:lineRule="auto"/>
        <w:ind w:right="77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Irma Hadler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(1996, p 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neurolinguística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discursiva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Encontro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EHM e IX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Congresso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Latino-Americano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CLAEHM</w:t>
      </w:r>
    </w:p>
    <w:p w14:paraId="00000028" w14:textId="77777777" w:rsidR="00574583" w:rsidRDefault="00000000" w:rsidP="00F91125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Dezembro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 2024, Online | </w:t>
      </w:r>
      <w:hyperlink r:id="rId8"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claec.org/</w:t>
        </w:r>
        <w:proofErr w:type="spellStart"/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ehm</w:t>
        </w:r>
        <w:proofErr w:type="spellEnd"/>
      </w:hyperlink>
    </w:p>
    <w:p w14:paraId="00000029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Resumos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Expandidos</w:t>
      </w:r>
      <w:proofErr w:type="spellEnd"/>
    </w:p>
    <w:p w14:paraId="0000002A" w14:textId="77777777" w:rsidR="00574583" w:rsidRDefault="0057458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B" w14:textId="5130AD7C" w:rsidR="00574583" w:rsidRDefault="00000000">
      <w:pPr>
        <w:widowControl w:val="0"/>
        <w:tabs>
          <w:tab w:val="left" w:pos="8647"/>
        </w:tabs>
        <w:spacing w:before="43" w:line="240" w:lineRule="auto"/>
        <w:ind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 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linguísticos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articulatória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discursiva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incluídos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gramaticais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produzidas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adquirida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nervoso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central”.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prossegue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="003F18A6">
        <w:rPr>
          <w:rFonts w:ascii="Times New Roman" w:eastAsia="Times New Roman" w:hAnsi="Times New Roman" w:cs="Times New Roman"/>
          <w:sz w:val="24"/>
          <w:szCs w:val="24"/>
        </w:rPr>
        <w:t>pontua</w:t>
      </w:r>
      <w:proofErr w:type="spellEnd"/>
      <w:r w:rsidR="003F18A6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produzidas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adquirida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nervoso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cognitivos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1996, p.5).</w:t>
      </w:r>
    </w:p>
    <w:p w14:paraId="0000002C" w14:textId="69F80A6C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duas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classificações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afasias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de Broca e a de Wernicke.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denominadas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localizacionistas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Paul Broca (1824-1880) e </w:t>
      </w:r>
      <w:r w:rsidR="003F18A6">
        <w:rPr>
          <w:rFonts w:ascii="Times New Roman" w:eastAsia="Times New Roman" w:hAnsi="Times New Roman" w:cs="Times New Roman"/>
          <w:sz w:val="24"/>
          <w:szCs w:val="24"/>
        </w:rPr>
        <w:t>de Carl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Wernicke (1848-1905) que </w:t>
      </w:r>
      <w:proofErr w:type="spellStart"/>
      <w:r w:rsidR="003F18A6">
        <w:rPr>
          <w:rFonts w:ascii="Times New Roman" w:eastAsia="Times New Roman" w:hAnsi="Times New Roman" w:cs="Times New Roman"/>
          <w:sz w:val="24"/>
          <w:szCs w:val="24"/>
        </w:rPr>
        <w:t>predominaram</w:t>
      </w:r>
      <w:proofErr w:type="spellEnd"/>
      <w:r w:rsidR="003F18A6">
        <w:rPr>
          <w:rFonts w:ascii="Times New Roman" w:eastAsia="Times New Roman" w:hAnsi="Times New Roman" w:cs="Times New Roman"/>
          <w:sz w:val="24"/>
          <w:szCs w:val="24"/>
        </w:rPr>
        <w:t>, 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 w:rsidR="003F18A6">
        <w:rPr>
          <w:rFonts w:ascii="Times New Roman" w:eastAsia="Times New Roman" w:hAnsi="Times New Roman" w:cs="Times New Roman"/>
          <w:sz w:val="24"/>
          <w:szCs w:val="24"/>
        </w:rPr>
        <w:t xml:space="preserve">deles </w:t>
      </w:r>
      <w:proofErr w:type="spellStart"/>
      <w:r w:rsidR="003F18A6">
        <w:rPr>
          <w:rFonts w:ascii="Times New Roman" w:eastAsia="Times New Roman" w:hAnsi="Times New Roman" w:cs="Times New Roman"/>
        </w:rPr>
        <w:t>relacionou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cérebro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Assim,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Broca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lobo frontal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hemisfério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cérebro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Wernicke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lobo temporal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hemisfério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AVC,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verbal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necessitando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multidisciplinar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profissionais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fonoaudiólogos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neurologistas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terapeutas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ocupacionais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psicólogos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abrangente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conseguem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reintegrar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cotidianas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574583" w:rsidRDefault="00000000">
      <w:pPr>
        <w:widowControl w:val="0"/>
        <w:tabs>
          <w:tab w:val="left" w:pos="8647"/>
        </w:tabs>
        <w:spacing w:line="240" w:lineRule="auto"/>
        <w:ind w:right="7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professor,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abrangendo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priorizando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bem-estar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(SAVIANI, 2008).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-se dessa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que as ferramentas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afásicos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um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pilares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fundamentais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aplicar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desenvolver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ensino-aprendizagem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adaptadas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específicas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promovendo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recuperação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forma gradual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eficaz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(SAVIANI, 2008).</w:t>
      </w:r>
    </w:p>
    <w:p w14:paraId="0000002E" w14:textId="77777777" w:rsidR="00574583" w:rsidRDefault="00574583">
      <w:pPr>
        <w:widowControl w:val="0"/>
        <w:tabs>
          <w:tab w:val="left" w:pos="8647"/>
        </w:tabs>
        <w:spacing w:line="240" w:lineRule="auto"/>
        <w:ind w:right="7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6A1A9297" w:rsidR="00574583" w:rsidRDefault="00000000">
      <w:pPr>
        <w:widowControl w:val="0"/>
        <w:tabs>
          <w:tab w:val="left" w:pos="8647"/>
        </w:tabs>
        <w:spacing w:line="240" w:lineRule="auto"/>
        <w:ind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236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proofErr w:type="spellEnd"/>
    </w:p>
    <w:p w14:paraId="00000030" w14:textId="008E31D6" w:rsidR="00574583" w:rsidRDefault="00000000">
      <w:pPr>
        <w:widowControl w:val="0"/>
        <w:tabs>
          <w:tab w:val="left" w:pos="8647"/>
        </w:tabs>
        <w:spacing w:line="240" w:lineRule="auto"/>
        <w:ind w:right="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ensaio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realfabetizar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familiar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afásico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-AVC,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desafios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enfrentados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adotadas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refletindo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ferramenta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realfabetização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1" w14:textId="77777777" w:rsidR="00574583" w:rsidRDefault="00574583">
      <w:pPr>
        <w:widowControl w:val="0"/>
        <w:tabs>
          <w:tab w:val="left" w:pos="8647"/>
        </w:tabs>
        <w:spacing w:line="240" w:lineRule="auto"/>
        <w:ind w:right="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18769F5F" w:rsidR="00574583" w:rsidRDefault="00000000">
      <w:pPr>
        <w:widowControl w:val="0"/>
        <w:tabs>
          <w:tab w:val="left" w:pos="8647"/>
        </w:tabs>
        <w:spacing w:before="43" w:line="240" w:lineRule="auto"/>
        <w:ind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236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proofErr w:type="spellEnd"/>
    </w:p>
    <w:p w14:paraId="614B33EB" w14:textId="77777777" w:rsidR="00E236DB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campo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trazem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Daltro e Faria (2019), que </w:t>
      </w:r>
      <w:proofErr w:type="spellStart"/>
      <w:r w:rsidR="003F18A6">
        <w:rPr>
          <w:rFonts w:ascii="Times New Roman" w:eastAsia="Times New Roman" w:hAnsi="Times New Roman" w:cs="Times New Roman"/>
          <w:sz w:val="24"/>
          <w:szCs w:val="24"/>
        </w:rPr>
        <w:t>enfatizam</w:t>
      </w:r>
      <w:proofErr w:type="spellEnd"/>
      <w:r w:rsidR="003F1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18A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científico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fictício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Fabiano,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ferramentas </w:t>
      </w:r>
    </w:p>
    <w:p w14:paraId="098E28E3" w14:textId="77777777" w:rsidR="00F91125" w:rsidRDefault="00F91125" w:rsidP="00F91125">
      <w:pPr>
        <w:widowControl w:val="0"/>
        <w:tabs>
          <w:tab w:val="left" w:pos="8647"/>
        </w:tabs>
        <w:spacing w:before="43" w:line="240" w:lineRule="auto"/>
        <w:ind w:right="7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Encontro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EHM e IX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Congresso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Latino-Americano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CLAEHM</w:t>
      </w:r>
    </w:p>
    <w:p w14:paraId="2DC33DB2" w14:textId="77777777" w:rsidR="00F91125" w:rsidRDefault="00F91125" w:rsidP="00F91125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Dezembro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 2024, Online | </w:t>
      </w:r>
      <w:hyperlink r:id="rId9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claec.org/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ehm</w:t>
        </w:r>
        <w:proofErr w:type="spellEnd"/>
      </w:hyperlink>
    </w:p>
    <w:p w14:paraId="3622961A" w14:textId="77777777" w:rsidR="00F91125" w:rsidRDefault="00F91125" w:rsidP="00F91125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Resumos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Expandidos</w:t>
      </w:r>
      <w:proofErr w:type="spellEnd"/>
    </w:p>
    <w:p w14:paraId="67E54560" w14:textId="77777777" w:rsidR="00F91125" w:rsidRDefault="00F91125" w:rsidP="00F91125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7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das quais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realfabetização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574583" w:rsidRDefault="00574583">
      <w:pPr>
        <w:widowControl w:val="0"/>
        <w:tabs>
          <w:tab w:val="left" w:pos="8647"/>
        </w:tabs>
        <w:spacing w:before="43" w:line="240" w:lineRule="auto"/>
        <w:ind w:right="77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1D13B489" w:rsidR="00574583" w:rsidRDefault="00000000">
      <w:pPr>
        <w:widowControl w:val="0"/>
        <w:tabs>
          <w:tab w:val="left" w:pos="8647"/>
        </w:tabs>
        <w:spacing w:before="43" w:line="240" w:lineRule="auto"/>
        <w:ind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236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  <w:proofErr w:type="spellEnd"/>
    </w:p>
    <w:p w14:paraId="0000003A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Fabiano Meyer,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motorista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carreta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apaixonado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profissão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sofreu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AVC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isquêmico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fevereiro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2022,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resultando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Broca.</w:t>
      </w:r>
    </w:p>
    <w:p w14:paraId="0000003B" w14:textId="6BF63AAE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desempenhou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recuperação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reintegração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Fabiano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cotidianas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total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desenvolver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plano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personalizado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adaptados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didáticas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específicas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condição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alfabeto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repetição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estratégia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estimular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memorização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Utilizei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palavras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imagens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"Uno</w:t>
      </w:r>
      <w:r w:rsidR="003F18A6">
        <w:rPr>
          <w:rFonts w:ascii="Times New Roman" w:eastAsia="Times New Roman" w:hAnsi="Times New Roman" w:cs="Times New Roman"/>
          <w:sz w:val="24"/>
          <w:szCs w:val="24"/>
          <w:highlight w:val="white"/>
        </w:rPr>
        <w:t>”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números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cativante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estratégia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visual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Magda Soares (2016) e Francisca Isabel Pereira Maciel (2010)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sustentam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preciso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alfabetizar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escolha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método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adequado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influenciar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C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jornada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recuperação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Fabiano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demonstram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avanços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pedagógicas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adotadas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individual,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empregadas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D" w14:textId="77777777" w:rsidR="00574583" w:rsidRDefault="00574583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</w:rPr>
      </w:pPr>
    </w:p>
    <w:p w14:paraId="0000003E" w14:textId="11A9D14E" w:rsidR="00574583" w:rsidRDefault="00000000">
      <w:pPr>
        <w:widowControl w:val="0"/>
        <w:tabs>
          <w:tab w:val="left" w:pos="8647"/>
        </w:tabs>
        <w:spacing w:before="43" w:line="240" w:lineRule="auto"/>
        <w:ind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 w:rsidR="00E236D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Considerações</w:t>
      </w:r>
      <w:proofErr w:type="spellEnd"/>
    </w:p>
    <w:p w14:paraId="0000003F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AVC,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neurolinguística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realfabetização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comunicação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através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40" w14:textId="77777777" w:rsidR="00574583" w:rsidRDefault="00000000">
      <w:pPr>
        <w:widowControl w:val="0"/>
        <w:tabs>
          <w:tab w:val="left" w:pos="8647"/>
        </w:tabs>
        <w:spacing w:before="43" w:line="240" w:lineRule="auto"/>
        <w:ind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análise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compreender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cerebrais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comunicação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influencia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neurolinguística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discursiva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abordada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Maria Irma Hadler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(1986),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investiga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cognição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destacando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constroem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vêm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escolar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essencial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favorável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desenvolver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cognitiva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41" w14:textId="17AAEC3E" w:rsidR="00574583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ligação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neurolinguística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realfabetização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-se fundamental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compreender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cérebro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intervenções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terapêuticas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auxiliar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-AVC.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abordagem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pedagógica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valoriza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reconhecendo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desafios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F18A6"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</w:t>
      </w:r>
      <w:proofErr w:type="spellEnd"/>
      <w:r w:rsidR="003F18A6">
        <w:rPr>
          <w:rFonts w:ascii="Times New Roman" w:eastAsia="Times New Roman" w:hAnsi="Times New Roman" w:cs="Times New Roman"/>
          <w:sz w:val="24"/>
          <w:szCs w:val="24"/>
          <w:highlight w:val="white"/>
        </w:rPr>
        <w:t>, que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fundamental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realfabetização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Fabiano Meyer.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adaptabilidade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incorporação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diversos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assegurando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abordagem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holística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progressiva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2B60FB8" w14:textId="77777777" w:rsidR="00B84E54" w:rsidRDefault="00B84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DFA51A2" w14:textId="77777777" w:rsidR="00E236DB" w:rsidRDefault="00E236DB">
      <w:pPr>
        <w:widowControl w:val="0"/>
        <w:tabs>
          <w:tab w:val="left" w:pos="8647"/>
        </w:tabs>
        <w:spacing w:before="43" w:line="360" w:lineRule="auto"/>
        <w:ind w:right="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3ACF4E44" w:rsidR="00574583" w:rsidRDefault="00000000">
      <w:pPr>
        <w:widowControl w:val="0"/>
        <w:tabs>
          <w:tab w:val="left" w:pos="8647"/>
        </w:tabs>
        <w:spacing w:before="43" w:line="360" w:lineRule="auto"/>
        <w:ind w:right="7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Encontro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EHM e IX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Congresso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Latino-Americano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Humanísticos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Multidisciplinares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CLAEHM</w:t>
      </w:r>
    </w:p>
    <w:p w14:paraId="00000043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Dezembro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 2024, Online | </w:t>
      </w:r>
      <w:hyperlink r:id="rId10"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claec.org/</w:t>
        </w:r>
        <w:proofErr w:type="spellStart"/>
        <w:r w:rsidR="0057458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ehm</w:t>
        </w:r>
        <w:proofErr w:type="spellEnd"/>
      </w:hyperlink>
    </w:p>
    <w:p w14:paraId="00000044" w14:textId="77777777" w:rsidR="00574583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Resumos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Expandidos</w:t>
      </w:r>
      <w:proofErr w:type="spellEnd"/>
    </w:p>
    <w:p w14:paraId="00000045" w14:textId="77777777" w:rsidR="00574583" w:rsidRDefault="0057458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46" w14:textId="77777777" w:rsidR="00574583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concentra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formal, mas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propício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transformando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cotidiano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integração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apoio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emocional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família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fundamental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obstáculos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psicológicos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reconstruir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autoestima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47" w14:textId="77777777" w:rsidR="00574583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significativos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escrita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Fabiano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sublinham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eficácia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personalizado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multidisciplinar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ampliar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inovações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ensino-aprendizagem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afásicos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reforçando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humanizadora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neurológicas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574583" w:rsidRDefault="00574583">
      <w:pPr>
        <w:widowControl w:val="0"/>
        <w:tabs>
          <w:tab w:val="left" w:pos="8647"/>
        </w:tabs>
        <w:spacing w:before="43" w:line="240" w:lineRule="auto"/>
        <w:ind w:right="7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9" w14:textId="77777777" w:rsidR="00574583" w:rsidRDefault="00574583">
      <w:pPr>
        <w:widowControl w:val="0"/>
        <w:tabs>
          <w:tab w:val="left" w:pos="8647"/>
        </w:tabs>
        <w:spacing w:before="43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74583" w:rsidRDefault="00574583">
      <w:pPr>
        <w:spacing w:line="308" w:lineRule="auto"/>
        <w:rPr>
          <w:rFonts w:ascii="Times New Roman" w:eastAsia="Times New Roman" w:hAnsi="Times New Roman" w:cs="Times New Roman"/>
          <w:color w:val="1F1F1F"/>
          <w:sz w:val="20"/>
          <w:szCs w:val="20"/>
          <w:highlight w:val="white"/>
        </w:rPr>
      </w:pPr>
    </w:p>
    <w:p w14:paraId="0000004B" w14:textId="77777777" w:rsidR="0057458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Referências</w:t>
      </w:r>
      <w:proofErr w:type="spellEnd"/>
    </w:p>
    <w:p w14:paraId="0000004C" w14:textId="77777777" w:rsidR="00574583" w:rsidRDefault="0057458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E960045" w14:textId="30918208" w:rsidR="00D730AD" w:rsidRDefault="00D730AD" w:rsidP="00D730AD">
      <w:pPr>
        <w:widowControl w:val="0"/>
        <w:spacing w:before="282" w:line="22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AD">
        <w:rPr>
          <w:rFonts w:ascii="Times New Roman" w:eastAsia="Times New Roman" w:hAnsi="Times New Roman" w:cs="Times New Roman"/>
          <w:sz w:val="24"/>
          <w:szCs w:val="24"/>
        </w:rPr>
        <w:t>ASSOCIAÇÃO BRASILEIRA DE NORMAS TÉCNICAS</w:t>
      </w:r>
      <w:r w:rsidRPr="00D73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Normas ABNT 2024, Como </w:t>
      </w:r>
      <w:proofErr w:type="spellStart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>Estruturar</w:t>
      </w:r>
      <w:proofErr w:type="spellEnd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>seu</w:t>
      </w:r>
      <w:proofErr w:type="spellEnd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>Trabalho</w:t>
      </w:r>
      <w:proofErr w:type="spellEnd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>nas</w:t>
      </w:r>
      <w:proofErr w:type="spellEnd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Normas ABNT </w:t>
      </w:r>
      <w:proofErr w:type="spellStart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>Atualizadas</w:t>
      </w:r>
      <w:proofErr w:type="spellEnd"/>
      <w:r w:rsidRPr="00D730A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73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2024.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2A62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https://www.normasabnt.org/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: 03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</w:p>
    <w:p w14:paraId="0000004E" w14:textId="24F46366" w:rsidR="00574583" w:rsidRPr="00D730AD" w:rsidRDefault="00000000" w:rsidP="00D730AD">
      <w:pPr>
        <w:widowControl w:val="0"/>
        <w:spacing w:before="282" w:line="22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Ministério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Acidente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Vascular Cerebral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730AD"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proofErr w:type="gram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 w:rsidR="00574583" w:rsidRPr="00D730A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https://www.gov.br/saude/pt-br/assuntos/saude-de-a-a-z/a/avc</w:t>
        </w:r>
      </w:hyperlink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: 30 set. 2023. </w:t>
      </w:r>
    </w:p>
    <w:p w14:paraId="0000004F" w14:textId="77777777" w:rsidR="00574583" w:rsidRPr="00D730AD" w:rsidRDefault="0057458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50" w14:textId="77777777" w:rsidR="00574583" w:rsidRPr="00D730AD" w:rsidRDefault="00000000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BRASIL.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Ministério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Saúde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D730A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DATASUS</w:t>
      </w:r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Tabnet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Brasília, DF: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Ministério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Saúde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2023,Disponível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13">
        <w:proofErr w:type="spellStart"/>
        <w:r w:rsidR="00574583" w:rsidRPr="00D730AD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TabNet</w:t>
        </w:r>
        <w:proofErr w:type="spellEnd"/>
        <w:r w:rsidR="00574583" w:rsidRPr="00D730AD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Win32 3.3: </w:t>
        </w:r>
        <w:proofErr w:type="spellStart"/>
        <w:r w:rsidR="00574583" w:rsidRPr="00D730AD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Mortalidade</w:t>
        </w:r>
        <w:proofErr w:type="spellEnd"/>
        <w:r w:rsidR="00574583" w:rsidRPr="00D730AD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- </w:t>
        </w:r>
        <w:proofErr w:type="spellStart"/>
        <w:r w:rsidR="00574583" w:rsidRPr="00D730AD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Brasil</w:t>
        </w:r>
        <w:proofErr w:type="spellEnd"/>
      </w:hyperlink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>Acesso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28/10/2023.</w:t>
      </w:r>
    </w:p>
    <w:p w14:paraId="00000051" w14:textId="77777777" w:rsidR="00574583" w:rsidRPr="00D730A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COUDRY, M. I.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Diário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de Narciso: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discurso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afasia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2. ed. São Paulo: Martins Fontes. 1996. 205 p.</w:t>
      </w:r>
    </w:p>
    <w:p w14:paraId="00000052" w14:textId="77777777" w:rsidR="00574583" w:rsidRPr="00D730AD" w:rsidRDefault="00574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1EFAEFEE" w:rsidR="00574583" w:rsidRPr="00D730AD" w:rsidRDefault="00000000">
      <w:pPr>
        <w:widowControl w:val="0"/>
        <w:spacing w:line="240" w:lineRule="auto"/>
        <w:ind w:right="1642"/>
        <w:rPr>
          <w:rFonts w:ascii="Times New Roman" w:eastAsia="Times New Roman" w:hAnsi="Times New Roman" w:cs="Times New Roman"/>
          <w:sz w:val="24"/>
          <w:szCs w:val="24"/>
        </w:rPr>
      </w:pPr>
      <w:r w:rsidRPr="00D730AD">
        <w:rPr>
          <w:rFonts w:ascii="Times New Roman" w:eastAsia="Times New Roman" w:hAnsi="Times New Roman" w:cs="Times New Roman"/>
          <w:sz w:val="24"/>
          <w:szCs w:val="24"/>
        </w:rPr>
        <w:t>MACIEL, Francisca Izabel Pereira.</w:t>
      </w:r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Alfabetização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métodos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métodos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18A6"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3F18A6" w:rsidRPr="00D730AD">
        <w:rPr>
          <w:rFonts w:ascii="Times New Roman" w:eastAsia="Times New Roman" w:hAnsi="Times New Roman" w:cs="Times New Roman"/>
          <w:i/>
          <w:sz w:val="24"/>
          <w:szCs w:val="24"/>
        </w:rPr>
        <w:t>alfabetização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73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Guia da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Alfabetização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Segmento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, 2016. </w:t>
      </w:r>
    </w:p>
    <w:p w14:paraId="00000054" w14:textId="77777777" w:rsidR="00574583" w:rsidRPr="00D730AD" w:rsidRDefault="00574583">
      <w:pPr>
        <w:widowControl w:val="0"/>
        <w:spacing w:line="240" w:lineRule="auto"/>
        <w:ind w:right="1642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574583" w:rsidRPr="00D730AD" w:rsidRDefault="00000000">
      <w:pPr>
        <w:widowControl w:val="0"/>
        <w:spacing w:line="240" w:lineRule="auto"/>
        <w:ind w:right="1215"/>
        <w:rPr>
          <w:rFonts w:ascii="Times New Roman" w:eastAsia="Times New Roman" w:hAnsi="Times New Roman" w:cs="Times New Roman"/>
          <w:sz w:val="24"/>
          <w:szCs w:val="24"/>
        </w:rPr>
      </w:pP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SAVIANI,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Demerval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Pedagogia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no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Brasil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história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teoria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Campinas: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Associados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, 2008. </w:t>
      </w:r>
    </w:p>
    <w:p w14:paraId="00000056" w14:textId="77777777" w:rsidR="00574583" w:rsidRPr="00D730AD" w:rsidRDefault="00574583">
      <w:pPr>
        <w:widowControl w:val="0"/>
        <w:spacing w:line="240" w:lineRule="auto"/>
        <w:ind w:right="1642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574583" w:rsidRPr="00D730AD" w:rsidRDefault="00000000">
      <w:pPr>
        <w:widowControl w:val="0"/>
        <w:spacing w:line="240" w:lineRule="auto"/>
        <w:ind w:right="1201"/>
        <w:rPr>
          <w:rFonts w:ascii="Times New Roman" w:eastAsia="Times New Roman" w:hAnsi="Times New Roman" w:cs="Times New Roman"/>
          <w:sz w:val="24"/>
          <w:szCs w:val="24"/>
        </w:rPr>
      </w:pPr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SOARES, Magda.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Alfabetização</w:t>
      </w:r>
      <w:proofErr w:type="spellEnd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730AD">
        <w:rPr>
          <w:rFonts w:ascii="Times New Roman" w:eastAsia="Times New Roman" w:hAnsi="Times New Roman" w:cs="Times New Roman"/>
          <w:i/>
          <w:sz w:val="24"/>
          <w:szCs w:val="24"/>
        </w:rPr>
        <w:t>letramento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 xml:space="preserve">. 7. ed. São Paulo: </w:t>
      </w:r>
      <w:proofErr w:type="spellStart"/>
      <w:r w:rsidRPr="00D730AD">
        <w:rPr>
          <w:rFonts w:ascii="Times New Roman" w:eastAsia="Times New Roman" w:hAnsi="Times New Roman" w:cs="Times New Roman"/>
          <w:sz w:val="24"/>
          <w:szCs w:val="24"/>
        </w:rPr>
        <w:t>Contexto</w:t>
      </w:r>
      <w:proofErr w:type="spellEnd"/>
      <w:r w:rsidRPr="00D730AD">
        <w:rPr>
          <w:rFonts w:ascii="Times New Roman" w:eastAsia="Times New Roman" w:hAnsi="Times New Roman" w:cs="Times New Roman"/>
          <w:sz w:val="24"/>
          <w:szCs w:val="24"/>
        </w:rPr>
        <w:t>, 2017.</w:t>
      </w:r>
    </w:p>
    <w:p w14:paraId="00000058" w14:textId="77777777" w:rsidR="00574583" w:rsidRPr="00D730AD" w:rsidRDefault="0057458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574583" w:rsidRPr="00D730AD" w:rsidSect="00E67BB0">
      <w:footerReference w:type="default" r:id="rId14"/>
      <w:pgSz w:w="12240" w:h="15840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D49A" w14:textId="77777777" w:rsidR="005902AF" w:rsidRDefault="005902AF">
      <w:pPr>
        <w:spacing w:line="240" w:lineRule="auto"/>
      </w:pPr>
      <w:r>
        <w:separator/>
      </w:r>
    </w:p>
  </w:endnote>
  <w:endnote w:type="continuationSeparator" w:id="0">
    <w:p w14:paraId="7759E025" w14:textId="77777777" w:rsidR="005902AF" w:rsidRDefault="0059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B" w14:textId="77777777" w:rsidR="00574583" w:rsidRDefault="0057458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AF17" w14:textId="77777777" w:rsidR="005902AF" w:rsidRDefault="005902AF">
      <w:pPr>
        <w:spacing w:line="240" w:lineRule="auto"/>
      </w:pPr>
      <w:r>
        <w:separator/>
      </w:r>
    </w:p>
  </w:footnote>
  <w:footnote w:type="continuationSeparator" w:id="0">
    <w:p w14:paraId="000DF3AC" w14:textId="77777777" w:rsidR="005902AF" w:rsidRDefault="005902AF">
      <w:pPr>
        <w:spacing w:line="240" w:lineRule="auto"/>
      </w:pPr>
      <w:r>
        <w:continuationSeparator/>
      </w:r>
    </w:p>
  </w:footnote>
  <w:footnote w:id="1">
    <w:p w14:paraId="00000059" w14:textId="77777777" w:rsidR="00574583" w:rsidRDefault="00000000">
      <w:pPr>
        <w:spacing w:line="240" w:lineRule="auto"/>
        <w:rPr>
          <w:rFonts w:ascii="Aptos" w:eastAsia="Aptos" w:hAnsi="Aptos" w:cs="Aptos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Licenciada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em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Pedagogia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pelo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IFRS – Instituto Federal de </w:t>
      </w:r>
      <w:proofErr w:type="spellStart"/>
      <w:r>
        <w:rPr>
          <w:rFonts w:ascii="Aptos" w:eastAsia="Aptos" w:hAnsi="Aptos" w:cs="Aptos"/>
          <w:sz w:val="20"/>
          <w:szCs w:val="20"/>
        </w:rPr>
        <w:t>Educação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, </w:t>
      </w:r>
      <w:proofErr w:type="spellStart"/>
      <w:r>
        <w:rPr>
          <w:rFonts w:ascii="Aptos" w:eastAsia="Aptos" w:hAnsi="Aptos" w:cs="Aptos"/>
          <w:sz w:val="20"/>
          <w:szCs w:val="20"/>
        </w:rPr>
        <w:t>Ciência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e </w:t>
      </w:r>
      <w:proofErr w:type="spellStart"/>
      <w:r>
        <w:rPr>
          <w:rFonts w:ascii="Aptos" w:eastAsia="Aptos" w:hAnsi="Aptos" w:cs="Aptos"/>
          <w:sz w:val="20"/>
          <w:szCs w:val="20"/>
        </w:rPr>
        <w:t>Tecnologia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do Rio Grande do Sul – Campus </w:t>
      </w:r>
      <w:proofErr w:type="spellStart"/>
      <w:r>
        <w:rPr>
          <w:rFonts w:ascii="Aptos" w:eastAsia="Aptos" w:hAnsi="Aptos" w:cs="Aptos"/>
          <w:sz w:val="20"/>
          <w:szCs w:val="20"/>
        </w:rPr>
        <w:t>Alvorada</w:t>
      </w:r>
      <w:proofErr w:type="spellEnd"/>
      <w:r>
        <w:rPr>
          <w:rFonts w:ascii="Aptos" w:eastAsia="Aptos" w:hAnsi="Aptos" w:cs="Aptos"/>
          <w:sz w:val="20"/>
          <w:szCs w:val="20"/>
        </w:rPr>
        <w:t>.</w:t>
      </w:r>
    </w:p>
  </w:footnote>
  <w:footnote w:id="2">
    <w:p w14:paraId="0000005A" w14:textId="77777777" w:rsidR="00574583" w:rsidRDefault="00000000">
      <w:pPr>
        <w:spacing w:line="240" w:lineRule="auto"/>
        <w:rPr>
          <w:rFonts w:ascii="Aptos" w:eastAsia="Aptos" w:hAnsi="Aptos" w:cs="Aptos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sz w:val="20"/>
          <w:szCs w:val="20"/>
        </w:rPr>
        <w:t>Professora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do IFRS – Instituto Federal de </w:t>
      </w:r>
      <w:proofErr w:type="spellStart"/>
      <w:r>
        <w:rPr>
          <w:rFonts w:ascii="Aptos" w:eastAsia="Aptos" w:hAnsi="Aptos" w:cs="Aptos"/>
          <w:sz w:val="20"/>
          <w:szCs w:val="20"/>
        </w:rPr>
        <w:t>Educação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, </w:t>
      </w:r>
      <w:proofErr w:type="spellStart"/>
      <w:r>
        <w:rPr>
          <w:rFonts w:ascii="Aptos" w:eastAsia="Aptos" w:hAnsi="Aptos" w:cs="Aptos"/>
          <w:sz w:val="20"/>
          <w:szCs w:val="20"/>
        </w:rPr>
        <w:t>Ciência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e </w:t>
      </w:r>
      <w:proofErr w:type="spellStart"/>
      <w:r>
        <w:rPr>
          <w:rFonts w:ascii="Aptos" w:eastAsia="Aptos" w:hAnsi="Aptos" w:cs="Aptos"/>
          <w:sz w:val="20"/>
          <w:szCs w:val="20"/>
        </w:rPr>
        <w:t>Tecnologia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do Rio Grande do Sul – Campus </w:t>
      </w:r>
      <w:proofErr w:type="spellStart"/>
      <w:r>
        <w:rPr>
          <w:rFonts w:ascii="Aptos" w:eastAsia="Aptos" w:hAnsi="Aptos" w:cs="Aptos"/>
          <w:sz w:val="20"/>
          <w:szCs w:val="20"/>
        </w:rPr>
        <w:t>Alvorada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. </w:t>
      </w:r>
      <w:proofErr w:type="spellStart"/>
      <w:r>
        <w:rPr>
          <w:rFonts w:ascii="Aptos" w:eastAsia="Aptos" w:hAnsi="Aptos" w:cs="Aptos"/>
          <w:sz w:val="20"/>
          <w:szCs w:val="20"/>
        </w:rPr>
        <w:t>Orientadora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do TCC.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83"/>
    <w:rsid w:val="000866CC"/>
    <w:rsid w:val="001504B9"/>
    <w:rsid w:val="001E0C34"/>
    <w:rsid w:val="003F18A6"/>
    <w:rsid w:val="00574583"/>
    <w:rsid w:val="005902AF"/>
    <w:rsid w:val="00705ED5"/>
    <w:rsid w:val="00707387"/>
    <w:rsid w:val="00843AA8"/>
    <w:rsid w:val="00B84E54"/>
    <w:rsid w:val="00B85EFE"/>
    <w:rsid w:val="00D65C13"/>
    <w:rsid w:val="00D730AD"/>
    <w:rsid w:val="00E236DB"/>
    <w:rsid w:val="00E23F38"/>
    <w:rsid w:val="00E54E8E"/>
    <w:rsid w:val="00E67BB0"/>
    <w:rsid w:val="00F72B2F"/>
    <w:rsid w:val="00F9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8E1"/>
  <w15:docId w15:val="{836895E8-64AC-46F4-9672-E626CCE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D730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3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ec.org/ehm" TargetMode="External"/><Relationship Id="rId13" Type="http://schemas.openxmlformats.org/officeDocument/2006/relationships/hyperlink" Target="http://tabnet.datasus.gov.br/cgi/deftohtm.exe?sim/cnv/obt10uf.d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aec.org/ehm" TargetMode="External"/><Relationship Id="rId12" Type="http://schemas.openxmlformats.org/officeDocument/2006/relationships/hyperlink" Target="https://www.gov.br/saude/pt-br/assuntos/saude-de-a-a-z/a/av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laec.org/ehm" TargetMode="External"/><Relationship Id="rId11" Type="http://schemas.openxmlformats.org/officeDocument/2006/relationships/hyperlink" Target="https://www.normasabnt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laec.org/eh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laec.org/eh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2241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Apresentação Gremio</cp:lastModifiedBy>
  <cp:revision>9</cp:revision>
  <dcterms:created xsi:type="dcterms:W3CDTF">2024-10-31T22:40:00Z</dcterms:created>
  <dcterms:modified xsi:type="dcterms:W3CDTF">2024-10-31T23:14:00Z</dcterms:modified>
</cp:coreProperties>
</file>