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700.7874015748032" w:right="1133.858267716535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1700.7874015748032" w:right="1133.858267716535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1700.7874015748032" w:right="1133.858267716535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700.7874015748032" w:right="1133.858267716535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INFERÊNCIA TEXTUAL: BRINCAR DE DETETIVE PARA IDENTIFICAR ELEMENTOS TEXTUAIS</w:t>
      </w:r>
    </w:p>
    <w:p w:rsidR="00000000" w:rsidDel="00000000" w:rsidP="00000000" w:rsidRDefault="00000000" w:rsidRPr="00000000" w14:paraId="00000005">
      <w:pPr>
        <w:spacing w:line="360" w:lineRule="auto"/>
        <w:ind w:right="-295.866141732282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4.133858267717301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Juliana Fernanda Alves Simas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7">
      <w:pPr>
        <w:spacing w:line="360" w:lineRule="auto"/>
        <w:ind w:right="4.133858267717301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Marêssa de Melo Albuquerque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Maria Dayanne de Santana Vieira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Maria da Conceição Vieira de Sousa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Ricardo Rios Barreto Filho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</w:p>
    <w:p w:rsidR="00000000" w:rsidDel="00000000" w:rsidP="00000000" w:rsidRDefault="00000000" w:rsidRPr="00000000" w14:paraId="00000008">
      <w:pPr>
        <w:spacing w:line="360" w:lineRule="auto"/>
        <w:ind w:right="-295.8661417322827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295.866141732282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Compreensão textual; Inferência; Língua inglesa.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295.866141732282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spacing w:line="360" w:lineRule="auto"/>
        <w:ind w:left="0" w:right="4.133858267717301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dos empecilhos à compreensão textual está nas etapas de construção de sentido empregadas pelos leitores. Seleção, antecipação e inferência são ferramentas fundamentais para a dialogicidade entre leitor-texto. Soma-se a isto, o repertório linguístico e sociocultural na língua inglesa. Aqui apresentam-se os apontamentos e reflexões oriundos de uma breve intervenção realizada com duas turmas de primeiro ano do Ensino Médio de uma escola pública. O objetivo consistia em observar quais estratégias os estudantes usariam para inferir as palavras-alvo. Examina-se também quais ferramentas seriam empregadas em entraves específicos, como: compreensão da tarefa e engajamento; conceituação de inferência e uso de vocabulário. Dos resultados, reitera-se como indispensável o conhecimento prévio para o diálogo com o texto e a compreensão eficaz. Os estudantes utilizaram os recursos disponíveis e conseguiram êxito na tarefa, contudo poderiam ter explorado outras possibilidades.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REFERENCIAL TEÓRICO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processo de construção de sentido usa etapas cognitivas que proporcionam uma leitura global do texto, considerando o repertório pessoal do leitor. Enfatizando as conceituações acerca do processo de construção de sentido: sujeito-língua-texto e inferência textual definidos por Koch e Elias (2018), este trabalho examina a observação da solução de problemas e das estratégias empregadas pelos estudantes dado o material utilizado.  De início, a atividade pode remeter à noção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foco no texto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leitor é um mero decodificador do código apresentado — neste caso, da língua inglesa. Uma vez que a tarefa atribuída aos estudantes consistia na rápida inferência de uma única palavra a ser encontrada a partir de outros vocábulos do texto, a presença (ou ausência) de vocabulário prévio dos estudantes consistia em considerável entrave. No entanto, ao definir a relação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autor-texto-leitor,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Koch e Elias (2018) propõem a dialogicidade de um sujeito ativo que constrói sentido através do texto mas que também é construído por ele. Na ampliação da noção do sujeito de mero decodificador da língua para alguém que consegue estabelecer uma interação com o texto, valoriza-se o conhecimento prévio do leitor que enxerga as possibilidades de novas experiências linguísticas que o constroem enquanto sujeito.</w:t>
      </w:r>
    </w:p>
    <w:p w:rsidR="00000000" w:rsidDel="00000000" w:rsidP="00000000" w:rsidRDefault="00000000" w:rsidRPr="00000000" w14:paraId="0000000F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a partir da lógica de inferência textual e da busca por argumentos textuais na atividade que se deu a relação entre sujeito-autor-texto, conceituada como o “(...)processo de raciocínio que empreendemos para obter informações não explícitas em um texto” (LAETE e ARAÚJO, 2025, p. 273). É justo através da inferência que acontece a mobilização de saberes prévios para alcançar uma compreensão eficaz dos textos.</w:t>
      </w:r>
    </w:p>
    <w:p w:rsidR="00000000" w:rsidDel="00000000" w:rsidP="00000000" w:rsidRDefault="00000000" w:rsidRPr="00000000" w14:paraId="00000010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2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trabalho consiste em uma pesquisa aplicada e bibliográfica que opta pelo caráter exploratório e qualitativo. A pesquisa de posse das definições teóricas, apresenta uma análise breve da intervenção, a partir da experiência em sala de aula e do material utilizado com os alunos. A  qualificação dos apontamentos deu-se da discussão entre as partes que mediaram as intervenções. Examinou-se as similaridades e diferenças da prática em cada uma das turmas e a comparação  dos resultados observados com as respectivas turmas.</w:t>
      </w:r>
    </w:p>
    <w:p w:rsidR="00000000" w:rsidDel="00000000" w:rsidP="00000000" w:rsidRDefault="00000000" w:rsidRPr="00000000" w14:paraId="00000013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5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material utilizado consiste em quatro etapas: O primeiro grupo participou das etapas finais (3 e 4) e o segundo grupo da sequência completa (1,2,3,4). As etapas consistiram em apresentar o conceito de inferência a partir de recursos distintos: 1. imagens relacionadas entre si que deveriam ser encontradas na sala de aula e relacionadas pelos estudantes (brincar de detetive). A primeira palavra inglesa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 segunda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2. breve explanação sobre Inferência com exemplos; 3. frases retiradas de dois textos curtos e 4. os textos integrais nos quais as frases do ponto 3 estão contidas. Vale salientar que foram retiradas de todos os textos escritos as palavras que deveriam ser encontradas: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restaurant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objetivo dessas quatro etapas é explorar como os alunos utilizaram as noções de inferência e o vocabulário prévio juntos aos argumentos do próprio texto para encontrar as palavras-alvo.</w:t>
      </w:r>
    </w:p>
    <w:p w:rsidR="00000000" w:rsidDel="00000000" w:rsidP="00000000" w:rsidRDefault="00000000" w:rsidRPr="00000000" w14:paraId="00000016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estudantes participaram de etapas distintas de intervenção para contraste. A partir das evidências do material utilizado, conclui-se que, apesar da divisão,os resultados foram muito semelhantes. Os grupos se distinguiram por engajamento. O último grupo encarou as atividades iniciais como brincadeira, o que auxiliou a busca de elementos textuais como “pistas”. No entanto, foi a ausência de vocabulário prévio que os colocou como semelhantes: apesar do palpite inicial, os estudantes precisaram de consultas várias para afirmar os resultados com segurança e colocá-los no papel.</w:t>
      </w:r>
    </w:p>
    <w:p w:rsidR="00000000" w:rsidDel="00000000" w:rsidP="00000000" w:rsidRDefault="00000000" w:rsidRPr="00000000" w14:paraId="00000017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color w:val="741b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motivação principal do trabalho é o entendimento de que a inferência é uma ferramenta que acompanha os estudantes por todo o percurso escolar.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Pensou-se que a experiência descrita poderia motivar os estudantes quanto à aquisição de vocabulário e repertório em inglês.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4.133858267717301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maioria 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estudantes responderam com sucesso à tarefa apesar de pontuais desistências — já esperadas. Notou-se também a proatividade em consultar os recursos disponíveis: colegas, professoras, a internet etc.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vale ressaltar que apesar do sucesso da atividade ressalta-se as demais possibilidades não exploradas pelos estudantes - sobretudo pela ausência de vocabulário prévio, tão necessário à dialogicidade já comentada.</w:t>
      </w:r>
    </w:p>
    <w:p w:rsidR="00000000" w:rsidDel="00000000" w:rsidP="00000000" w:rsidRDefault="00000000" w:rsidRPr="00000000" w14:paraId="0000001B">
      <w:pPr>
        <w:spacing w:line="360" w:lineRule="auto"/>
        <w:ind w:left="0" w:right="4.133858267717301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BIBLIOGRAFIA</w:t>
      </w:r>
    </w:p>
    <w:p w:rsidR="00000000" w:rsidDel="00000000" w:rsidP="00000000" w:rsidRDefault="00000000" w:rsidRPr="00000000" w14:paraId="0000001D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FANTASTIC Inference Examples for Your Reading Lessons.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 With Imagination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[s.d.]. Disponível em: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https://teachingwithimagination.com/2047/inference-examples-activitie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s/. Acesso em: 18 ago. 2025.</w:t>
      </w:r>
    </w:p>
    <w:p w:rsidR="00000000" w:rsidDel="00000000" w:rsidP="00000000" w:rsidRDefault="00000000" w:rsidRPr="00000000" w14:paraId="0000001F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KOCH, Ingedore Villaça; ELIAS, Vanda Maria.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Ler e escrever: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estratégias de produção textual. 2. ed. 5ª reimpressão. – São Paulo: Contexto, 2018.</w:t>
      </w:r>
    </w:p>
    <w:p w:rsidR="00000000" w:rsidDel="00000000" w:rsidP="00000000" w:rsidRDefault="00000000" w:rsidRPr="00000000" w14:paraId="00000020">
      <w:pPr>
        <w:spacing w:line="360" w:lineRule="auto"/>
        <w:ind w:right="4.1338582677173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LAETE, Shirlei; ARAUJO, Ana C.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 de leitores nos anos iniciais do ensino fundamental: O papel da inferência textual na produção de sentidos.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JNT Facit Business and Technology Journal.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Aragua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ína, ed. 61, vol. 1, p. 271-298, abr. 2025.</w:t>
        <w:br w:type="textWrapping"/>
        <w:t xml:space="preserve">Disponível 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https://revistas.faculdadefacit.edu.br/index.php/JNT/article/view/3396/2296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Acesso em: 28 ago. 2025.</w:t>
      </w:r>
    </w:p>
    <w:sectPr>
      <w:headerReference r:id="rId8" w:type="first"/>
      <w:footerReference r:id="rId9" w:type="first"/>
      <w:pgSz w:h="16834" w:w="11909" w:orient="portrait"/>
      <w:pgMar w:bottom="1133.8582677165355" w:top="1700.7874015748032" w:left="1700.7874015748032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200" w:line="240" w:lineRule="auto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¹Graduada em Letras Inglês Licenciatura pela Universidade Federal de Pernambuco, Bolsista Capes PIBID até 2025.1. juliana.simas@ufpe.br. ²Estudante no curso de Letras Inglês e Bolsista Capes PIBID pela UFPE. </w:t>
    </w:r>
    <w:hyperlink r:id="rId1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maressa.meloalbuquerque@ufpe.br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. ³Estudante no curso de Letras Inglês e Bolsista Capes PIBID pela UFPE. mariadayanne.vieira@ufpe.br.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Supervisora PIBID Letras Inglês e professora de Língua Inglesa na escola campo. conceicao82@gmail.com.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Professor Orientador do PIBID Letras Inglês na UFPE.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white"/>
        <w:rtl w:val="0"/>
      </w:rPr>
      <w:t xml:space="preserve">ricardo.rios@ufpe.br.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204788</wp:posOffset>
              </wp:positionH>
              <wp:positionV relativeFrom="page">
                <wp:posOffset>102243</wp:posOffset>
              </wp:positionV>
              <wp:extent cx="7239000" cy="1689716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2197875"/>
                        <a:ext cx="7239000" cy="1689716"/>
                        <a:chOff x="0" y="2197875"/>
                        <a:chExt cx="10692000" cy="3164225"/>
                      </a:xfrm>
                    </wpg:grpSpPr>
                    <wpg:grpSp>
                      <wpg:cNvGrpSpPr/>
                      <wpg:grpSpPr>
                        <a:xfrm>
                          <a:off x="0" y="2197898"/>
                          <a:ext cx="10691985" cy="3164487"/>
                          <a:chOff x="0" y="0"/>
                          <a:chExt cx="13482300" cy="316448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482300" cy="316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688330" cy="2652395"/>
                          </a:xfrm>
                          <a:custGeom>
                            <a:rect b="b" l="l" r="r" t="t"/>
                            <a:pathLst>
                              <a:path extrusionOk="0" h="2652395" w="5688330">
                                <a:moveTo>
                                  <a:pt x="5687758" y="2652215"/>
                                </a:moveTo>
                                <a:lnTo>
                                  <a:pt x="0" y="2652215"/>
                                </a:lnTo>
                                <a:lnTo>
                                  <a:pt x="0" y="0"/>
                                </a:lnTo>
                                <a:lnTo>
                                  <a:pt x="5687758" y="0"/>
                                </a:lnTo>
                                <a:lnTo>
                                  <a:pt x="5687758" y="2652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E8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7165064" y="0"/>
                            <a:ext cx="6316980" cy="2652395"/>
                          </a:xfrm>
                          <a:custGeom>
                            <a:rect b="b" l="l" r="r" t="t"/>
                            <a:pathLst>
                              <a:path extrusionOk="0" h="2652395" w="6316980">
                                <a:moveTo>
                                  <a:pt x="6316726" y="2652215"/>
                                </a:moveTo>
                                <a:lnTo>
                                  <a:pt x="0" y="2652215"/>
                                </a:lnTo>
                                <a:lnTo>
                                  <a:pt x="0" y="0"/>
                                </a:lnTo>
                                <a:lnTo>
                                  <a:pt x="6316726" y="0"/>
                                </a:lnTo>
                                <a:lnTo>
                                  <a:pt x="6316726" y="2652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6B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690413" y="13617"/>
                            <a:ext cx="4098290" cy="3150870"/>
                          </a:xfrm>
                          <a:custGeom>
                            <a:rect b="b" l="l" r="r" t="t"/>
                            <a:pathLst>
                              <a:path extrusionOk="0" h="3150870" w="4098290">
                                <a:moveTo>
                                  <a:pt x="2049957" y="3150352"/>
                                </a:moveTo>
                                <a:lnTo>
                                  <a:pt x="0" y="2660487"/>
                                </a:lnTo>
                                <a:lnTo>
                                  <a:pt x="0" y="0"/>
                                </a:lnTo>
                                <a:lnTo>
                                  <a:pt x="4097918" y="0"/>
                                </a:lnTo>
                                <a:lnTo>
                                  <a:pt x="4097918" y="2660963"/>
                                </a:lnTo>
                                <a:lnTo>
                                  <a:pt x="2049957" y="3150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7E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270913" y="231343"/>
                            <a:ext cx="4941939" cy="221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6536468" y="251048"/>
                            <a:ext cx="2354583" cy="229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9945639" y="533733"/>
                            <a:ext cx="3384154" cy="169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204788</wp:posOffset>
              </wp:positionH>
              <wp:positionV relativeFrom="page">
                <wp:posOffset>102243</wp:posOffset>
              </wp:positionV>
              <wp:extent cx="7239000" cy="1689716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0" cy="16897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teachingwithimagination.com/2047/inference-examples-activitie" TargetMode="External"/><Relationship Id="rId7" Type="http://schemas.openxmlformats.org/officeDocument/2006/relationships/hyperlink" Target="https://revistas.faculdadefacit.edu.br/index.php/JNT/article/view/3396/2296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ressa.meloalbuquerque@uf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4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