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F7" w:rsidRDefault="00A261D9" w:rsidP="00A261D9">
      <w:pPr>
        <w:spacing w:after="0" w:line="240" w:lineRule="auto"/>
        <w:jc w:val="center"/>
        <w:rPr>
          <w:rFonts w:ascii="Times New Roman" w:eastAsia="Times New Roman" w:hAnsi="Times New Roman" w:cs="Times New Roman"/>
          <w:bCs/>
          <w:sz w:val="24"/>
          <w:szCs w:val="24"/>
          <w:lang w:eastAsia="pt-BR"/>
        </w:rPr>
      </w:pPr>
      <w:r w:rsidRPr="00A261D9">
        <w:rPr>
          <w:rFonts w:ascii="Times New Roman" w:eastAsia="Times New Roman" w:hAnsi="Times New Roman" w:cs="Times New Roman"/>
          <w:b/>
          <w:bCs/>
          <w:sz w:val="24"/>
          <w:szCs w:val="24"/>
          <w:lang w:eastAsia="pt-BR"/>
        </w:rPr>
        <w:t xml:space="preserve">A </w:t>
      </w:r>
      <w:r w:rsidRPr="00A261D9">
        <w:rPr>
          <w:rFonts w:ascii="Times New Roman" w:eastAsia="Times New Roman" w:hAnsi="Times New Roman" w:cs="Times New Roman"/>
          <w:b/>
          <w:bCs/>
          <w:i/>
          <w:sz w:val="24"/>
          <w:szCs w:val="24"/>
          <w:lang w:eastAsia="pt-BR"/>
        </w:rPr>
        <w:t>APRENDIZAGEM BASEADA EM JOGOS</w:t>
      </w:r>
      <w:r w:rsidRPr="00A261D9">
        <w:rPr>
          <w:rFonts w:ascii="Times New Roman" w:eastAsia="Times New Roman" w:hAnsi="Times New Roman" w:cs="Times New Roman"/>
          <w:b/>
          <w:bCs/>
          <w:sz w:val="24"/>
          <w:szCs w:val="24"/>
          <w:lang w:eastAsia="pt-BR"/>
        </w:rPr>
        <w:t xml:space="preserve"> NO CONTEXTO DAS NOVAS TECNOLOGIAS DIGITAIS E O ENSINO DE HISTÓRIA</w:t>
      </w:r>
    </w:p>
    <w:p w:rsidR="00A261D9" w:rsidRDefault="00A261D9">
      <w:pPr>
        <w:spacing w:after="0" w:line="240" w:lineRule="auto"/>
        <w:jc w:val="right"/>
        <w:rPr>
          <w:rFonts w:ascii="Times New Roman" w:eastAsia="Times New Roman" w:hAnsi="Times New Roman" w:cs="Times New Roman"/>
          <w:bCs/>
          <w:sz w:val="24"/>
          <w:szCs w:val="24"/>
          <w:lang w:eastAsia="pt-BR"/>
        </w:rPr>
      </w:pPr>
    </w:p>
    <w:p w:rsidR="007018F7" w:rsidRDefault="00A261D9">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Juliano Gonçalves de Aquino</w:t>
      </w:r>
    </w:p>
    <w:p w:rsidR="007018F7" w:rsidRDefault="00A261D9">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SEE/MG, doutorando em Educação </w:t>
      </w:r>
      <w:proofErr w:type="spellStart"/>
      <w:r>
        <w:rPr>
          <w:rFonts w:ascii="Times New Roman" w:eastAsia="Times New Roman" w:hAnsi="Times New Roman" w:cs="Times New Roman"/>
          <w:sz w:val="24"/>
          <w:szCs w:val="24"/>
          <w:lang w:eastAsia="pt-BR"/>
        </w:rPr>
        <w:t>Uniube</w:t>
      </w:r>
      <w:proofErr w:type="spellEnd"/>
      <w:r>
        <w:rPr>
          <w:rFonts w:ascii="Times New Roman" w:eastAsia="Times New Roman" w:hAnsi="Times New Roman" w:cs="Times New Roman"/>
          <w:sz w:val="24"/>
          <w:szCs w:val="24"/>
          <w:lang w:eastAsia="pt-BR"/>
        </w:rPr>
        <w:t xml:space="preserve"> / Programa Trilhas de Futuro Educadores</w:t>
      </w:r>
    </w:p>
    <w:p w:rsidR="007018F7" w:rsidRDefault="005B4EDB">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w:t>
      </w:r>
      <w:r w:rsidR="00A261D9">
        <w:rPr>
          <w:rFonts w:ascii="Times New Roman" w:eastAsia="Times New Roman" w:hAnsi="Times New Roman" w:cs="Times New Roman"/>
          <w:sz w:val="24"/>
          <w:szCs w:val="24"/>
          <w:lang w:eastAsia="pt-BR"/>
        </w:rPr>
        <w:t>uliano.aquino@educacao.mg.gov.br</w:t>
      </w:r>
    </w:p>
    <w:p w:rsidR="007018F7" w:rsidRDefault="00C61AD0">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Apar</w:t>
      </w:r>
      <w:bookmarkStart w:id="0" w:name="_GoBack"/>
      <w:bookmarkEnd w:id="0"/>
      <w:r>
        <w:rPr>
          <w:rFonts w:ascii="Times New Roman" w:eastAsia="Times New Roman" w:hAnsi="Times New Roman" w:cs="Times New Roman"/>
          <w:bCs/>
          <w:sz w:val="24"/>
          <w:szCs w:val="24"/>
          <w:lang w:eastAsia="pt-BR"/>
        </w:rPr>
        <w:t>ecido Pereira Cardoso</w:t>
      </w:r>
    </w:p>
    <w:p w:rsidR="00C61AD0" w:rsidRDefault="00C61AD0" w:rsidP="00C61AD0">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SEE/MG, doutorando em Educação </w:t>
      </w:r>
      <w:proofErr w:type="spellStart"/>
      <w:r>
        <w:rPr>
          <w:rFonts w:ascii="Times New Roman" w:eastAsia="Times New Roman" w:hAnsi="Times New Roman" w:cs="Times New Roman"/>
          <w:sz w:val="24"/>
          <w:szCs w:val="24"/>
          <w:lang w:eastAsia="pt-BR"/>
        </w:rPr>
        <w:t>Uniube</w:t>
      </w:r>
      <w:proofErr w:type="spellEnd"/>
      <w:r>
        <w:rPr>
          <w:rFonts w:ascii="Times New Roman" w:eastAsia="Times New Roman" w:hAnsi="Times New Roman" w:cs="Times New Roman"/>
          <w:sz w:val="24"/>
          <w:szCs w:val="24"/>
          <w:lang w:eastAsia="pt-BR"/>
        </w:rPr>
        <w:t xml:space="preserve"> / Programa Trilhas de Futuro Educadores</w:t>
      </w:r>
    </w:p>
    <w:p w:rsidR="00C61AD0" w:rsidRDefault="00DA2CF4">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aparecido.cardoso@educacao.mg.gov.br</w:t>
      </w:r>
      <w:r w:rsidR="00C61AD0" w:rsidRPr="00C61AD0">
        <w:rPr>
          <w:rFonts w:ascii="Times New Roman" w:eastAsia="Times New Roman" w:hAnsi="Times New Roman" w:cs="Times New Roman"/>
          <w:sz w:val="24"/>
          <w:szCs w:val="24"/>
          <w:lang w:eastAsia="pt-BR"/>
        </w:rPr>
        <w:t xml:space="preserve"> </w:t>
      </w:r>
    </w:p>
    <w:p w:rsidR="007018F7" w:rsidRDefault="005207D6">
      <w:pPr>
        <w:spacing w:after="0" w:line="240" w:lineRule="auto"/>
        <w:jc w:val="right"/>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Eixo:</w:t>
      </w:r>
      <w:r w:rsidR="00C61AD0">
        <w:rPr>
          <w:rFonts w:ascii="Times New Roman" w:eastAsia="Times New Roman" w:hAnsi="Times New Roman" w:cs="Times New Roman"/>
          <w:b/>
          <w:bCs/>
          <w:sz w:val="24"/>
          <w:szCs w:val="24"/>
          <w:lang w:eastAsia="pt-BR"/>
        </w:rPr>
        <w:t xml:space="preserve"> Tecnologias da Educação e Educação a Distância</w:t>
      </w:r>
    </w:p>
    <w:p w:rsidR="00D42507" w:rsidRDefault="00D42507" w:rsidP="00A261D9">
      <w:pPr>
        <w:jc w:val="both"/>
        <w:rPr>
          <w:rFonts w:ascii="Times New Roman" w:hAnsi="Times New Roman" w:cs="Times New Roman"/>
          <w:b/>
          <w:sz w:val="24"/>
          <w:szCs w:val="24"/>
        </w:rPr>
      </w:pPr>
    </w:p>
    <w:p w:rsidR="00A261D9" w:rsidRPr="00993BE9" w:rsidRDefault="00A261D9" w:rsidP="00A261D9">
      <w:pPr>
        <w:jc w:val="both"/>
        <w:rPr>
          <w:rFonts w:ascii="Times New Roman" w:hAnsi="Times New Roman" w:cs="Times New Roman"/>
          <w:b/>
          <w:sz w:val="24"/>
          <w:szCs w:val="24"/>
        </w:rPr>
      </w:pPr>
      <w:r w:rsidRPr="00993BE9">
        <w:rPr>
          <w:rFonts w:ascii="Times New Roman" w:hAnsi="Times New Roman" w:cs="Times New Roman"/>
          <w:b/>
          <w:sz w:val="24"/>
          <w:szCs w:val="24"/>
        </w:rPr>
        <w:t>Resumo:</w:t>
      </w:r>
    </w:p>
    <w:p w:rsidR="00A261D9" w:rsidRDefault="00E40EFF" w:rsidP="00A261D9">
      <w:pPr>
        <w:jc w:val="both"/>
        <w:rPr>
          <w:rFonts w:ascii="Times New Roman" w:hAnsi="Times New Roman" w:cs="Times New Roman"/>
          <w:sz w:val="24"/>
          <w:szCs w:val="24"/>
        </w:rPr>
      </w:pPr>
      <w:r>
        <w:rPr>
          <w:rFonts w:ascii="Times New Roman" w:hAnsi="Times New Roman" w:cs="Times New Roman"/>
          <w:sz w:val="24"/>
          <w:szCs w:val="24"/>
        </w:rPr>
        <w:t>Esta investigação discute</w:t>
      </w:r>
      <w:r w:rsidR="00A261D9" w:rsidRPr="00993BE9">
        <w:rPr>
          <w:rFonts w:ascii="Times New Roman" w:hAnsi="Times New Roman" w:cs="Times New Roman"/>
          <w:sz w:val="24"/>
          <w:szCs w:val="24"/>
        </w:rPr>
        <w:t xml:space="preserve"> as </w:t>
      </w:r>
      <w:r w:rsidR="00A261D9">
        <w:rPr>
          <w:rFonts w:ascii="Times New Roman" w:hAnsi="Times New Roman" w:cs="Times New Roman"/>
          <w:sz w:val="24"/>
          <w:szCs w:val="24"/>
        </w:rPr>
        <w:t>interfaces</w:t>
      </w:r>
      <w:r w:rsidR="00A261D9" w:rsidRPr="00993BE9">
        <w:rPr>
          <w:rFonts w:ascii="Times New Roman" w:hAnsi="Times New Roman" w:cs="Times New Roman"/>
          <w:sz w:val="24"/>
          <w:szCs w:val="24"/>
        </w:rPr>
        <w:t xml:space="preserve"> entre o entretenimento digital</w:t>
      </w:r>
      <w:r w:rsidR="00A261D9">
        <w:rPr>
          <w:rFonts w:ascii="Times New Roman" w:hAnsi="Times New Roman" w:cs="Times New Roman"/>
          <w:sz w:val="24"/>
          <w:szCs w:val="24"/>
        </w:rPr>
        <w:t xml:space="preserve"> proporcionado pelos jogos</w:t>
      </w:r>
      <w:r w:rsidR="00A261D9" w:rsidRPr="00993BE9">
        <w:rPr>
          <w:rFonts w:ascii="Times New Roman" w:hAnsi="Times New Roman" w:cs="Times New Roman"/>
          <w:sz w:val="24"/>
          <w:szCs w:val="24"/>
        </w:rPr>
        <w:t xml:space="preserve"> e a </w:t>
      </w:r>
      <w:r w:rsidR="00A261D9">
        <w:rPr>
          <w:rFonts w:ascii="Times New Roman" w:hAnsi="Times New Roman" w:cs="Times New Roman"/>
          <w:sz w:val="24"/>
          <w:szCs w:val="24"/>
        </w:rPr>
        <w:t>escrita da História</w:t>
      </w:r>
      <w:r w:rsidR="00A261D9" w:rsidRPr="00993BE9">
        <w:rPr>
          <w:rFonts w:ascii="Times New Roman" w:hAnsi="Times New Roman" w:cs="Times New Roman"/>
          <w:sz w:val="24"/>
          <w:szCs w:val="24"/>
        </w:rPr>
        <w:t>, partindo da premi</w:t>
      </w:r>
      <w:r w:rsidR="00781BA1">
        <w:rPr>
          <w:rFonts w:ascii="Times New Roman" w:hAnsi="Times New Roman" w:cs="Times New Roman"/>
          <w:sz w:val="24"/>
          <w:szCs w:val="24"/>
        </w:rPr>
        <w:t xml:space="preserve">ssa de que os games </w:t>
      </w:r>
      <w:r w:rsidR="00A261D9">
        <w:rPr>
          <w:rFonts w:ascii="Times New Roman" w:hAnsi="Times New Roman" w:cs="Times New Roman"/>
          <w:sz w:val="24"/>
          <w:szCs w:val="24"/>
        </w:rPr>
        <w:t>podem se tornar verdadeiro</w:t>
      </w:r>
      <w:r w:rsidR="00781BA1">
        <w:rPr>
          <w:rFonts w:ascii="Times New Roman" w:hAnsi="Times New Roman" w:cs="Times New Roman"/>
          <w:sz w:val="24"/>
          <w:szCs w:val="24"/>
        </w:rPr>
        <w:t>s</w:t>
      </w:r>
      <w:r w:rsidR="00A261D9">
        <w:rPr>
          <w:rFonts w:ascii="Times New Roman" w:hAnsi="Times New Roman" w:cs="Times New Roman"/>
          <w:sz w:val="24"/>
          <w:szCs w:val="24"/>
        </w:rPr>
        <w:t xml:space="preserve"> ecossistemas</w:t>
      </w:r>
      <w:r w:rsidR="00781BA1">
        <w:rPr>
          <w:rFonts w:ascii="Times New Roman" w:hAnsi="Times New Roman" w:cs="Times New Roman"/>
          <w:sz w:val="24"/>
          <w:szCs w:val="24"/>
        </w:rPr>
        <w:t xml:space="preserve"> de aprendizagens</w:t>
      </w:r>
      <w:r w:rsidR="00A261D9">
        <w:rPr>
          <w:rFonts w:ascii="Times New Roman" w:hAnsi="Times New Roman" w:cs="Times New Roman"/>
          <w:sz w:val="24"/>
          <w:szCs w:val="24"/>
        </w:rPr>
        <w:t xml:space="preserve">. </w:t>
      </w:r>
      <w:r w:rsidR="00BF1652" w:rsidRPr="00BF1652">
        <w:rPr>
          <w:rFonts w:ascii="Times New Roman" w:hAnsi="Times New Roman" w:cs="Times New Roman"/>
          <w:sz w:val="24"/>
          <w:szCs w:val="24"/>
        </w:rPr>
        <w:t>O objetivo central consistiu em mapear e discutir a produ</w:t>
      </w:r>
      <w:r>
        <w:rPr>
          <w:rFonts w:ascii="Times New Roman" w:hAnsi="Times New Roman" w:cs="Times New Roman"/>
          <w:sz w:val="24"/>
          <w:szCs w:val="24"/>
        </w:rPr>
        <w:t>ção acadêmica brasileira que versa sobre o</w:t>
      </w:r>
      <w:r w:rsidR="00BF1652" w:rsidRPr="00BF1652">
        <w:rPr>
          <w:rFonts w:ascii="Times New Roman" w:hAnsi="Times New Roman" w:cs="Times New Roman"/>
          <w:sz w:val="24"/>
          <w:szCs w:val="24"/>
        </w:rPr>
        <w:t xml:space="preserve"> uso de jogos no ensino de História, </w:t>
      </w:r>
      <w:r>
        <w:rPr>
          <w:rFonts w:ascii="Times New Roman" w:hAnsi="Times New Roman" w:cs="Times New Roman"/>
          <w:sz w:val="24"/>
          <w:szCs w:val="24"/>
        </w:rPr>
        <w:t>especificamente os de natureza p</w:t>
      </w:r>
      <w:r>
        <w:rPr>
          <w:rFonts w:ascii="Times New Roman" w:hAnsi="Times New Roman" w:cs="Times New Roman"/>
          <w:i/>
          <w:sz w:val="24"/>
          <w:szCs w:val="24"/>
        </w:rPr>
        <w:t>erformática</w:t>
      </w:r>
      <w:r>
        <w:rPr>
          <w:rFonts w:ascii="Times New Roman" w:hAnsi="Times New Roman" w:cs="Times New Roman"/>
          <w:sz w:val="24"/>
          <w:szCs w:val="24"/>
        </w:rPr>
        <w:t xml:space="preserve"> e aqueles considerados de</w:t>
      </w:r>
      <w:r w:rsidR="00BF1652" w:rsidRPr="00BF1652">
        <w:rPr>
          <w:rFonts w:ascii="Times New Roman" w:hAnsi="Times New Roman" w:cs="Times New Roman"/>
          <w:sz w:val="24"/>
          <w:szCs w:val="24"/>
        </w:rPr>
        <w:t xml:space="preserve"> </w:t>
      </w:r>
      <w:r w:rsidR="00BF1652" w:rsidRPr="00BF1652">
        <w:rPr>
          <w:rFonts w:ascii="Times New Roman" w:hAnsi="Times New Roman" w:cs="Times New Roman"/>
          <w:i/>
          <w:sz w:val="24"/>
          <w:szCs w:val="24"/>
        </w:rPr>
        <w:t>gerenciamento</w:t>
      </w:r>
      <w:r w:rsidR="00BF1652" w:rsidRPr="00BF1652">
        <w:rPr>
          <w:rFonts w:ascii="Times New Roman" w:hAnsi="Times New Roman" w:cs="Times New Roman"/>
          <w:sz w:val="24"/>
          <w:szCs w:val="24"/>
        </w:rPr>
        <w:t>. M</w:t>
      </w:r>
      <w:r>
        <w:rPr>
          <w:rFonts w:ascii="Times New Roman" w:hAnsi="Times New Roman" w:cs="Times New Roman"/>
          <w:sz w:val="24"/>
          <w:szCs w:val="24"/>
        </w:rPr>
        <w:t>etodologicamente,</w:t>
      </w:r>
      <w:r w:rsidR="00BF1652" w:rsidRPr="00BF1652">
        <w:rPr>
          <w:rFonts w:ascii="Times New Roman" w:hAnsi="Times New Roman" w:cs="Times New Roman"/>
          <w:sz w:val="24"/>
          <w:szCs w:val="24"/>
        </w:rPr>
        <w:t xml:space="preserve"> caracteriza-se como uma revisão bibliográfica de abordagem qualitativa e caráter teórico-analítico</w:t>
      </w:r>
      <w:r w:rsidR="00BF1652">
        <w:rPr>
          <w:rFonts w:ascii="Times New Roman" w:hAnsi="Times New Roman" w:cs="Times New Roman"/>
          <w:sz w:val="24"/>
          <w:szCs w:val="24"/>
        </w:rPr>
        <w:t xml:space="preserve">. </w:t>
      </w:r>
      <w:r w:rsidR="00A261D9" w:rsidRPr="00993BE9">
        <w:rPr>
          <w:rFonts w:ascii="Times New Roman" w:hAnsi="Times New Roman" w:cs="Times New Roman"/>
          <w:sz w:val="24"/>
          <w:szCs w:val="24"/>
        </w:rPr>
        <w:t xml:space="preserve">O </w:t>
      </w:r>
      <w:r w:rsidR="00A261D9" w:rsidRPr="00993BE9">
        <w:rPr>
          <w:rFonts w:ascii="Times New Roman" w:hAnsi="Times New Roman" w:cs="Times New Roman"/>
          <w:i/>
          <w:sz w:val="24"/>
          <w:szCs w:val="24"/>
        </w:rPr>
        <w:t xml:space="preserve">corpus </w:t>
      </w:r>
      <w:r w:rsidR="00A261D9" w:rsidRPr="00993BE9">
        <w:rPr>
          <w:rFonts w:ascii="Times New Roman" w:hAnsi="Times New Roman" w:cs="Times New Roman"/>
          <w:sz w:val="24"/>
          <w:szCs w:val="24"/>
        </w:rPr>
        <w:t>documental foi consti</w:t>
      </w:r>
      <w:r w:rsidR="00BF1652">
        <w:rPr>
          <w:rFonts w:ascii="Times New Roman" w:hAnsi="Times New Roman" w:cs="Times New Roman"/>
          <w:sz w:val="24"/>
          <w:szCs w:val="24"/>
        </w:rPr>
        <w:t>tuído via triagem sistemática na</w:t>
      </w:r>
      <w:r w:rsidR="00A261D9" w:rsidRPr="00993BE9">
        <w:rPr>
          <w:rFonts w:ascii="Times New Roman" w:hAnsi="Times New Roman" w:cs="Times New Roman"/>
          <w:sz w:val="24"/>
          <w:szCs w:val="24"/>
        </w:rPr>
        <w:t xml:space="preserve"> </w:t>
      </w:r>
      <w:r w:rsidR="00BF1652">
        <w:rPr>
          <w:rFonts w:ascii="Times New Roman" w:hAnsi="Times New Roman" w:cs="Times New Roman"/>
          <w:sz w:val="24"/>
          <w:szCs w:val="24"/>
        </w:rPr>
        <w:t xml:space="preserve">Biblioteca Digital Brasileira de Teses e Dissertações – BDBTD </w:t>
      </w:r>
      <w:r w:rsidR="00A261D9" w:rsidRPr="00993BE9">
        <w:rPr>
          <w:rFonts w:ascii="Times New Roman" w:hAnsi="Times New Roman" w:cs="Times New Roman"/>
          <w:sz w:val="24"/>
          <w:szCs w:val="24"/>
        </w:rPr>
        <w:t>e no Google Acadêmico, utilizando</w:t>
      </w:r>
      <w:r w:rsidR="00A261D9">
        <w:rPr>
          <w:rFonts w:ascii="Times New Roman" w:hAnsi="Times New Roman" w:cs="Times New Roman"/>
          <w:sz w:val="24"/>
          <w:szCs w:val="24"/>
        </w:rPr>
        <w:t>-se</w:t>
      </w:r>
      <w:r w:rsidR="00A261D9" w:rsidRPr="00993BE9">
        <w:rPr>
          <w:rFonts w:ascii="Times New Roman" w:hAnsi="Times New Roman" w:cs="Times New Roman"/>
          <w:sz w:val="24"/>
          <w:szCs w:val="24"/>
        </w:rPr>
        <w:t xml:space="preserve"> descritores como "jogos digitais", "ensino de História" e "História digital". A seleção bibliográfica ancorou-se em filtros de elegibilidade pautados na aderência ao "círculo de investigaç</w:t>
      </w:r>
      <w:r w:rsidR="00A261D9">
        <w:rPr>
          <w:rFonts w:ascii="Times New Roman" w:hAnsi="Times New Roman" w:cs="Times New Roman"/>
          <w:sz w:val="24"/>
          <w:szCs w:val="24"/>
        </w:rPr>
        <w:t>ão sobre jogos" no Brasil (Silva; Giacomonni; Oliveira</w:t>
      </w:r>
      <w:r w:rsidR="00A261D9" w:rsidRPr="00993BE9">
        <w:rPr>
          <w:rFonts w:ascii="Times New Roman" w:hAnsi="Times New Roman" w:cs="Times New Roman"/>
          <w:sz w:val="24"/>
          <w:szCs w:val="24"/>
        </w:rPr>
        <w:t xml:space="preserve">, 2020) e na relevância temática dos objetos estudados. A fundamentação teórica articula </w:t>
      </w:r>
      <w:r w:rsidR="00A261D9">
        <w:rPr>
          <w:rFonts w:ascii="Times New Roman" w:hAnsi="Times New Roman" w:cs="Times New Roman"/>
          <w:sz w:val="24"/>
          <w:szCs w:val="24"/>
        </w:rPr>
        <w:t xml:space="preserve">principalmente </w:t>
      </w:r>
      <w:r w:rsidR="00A261D9" w:rsidRPr="00993BE9">
        <w:rPr>
          <w:rFonts w:ascii="Times New Roman" w:hAnsi="Times New Roman" w:cs="Times New Roman"/>
          <w:sz w:val="24"/>
          <w:szCs w:val="24"/>
        </w:rPr>
        <w:t>os conceito</w:t>
      </w:r>
      <w:r w:rsidR="00A261D9">
        <w:rPr>
          <w:rFonts w:ascii="Times New Roman" w:hAnsi="Times New Roman" w:cs="Times New Roman"/>
          <w:sz w:val="24"/>
          <w:szCs w:val="24"/>
        </w:rPr>
        <w:t>s de metodologias ativas (Bacich; Moran</w:t>
      </w:r>
      <w:r w:rsidR="00A261D9" w:rsidRPr="00993BE9">
        <w:rPr>
          <w:rFonts w:ascii="Times New Roman" w:hAnsi="Times New Roman" w:cs="Times New Roman"/>
          <w:sz w:val="24"/>
          <w:szCs w:val="24"/>
        </w:rPr>
        <w:t>, 2018)</w:t>
      </w:r>
      <w:r w:rsidR="00A261D9">
        <w:rPr>
          <w:rFonts w:ascii="Times New Roman" w:hAnsi="Times New Roman" w:cs="Times New Roman"/>
          <w:sz w:val="24"/>
          <w:szCs w:val="24"/>
        </w:rPr>
        <w:t>, História Digital (Barros, 2022) e aprendizagem baseada em jogos</w:t>
      </w:r>
      <w:r w:rsidR="00A261D9" w:rsidRPr="00993BE9">
        <w:rPr>
          <w:rFonts w:ascii="Times New Roman" w:hAnsi="Times New Roman" w:cs="Times New Roman"/>
          <w:sz w:val="24"/>
          <w:szCs w:val="24"/>
        </w:rPr>
        <w:t xml:space="preserve"> </w:t>
      </w:r>
      <w:r w:rsidR="00A261D9" w:rsidRPr="00343ADD">
        <w:rPr>
          <w:rFonts w:ascii="Times New Roman" w:hAnsi="Times New Roman" w:cs="Times New Roman"/>
          <w:sz w:val="24"/>
          <w:szCs w:val="24"/>
        </w:rPr>
        <w:t xml:space="preserve">(Santos; Bezerra, 2019). </w:t>
      </w:r>
      <w:r w:rsidR="00A261D9">
        <w:rPr>
          <w:rFonts w:ascii="Times New Roman" w:hAnsi="Times New Roman" w:cs="Times New Roman"/>
          <w:sz w:val="24"/>
          <w:szCs w:val="24"/>
        </w:rPr>
        <w:t>O</w:t>
      </w:r>
      <w:r w:rsidR="00A261D9" w:rsidRPr="00993BE9">
        <w:rPr>
          <w:rFonts w:ascii="Times New Roman" w:hAnsi="Times New Roman" w:cs="Times New Roman"/>
          <w:sz w:val="24"/>
          <w:szCs w:val="24"/>
        </w:rPr>
        <w:t>s resultados apontam que a integração</w:t>
      </w:r>
      <w:r w:rsidR="00A261D9">
        <w:rPr>
          <w:rFonts w:ascii="Times New Roman" w:hAnsi="Times New Roman" w:cs="Times New Roman"/>
          <w:sz w:val="24"/>
          <w:szCs w:val="24"/>
        </w:rPr>
        <w:t xml:space="preserve"> consciente de jogos digitais </w:t>
      </w:r>
      <w:r w:rsidR="00A261D9" w:rsidRPr="00993BE9">
        <w:rPr>
          <w:rFonts w:ascii="Times New Roman" w:hAnsi="Times New Roman" w:cs="Times New Roman"/>
          <w:sz w:val="24"/>
          <w:szCs w:val="24"/>
        </w:rPr>
        <w:t xml:space="preserve">no </w:t>
      </w:r>
      <w:r w:rsidR="00A261D9">
        <w:rPr>
          <w:rFonts w:ascii="Times New Roman" w:hAnsi="Times New Roman" w:cs="Times New Roman"/>
          <w:sz w:val="24"/>
          <w:szCs w:val="24"/>
        </w:rPr>
        <w:t xml:space="preserve">ensino de História </w:t>
      </w:r>
      <w:r w:rsidR="002C2A6F">
        <w:rPr>
          <w:rFonts w:ascii="Times New Roman" w:hAnsi="Times New Roman" w:cs="Times New Roman"/>
          <w:sz w:val="24"/>
          <w:szCs w:val="24"/>
        </w:rPr>
        <w:t xml:space="preserve">contribuem para </w:t>
      </w:r>
      <w:r w:rsidR="00A261D9">
        <w:rPr>
          <w:rFonts w:ascii="Times New Roman" w:hAnsi="Times New Roman" w:cs="Times New Roman"/>
          <w:sz w:val="24"/>
          <w:szCs w:val="24"/>
        </w:rPr>
        <w:t xml:space="preserve">o </w:t>
      </w:r>
      <w:r w:rsidR="002C2A6F">
        <w:rPr>
          <w:rFonts w:ascii="Times New Roman" w:hAnsi="Times New Roman" w:cs="Times New Roman"/>
          <w:sz w:val="24"/>
          <w:szCs w:val="24"/>
        </w:rPr>
        <w:t xml:space="preserve">letramento digital e a </w:t>
      </w:r>
      <w:r w:rsidR="00A261D9" w:rsidRPr="00993BE9">
        <w:rPr>
          <w:rFonts w:ascii="Times New Roman" w:hAnsi="Times New Roman" w:cs="Times New Roman"/>
          <w:sz w:val="24"/>
          <w:szCs w:val="24"/>
        </w:rPr>
        <w:t>agência do estudante dia</w:t>
      </w:r>
      <w:r w:rsidR="00A261D9">
        <w:rPr>
          <w:rFonts w:ascii="Times New Roman" w:hAnsi="Times New Roman" w:cs="Times New Roman"/>
          <w:sz w:val="24"/>
          <w:szCs w:val="24"/>
        </w:rPr>
        <w:t>nte do conhecimento histórico.</w:t>
      </w:r>
    </w:p>
    <w:p w:rsidR="00A261D9" w:rsidRDefault="00A261D9" w:rsidP="00A261D9">
      <w:pPr>
        <w:jc w:val="both"/>
        <w:rPr>
          <w:rFonts w:ascii="Times New Roman" w:hAnsi="Times New Roman" w:cs="Times New Roman"/>
          <w:sz w:val="24"/>
          <w:szCs w:val="24"/>
        </w:rPr>
      </w:pPr>
      <w:r w:rsidRPr="002E6115">
        <w:rPr>
          <w:rFonts w:ascii="Times New Roman" w:hAnsi="Times New Roman" w:cs="Times New Roman"/>
          <w:b/>
          <w:sz w:val="24"/>
          <w:szCs w:val="24"/>
        </w:rPr>
        <w:t>Palavras-chave:</w:t>
      </w:r>
      <w:r>
        <w:rPr>
          <w:rFonts w:ascii="Times New Roman" w:hAnsi="Times New Roman" w:cs="Times New Roman"/>
          <w:sz w:val="24"/>
          <w:szCs w:val="24"/>
        </w:rPr>
        <w:t xml:space="preserve"> Ensino de História. </w:t>
      </w:r>
      <w:r w:rsidRPr="00993BE9">
        <w:rPr>
          <w:rFonts w:ascii="Times New Roman" w:hAnsi="Times New Roman" w:cs="Times New Roman"/>
          <w:sz w:val="24"/>
          <w:szCs w:val="24"/>
        </w:rPr>
        <w:t>Jogos</w:t>
      </w:r>
      <w:r>
        <w:rPr>
          <w:rFonts w:ascii="Times New Roman" w:hAnsi="Times New Roman" w:cs="Times New Roman"/>
          <w:sz w:val="24"/>
          <w:szCs w:val="24"/>
        </w:rPr>
        <w:t xml:space="preserve"> Digitais. Metodologias Ativas. Aprendizagem Baseada em Jogos.</w:t>
      </w:r>
    </w:p>
    <w:p w:rsidR="00A261D9" w:rsidRPr="00DE7AA1" w:rsidRDefault="00A261D9" w:rsidP="00165033">
      <w:pPr>
        <w:spacing w:after="0" w:line="240" w:lineRule="auto"/>
        <w:jc w:val="both"/>
        <w:rPr>
          <w:rFonts w:ascii="Times New Roman" w:hAnsi="Times New Roman" w:cs="Times New Roman"/>
          <w:b/>
          <w:sz w:val="24"/>
          <w:szCs w:val="24"/>
        </w:rPr>
      </w:pPr>
      <w:r w:rsidRPr="00DE7AA1">
        <w:rPr>
          <w:rFonts w:ascii="Times New Roman" w:hAnsi="Times New Roman" w:cs="Times New Roman"/>
          <w:b/>
          <w:sz w:val="24"/>
          <w:szCs w:val="24"/>
        </w:rPr>
        <w:t>Introdução</w:t>
      </w:r>
    </w:p>
    <w:p w:rsidR="00A261D9" w:rsidRDefault="00A261D9" w:rsidP="00165033">
      <w:pPr>
        <w:pStyle w:val="NormalWeb"/>
        <w:spacing w:before="0" w:beforeAutospacing="0" w:after="0" w:afterAutospacing="0"/>
        <w:ind w:firstLine="851"/>
        <w:jc w:val="both"/>
      </w:pPr>
    </w:p>
    <w:p w:rsidR="00A261D9" w:rsidRDefault="00A261D9" w:rsidP="00CA5EBC">
      <w:pPr>
        <w:pStyle w:val="NormalWeb"/>
        <w:spacing w:before="0" w:beforeAutospacing="0" w:after="0" w:afterAutospacing="0"/>
        <w:ind w:firstLine="851"/>
        <w:jc w:val="both"/>
      </w:pPr>
      <w:r>
        <w:t xml:space="preserve">As preocupações com os impactos das novas tecnologias digitais da informação e comunicação nos contextos escolares não </w:t>
      </w:r>
      <w:r w:rsidR="00E40EFF">
        <w:t>é fenômeno recente no campo educacional</w:t>
      </w:r>
      <w:r>
        <w:t xml:space="preserve">. Notadamente os jogos digitais como objeto de investigação configuram </w:t>
      </w:r>
      <w:r w:rsidR="00EE4D55">
        <w:t>um campo de pesquisa profícuo</w:t>
      </w:r>
      <w:r>
        <w:t xml:space="preserve"> no início do século XXI no Brasil e tem ganhado corpo em áreas de conhecimento cada vez mais amplas.</w:t>
      </w:r>
    </w:p>
    <w:p w:rsidR="00A261D9" w:rsidRDefault="00A261D9" w:rsidP="00CA5EBC">
      <w:pPr>
        <w:pStyle w:val="NormalWeb"/>
        <w:spacing w:before="0" w:beforeAutospacing="0" w:after="0" w:afterAutospacing="0"/>
        <w:ind w:firstLine="851"/>
        <w:jc w:val="both"/>
      </w:pPr>
      <w:r w:rsidRPr="006439CC">
        <w:t>Acerca da apropriação da academia sobre as temáticas dos jogos digitais, a professora Lynn Alves</w:t>
      </w:r>
      <w:r>
        <w:t xml:space="preserve"> (2008)</w:t>
      </w:r>
      <w:r w:rsidRPr="006439CC">
        <w:t xml:space="preserve">, pioneira nos estudos no país, </w:t>
      </w:r>
      <w:r w:rsidR="00EE4D55">
        <w:t>demarca o</w:t>
      </w:r>
      <w:r w:rsidR="00BD7DF3">
        <w:t xml:space="preserve"> q</w:t>
      </w:r>
      <w:r w:rsidR="00EE4D55">
        <w:t xml:space="preserve">uadro de emergência do tema dentro das </w:t>
      </w:r>
      <w:r w:rsidR="00BD7DF3">
        <w:t>universidade brasileiras</w:t>
      </w:r>
      <w:r w:rsidR="00EE4D55">
        <w:t xml:space="preserve">, o que teria levado à criação de cursos de graduação na área de desenvolvimento e design de games no Sudeste. Na Bahia, as discussões ganham fôlego a </w:t>
      </w:r>
      <w:r w:rsidR="00EE4D55">
        <w:lastRenderedPageBreak/>
        <w:t>partir de 2003, “quando finalmente, a academia se rende” ao potencial destas mídias (Alves, 2008, p. 226).</w:t>
      </w:r>
    </w:p>
    <w:p w:rsidR="00A261D9" w:rsidRDefault="00A261D9" w:rsidP="00CA5EBC">
      <w:pPr>
        <w:pStyle w:val="NormalWeb"/>
        <w:spacing w:before="0" w:beforeAutospacing="0" w:after="0" w:afterAutospacing="0"/>
        <w:ind w:firstLine="851"/>
        <w:jc w:val="both"/>
      </w:pPr>
      <w:r w:rsidRPr="006439CC">
        <w:t>Domínios como o da psic</w:t>
      </w:r>
      <w:r w:rsidR="00E40EFF">
        <w:t xml:space="preserve">ologia, educação, comunicação </w:t>
      </w:r>
      <w:r w:rsidRPr="006439CC">
        <w:t xml:space="preserve">e </w:t>
      </w:r>
      <w:r w:rsidR="00E40EFF">
        <w:t xml:space="preserve">também </w:t>
      </w:r>
      <w:r w:rsidRPr="006439CC">
        <w:t>da História</w:t>
      </w:r>
      <w:r w:rsidR="00E40EFF">
        <w:t xml:space="preserve">, </w:t>
      </w:r>
      <w:r w:rsidRPr="006439CC">
        <w:t>representam uma pulverização das abo</w:t>
      </w:r>
      <w:r>
        <w:t>rdagens sobre os jogos digitais.</w:t>
      </w:r>
      <w:r w:rsidRPr="006439CC">
        <w:t xml:space="preserve"> Como </w:t>
      </w:r>
      <w:r w:rsidR="005A6776">
        <w:t>Lynn Alves vem sinalizando (2010</w:t>
      </w:r>
      <w:r w:rsidR="00E40EFF">
        <w:t>), o jogo não pode ser tratado sob um único viés teórico</w:t>
      </w:r>
      <w:r>
        <w:t>. E</w:t>
      </w:r>
      <w:r w:rsidRPr="006439CC">
        <w:t>le atravessa fronteiras, exigindo que o pesquisador configure suas perguntas e escolhas metodológicas, sem ignorar que o fenômeno lúdico pode ser, simultaneamente, consumo, linguagem, comportamento e ferramenta pedagógica.</w:t>
      </w:r>
    </w:p>
    <w:p w:rsidR="00A261D9" w:rsidRDefault="00A261D9" w:rsidP="00CA5EBC">
      <w:pPr>
        <w:pStyle w:val="NormalWeb"/>
        <w:spacing w:before="0" w:beforeAutospacing="0" w:after="0" w:afterAutospacing="0"/>
        <w:ind w:firstLine="851"/>
        <w:jc w:val="both"/>
      </w:pPr>
      <w:r>
        <w:t xml:space="preserve">A partir destas premissas, a presente pesquisa, por meio de revisão bibliográfica, procurou construir um percurso de convergências possíveis entre as aprendizagens por meio de jogos digitais e o ensino de História. O </w:t>
      </w:r>
      <w:r w:rsidR="00E40EFF">
        <w:t xml:space="preserve">escopo do presente trabalho </w:t>
      </w:r>
      <w:r>
        <w:t xml:space="preserve">foi o de mapear como a historiografia contemporânea tem incorporado os jogos digitais </w:t>
      </w:r>
      <w:r w:rsidR="00E40EFF">
        <w:t xml:space="preserve">enquanto </w:t>
      </w:r>
      <w:r>
        <w:t xml:space="preserve">ferramentas de construções de aprendizagens significativas e também como objetos que veiculam/disseminam determinados discursos sobre a relação tempo-espaço e, consequentemente noções enviesadas de história. </w:t>
      </w:r>
    </w:p>
    <w:p w:rsidR="00A261D9" w:rsidRDefault="00A261D9" w:rsidP="00CA5EBC">
      <w:pPr>
        <w:pStyle w:val="NormalWeb"/>
        <w:spacing w:before="0" w:beforeAutospacing="0" w:after="0" w:afterAutospacing="0"/>
        <w:jc w:val="both"/>
      </w:pPr>
    </w:p>
    <w:p w:rsidR="00A261D9" w:rsidRPr="00DE7AA1" w:rsidRDefault="00A261D9" w:rsidP="00CA5EBC">
      <w:pPr>
        <w:spacing w:line="240" w:lineRule="auto"/>
        <w:jc w:val="both"/>
        <w:rPr>
          <w:rFonts w:ascii="Times New Roman" w:hAnsi="Times New Roman" w:cs="Times New Roman"/>
          <w:b/>
          <w:sz w:val="24"/>
          <w:szCs w:val="24"/>
        </w:rPr>
      </w:pPr>
      <w:r>
        <w:rPr>
          <w:rFonts w:ascii="Times New Roman" w:hAnsi="Times New Roman" w:cs="Times New Roman"/>
          <w:b/>
          <w:sz w:val="24"/>
          <w:szCs w:val="24"/>
        </w:rPr>
        <w:t>Justificativa e problema de pesquisa</w:t>
      </w:r>
    </w:p>
    <w:p w:rsidR="00E40EFF" w:rsidRDefault="00EE4D55" w:rsidP="00CA5EBC">
      <w:pPr>
        <w:pStyle w:val="NormalWeb"/>
        <w:spacing w:before="0" w:beforeAutospacing="0" w:after="0" w:afterAutospacing="0"/>
        <w:ind w:firstLine="851"/>
        <w:jc w:val="both"/>
      </w:pPr>
      <w:r w:rsidRPr="00EE4D55">
        <w:t>Ao empenhar-se no mapeamento e na sistematização dos percursos historiográficos que envolvem os jogos digitais e o ensino de História nas últimas décadas no Brasil, esta investigação adquire relevância ao ofere</w:t>
      </w:r>
      <w:r w:rsidR="005A66E0">
        <w:t>cer subsídios teóricos que possam</w:t>
      </w:r>
      <w:r w:rsidRPr="00EE4D55">
        <w:t xml:space="preserve"> capilarizar novos debates. </w:t>
      </w:r>
    </w:p>
    <w:p w:rsidR="005A66E0" w:rsidRDefault="00A261D9" w:rsidP="00CA5EBC">
      <w:pPr>
        <w:pStyle w:val="NormalWeb"/>
        <w:spacing w:before="0" w:beforeAutospacing="0" w:after="0" w:afterAutospacing="0"/>
        <w:ind w:firstLine="851"/>
        <w:jc w:val="both"/>
      </w:pPr>
      <w:r>
        <w:t xml:space="preserve">Cada vez mais a presença dos jogos digitais se consolida nos contextos sociais de gerações variadas, não somente entre aqueles em idade escolar. A relação </w:t>
      </w:r>
      <w:r w:rsidRPr="006439CC">
        <w:t>do lúdico e dos jogos</w:t>
      </w:r>
      <w:r>
        <w:t xml:space="preserve"> digitais com o brasileiro</w:t>
      </w:r>
      <w:r w:rsidRPr="006439CC">
        <w:t xml:space="preserve"> tem sido</w:t>
      </w:r>
      <w:r>
        <w:t xml:space="preserve"> mais íntima, independentemente da idade</w:t>
      </w:r>
      <w:r w:rsidRPr="006439CC">
        <w:t>, gênero e formatos de acesso</w:t>
      </w:r>
      <w:r w:rsidR="005A66E0">
        <w:t xml:space="preserve"> (Pesquisa Game Brasil 2025).</w:t>
      </w:r>
    </w:p>
    <w:p w:rsidR="00A261D9" w:rsidRDefault="00A261D9" w:rsidP="00CA5EBC">
      <w:pPr>
        <w:pStyle w:val="NormalWeb"/>
        <w:spacing w:before="0" w:beforeAutospacing="0" w:after="0" w:afterAutospacing="0"/>
        <w:ind w:firstLine="851"/>
        <w:jc w:val="both"/>
      </w:pPr>
      <w:r w:rsidRPr="006439CC">
        <w:t>Entendendo este movimento de aproximação exponencial das nossas crianças e adolescentes em idade escolar com os jogos eletrônicos, as pesquisas em educação no Brasil foram pioneiras em buscar pontes para o aproveitamento de ferramentas lúdicas no ensin</w:t>
      </w:r>
      <w:r>
        <w:t xml:space="preserve">o-aprendizagem. No entanto, o </w:t>
      </w:r>
      <w:r w:rsidRPr="006439CC">
        <w:t>interesse dos historiadores</w:t>
      </w:r>
      <w:r>
        <w:t xml:space="preserve"> brasileiros</w:t>
      </w:r>
      <w:r w:rsidRPr="006439CC">
        <w:t xml:space="preserve"> com a temática dos </w:t>
      </w:r>
      <w:r>
        <w:t xml:space="preserve">jogos digitais </w:t>
      </w:r>
      <w:r w:rsidRPr="006439CC">
        <w:t>é relativamente recente, ganhando fôlego a partir da formação de grupos de estudos e sendo “espraiado” com os frutos da constituição da Rede Nacional do Mestrado Profissional em Ensino de História (</w:t>
      </w:r>
      <w:r w:rsidRPr="00683C68">
        <w:rPr>
          <w:i/>
        </w:rPr>
        <w:t>ProfHistória</w:t>
      </w:r>
      <w:r w:rsidRPr="006439CC">
        <w:t>)</w:t>
      </w:r>
      <w:r>
        <w:t xml:space="preserve">, programa integrado de pós-graduação que envolve instituições de todo o país, voltado </w:t>
      </w:r>
      <w:r w:rsidRPr="00B14AA1">
        <w:t xml:space="preserve">à formação continuada de </w:t>
      </w:r>
      <w:r>
        <w:t>professores da educação básica (Silva; Giacomoni; Oliveira, 2020).</w:t>
      </w:r>
    </w:p>
    <w:p w:rsidR="00A261D9" w:rsidRDefault="00A261D9" w:rsidP="00CA5EBC">
      <w:pPr>
        <w:pStyle w:val="NormalWeb"/>
        <w:spacing w:before="0" w:beforeAutospacing="0" w:after="0" w:afterAutospacing="0"/>
        <w:ind w:firstLine="851"/>
        <w:jc w:val="both"/>
      </w:pPr>
      <w:r>
        <w:rPr>
          <w:rStyle w:val="citation-171"/>
        </w:rPr>
        <w:t>Esta investigação emer</w:t>
      </w:r>
      <w:r w:rsidR="0047769E">
        <w:rPr>
          <w:rStyle w:val="citation-171"/>
        </w:rPr>
        <w:t xml:space="preserve">ge da necessidade de se mapear/identificar </w:t>
      </w:r>
      <w:r>
        <w:rPr>
          <w:rStyle w:val="citation-171"/>
        </w:rPr>
        <w:t>os percursos trilhados pela História Digital em suas investidas sobre o universo lúdico dos games</w:t>
      </w:r>
      <w:r>
        <w:t xml:space="preserve">. </w:t>
      </w:r>
      <w:r>
        <w:rPr>
          <w:rStyle w:val="citation-170"/>
        </w:rPr>
        <w:t xml:space="preserve">Delimitamos como problema de pesquisa a análise das operações historiográficas no Brasil que transformam jogos de </w:t>
      </w:r>
      <w:r>
        <w:rPr>
          <w:rStyle w:val="citation-170"/>
          <w:i/>
          <w:iCs/>
        </w:rPr>
        <w:t>performance</w:t>
      </w:r>
      <w:r>
        <w:rPr>
          <w:rStyle w:val="citation-170"/>
        </w:rPr>
        <w:t xml:space="preserve"> e de </w:t>
      </w:r>
      <w:r w:rsidRPr="002B3D35">
        <w:rPr>
          <w:rStyle w:val="citation-170"/>
          <w:i/>
        </w:rPr>
        <w:t>gerenciamento</w:t>
      </w:r>
      <w:r>
        <w:rPr>
          <w:rStyle w:val="citation-170"/>
        </w:rPr>
        <w:t xml:space="preserve"> em “monumentos digitais” (Santos; Bezerra, 2019) e vetores de novas experiências </w:t>
      </w:r>
      <w:r w:rsidR="00C76CE1">
        <w:rPr>
          <w:rStyle w:val="citation-170"/>
        </w:rPr>
        <w:t>com o</w:t>
      </w:r>
      <w:r>
        <w:rPr>
          <w:rStyle w:val="citation-170"/>
        </w:rPr>
        <w:t xml:space="preserve"> passado</w:t>
      </w:r>
      <w:r>
        <w:t xml:space="preserve">. </w:t>
      </w:r>
      <w:r>
        <w:rPr>
          <w:rStyle w:val="citation-169"/>
        </w:rPr>
        <w:t>A relevância desta proposta sustenta-se na urgência de sistematizar como esses artefatos, em suas distintas mecânicas de interação e simulação, vêm sendo legitimados como campos de experimentação e escrita da história</w:t>
      </w:r>
      <w:r>
        <w:t>.</w:t>
      </w:r>
    </w:p>
    <w:p w:rsidR="00A261D9" w:rsidRDefault="00A261D9" w:rsidP="00CA5EBC">
      <w:pPr>
        <w:pStyle w:val="NormalWeb"/>
        <w:spacing w:before="0" w:beforeAutospacing="0" w:after="0" w:afterAutospacing="0"/>
        <w:jc w:val="both"/>
      </w:pPr>
    </w:p>
    <w:p w:rsidR="00A261D9" w:rsidRPr="00DE7AA1" w:rsidRDefault="00A261D9" w:rsidP="00CA5EBC">
      <w:pPr>
        <w:spacing w:line="240" w:lineRule="auto"/>
        <w:jc w:val="both"/>
        <w:rPr>
          <w:rFonts w:ascii="Times New Roman" w:hAnsi="Times New Roman" w:cs="Times New Roman"/>
          <w:b/>
          <w:sz w:val="24"/>
          <w:szCs w:val="24"/>
        </w:rPr>
      </w:pPr>
      <w:r>
        <w:rPr>
          <w:rFonts w:ascii="Times New Roman" w:hAnsi="Times New Roman" w:cs="Times New Roman"/>
          <w:b/>
          <w:sz w:val="24"/>
          <w:szCs w:val="24"/>
        </w:rPr>
        <w:t>Objetivos da pesquisa</w:t>
      </w:r>
    </w:p>
    <w:p w:rsidR="00A261D9" w:rsidRDefault="00A261D9" w:rsidP="00CA5EBC">
      <w:pPr>
        <w:pStyle w:val="NormalWeb"/>
        <w:spacing w:before="0" w:beforeAutospacing="0" w:after="0" w:afterAutospacing="0"/>
        <w:ind w:firstLine="851"/>
        <w:jc w:val="both"/>
      </w:pPr>
      <w:r>
        <w:rPr>
          <w:rStyle w:val="citation-211"/>
        </w:rPr>
        <w:lastRenderedPageBreak/>
        <w:t xml:space="preserve">Como objetivo geral de pesquisa, propõe-se analisar, mediante uma revisão sistemática da literatura acadêmica e historiográfica, as potencialidades e os impasses inerentes à </w:t>
      </w:r>
      <w:r w:rsidRPr="008E5007">
        <w:rPr>
          <w:rStyle w:val="citation-211"/>
          <w:bCs/>
          <w:i/>
        </w:rPr>
        <w:t>Aprendizagem Baseada em Jogos</w:t>
      </w:r>
      <w:r w:rsidRPr="008E5007">
        <w:rPr>
          <w:rStyle w:val="citation-211"/>
          <w:bCs/>
        </w:rPr>
        <w:t xml:space="preserve"> (GBL)</w:t>
      </w:r>
      <w:r>
        <w:rPr>
          <w:rStyle w:val="citation-211"/>
        </w:rPr>
        <w:t xml:space="preserve"> no horizonte da </w:t>
      </w:r>
      <w:r w:rsidRPr="008E5007">
        <w:rPr>
          <w:rStyle w:val="citation-211"/>
          <w:bCs/>
        </w:rPr>
        <w:t>História Digital</w:t>
      </w:r>
      <w:r w:rsidRPr="008E5007">
        <w:t>.</w:t>
      </w:r>
      <w:r>
        <w:t xml:space="preserve"> </w:t>
      </w:r>
      <w:r>
        <w:rPr>
          <w:rStyle w:val="citation-210"/>
        </w:rPr>
        <w:t xml:space="preserve">A investigação busca transcender a visão do jogo como mero recurso didático, examinando-o como uma “condição de pensamento” (Costa, 2021) e um “monumento digital” </w:t>
      </w:r>
      <w:r>
        <w:rPr>
          <w:rStyle w:val="citation-170"/>
        </w:rPr>
        <w:t xml:space="preserve">(Santos; Bezerra, 2019) </w:t>
      </w:r>
      <w:r>
        <w:t>Para o alcance de tal propósito, busca-se:</w:t>
      </w:r>
    </w:p>
    <w:p w:rsidR="00A261D9" w:rsidRDefault="00A261D9" w:rsidP="00CA5EBC">
      <w:pPr>
        <w:pStyle w:val="NormalWeb"/>
        <w:numPr>
          <w:ilvl w:val="0"/>
          <w:numId w:val="1"/>
        </w:numPr>
        <w:spacing w:before="0" w:beforeAutospacing="0" w:after="0" w:afterAutospacing="0"/>
        <w:jc w:val="both"/>
      </w:pPr>
      <w:r>
        <w:t>Delinear as definições conceituais de sociedade digital, Hist</w:t>
      </w:r>
      <w:r w:rsidR="00C76CE1">
        <w:t>ória Digital, gamificação e de Aprendizagem Baseada em J</w:t>
      </w:r>
      <w:r>
        <w:t>ogos</w:t>
      </w:r>
      <w:r w:rsidR="00C76CE1">
        <w:t xml:space="preserve"> (GBL)</w:t>
      </w:r>
      <w:r>
        <w:t>.</w:t>
      </w:r>
    </w:p>
    <w:p w:rsidR="00A261D9" w:rsidRDefault="00A261D9" w:rsidP="00CA5EBC">
      <w:pPr>
        <w:pStyle w:val="NormalWeb"/>
        <w:numPr>
          <w:ilvl w:val="0"/>
          <w:numId w:val="1"/>
        </w:numPr>
        <w:spacing w:before="0" w:beforeAutospacing="0" w:after="0" w:afterAutospacing="0"/>
        <w:jc w:val="both"/>
      </w:pPr>
      <w:r>
        <w:t>Estabelecer as aproximações e os distanciamentos entre as abordagens da gamificação e da GBL no contexto educacional.</w:t>
      </w:r>
    </w:p>
    <w:p w:rsidR="00A261D9" w:rsidRDefault="00A261D9" w:rsidP="00CA5EBC">
      <w:pPr>
        <w:pStyle w:val="NormalWeb"/>
        <w:numPr>
          <w:ilvl w:val="0"/>
          <w:numId w:val="1"/>
        </w:numPr>
        <w:spacing w:before="0" w:beforeAutospacing="0" w:after="0" w:afterAutospacing="0"/>
        <w:jc w:val="both"/>
      </w:pPr>
      <w:r>
        <w:t>Mapear as tendências investigativas no Brasil para as relações entre os jogos digitais e o ensino de história e a consolidação dos games como fontes históricas em potencial.</w:t>
      </w:r>
    </w:p>
    <w:p w:rsidR="00A261D9" w:rsidRDefault="00A261D9" w:rsidP="00CA5EBC">
      <w:pPr>
        <w:spacing w:after="0" w:line="240" w:lineRule="auto"/>
        <w:jc w:val="both"/>
        <w:rPr>
          <w:rFonts w:ascii="Times New Roman" w:eastAsia="Times New Roman" w:hAnsi="Times New Roman" w:cs="Times New Roman"/>
          <w:b/>
          <w:sz w:val="24"/>
          <w:szCs w:val="24"/>
          <w:lang w:eastAsia="pt-BR"/>
        </w:rPr>
      </w:pPr>
    </w:p>
    <w:p w:rsidR="00A261D9" w:rsidRPr="00016E01" w:rsidRDefault="00A261D9" w:rsidP="00CA5EBC">
      <w:pPr>
        <w:spacing w:after="0" w:line="240" w:lineRule="auto"/>
        <w:jc w:val="both"/>
        <w:rPr>
          <w:rFonts w:ascii="Times New Roman" w:eastAsia="Times New Roman" w:hAnsi="Times New Roman" w:cs="Times New Roman"/>
          <w:b/>
          <w:sz w:val="24"/>
          <w:szCs w:val="24"/>
          <w:lang w:eastAsia="pt-BR"/>
        </w:rPr>
      </w:pPr>
      <w:r w:rsidRPr="00016E01">
        <w:rPr>
          <w:rFonts w:ascii="Times New Roman" w:eastAsia="Times New Roman" w:hAnsi="Times New Roman" w:cs="Times New Roman"/>
          <w:b/>
          <w:sz w:val="24"/>
          <w:szCs w:val="24"/>
          <w:lang w:eastAsia="pt-BR"/>
        </w:rPr>
        <w:t>Referencial teórico que fundamenta a pesquisa</w:t>
      </w:r>
    </w:p>
    <w:p w:rsidR="00A261D9" w:rsidRDefault="00A261D9" w:rsidP="00CA5EBC">
      <w:pPr>
        <w:pStyle w:val="NormalWeb"/>
        <w:spacing w:before="0" w:beforeAutospacing="0" w:after="0" w:afterAutospacing="0"/>
        <w:ind w:firstLine="851"/>
        <w:jc w:val="both"/>
      </w:pPr>
    </w:p>
    <w:p w:rsidR="00A261D9" w:rsidRDefault="00A261D9" w:rsidP="00CA5EBC">
      <w:pPr>
        <w:pStyle w:val="NormalWeb"/>
        <w:spacing w:before="0" w:beforeAutospacing="0" w:after="0" w:afterAutospacing="0"/>
        <w:ind w:firstLine="851"/>
        <w:jc w:val="both"/>
      </w:pPr>
      <w:r>
        <w:t xml:space="preserve">A fundamentação desta pesquisa parte do reconhecimento de que a contemporaneidade é gestada sob a égide da "sociedade digital". Conforme propõe Barros (2022), </w:t>
      </w:r>
      <w:r w:rsidR="00D42507">
        <w:t>trata-se de</w:t>
      </w:r>
      <w:r>
        <w:t xml:space="preserve"> uma nova "atmosfera social" que permeia as ações cotidianas de forma planetária, atingindo sujeitos de diversos estratos</w:t>
      </w:r>
      <w:r w:rsidR="00C76CE1">
        <w:t xml:space="preserve"> sociais. Nessa conjuntura, as tecnologias digitais de informação e c</w:t>
      </w:r>
      <w:r>
        <w:t xml:space="preserve">omunicação (TDICs) </w:t>
      </w:r>
      <w:r w:rsidR="00CF12CD">
        <w:t>tor</w:t>
      </w:r>
      <w:r w:rsidR="00C76CE1">
        <w:t>naram-se</w:t>
      </w:r>
      <w:r>
        <w:t xml:space="preserve"> elementos conformativos da realidade.</w:t>
      </w:r>
    </w:p>
    <w:p w:rsidR="00A261D9" w:rsidRDefault="00A261D9" w:rsidP="00CA5EBC">
      <w:pPr>
        <w:pStyle w:val="NormalWeb"/>
        <w:spacing w:before="0" w:beforeAutospacing="0" w:after="0" w:afterAutospacing="0"/>
        <w:ind w:firstLine="851"/>
        <w:jc w:val="both"/>
      </w:pPr>
      <w:r w:rsidRPr="006439CC">
        <w:t xml:space="preserve">Um segundo esforço de conceituação diz respeito à </w:t>
      </w:r>
      <w:r w:rsidRPr="006439CC">
        <w:rPr>
          <w:i/>
        </w:rPr>
        <w:t>História Digital</w:t>
      </w:r>
      <w:r w:rsidRPr="006439CC">
        <w:t>. Entendida enquanto campo historiográfico emergente</w:t>
      </w:r>
      <w:r>
        <w:t xml:space="preserve"> (Luchese, 2014)</w:t>
      </w:r>
      <w:r w:rsidRPr="006439CC">
        <w:t xml:space="preserve">, ela tem se consolidado gradativamente enfrentando o desafio de historiar e de publicizar com as novas tecnologias da comunicação e informação. </w:t>
      </w:r>
    </w:p>
    <w:p w:rsidR="00A261D9" w:rsidRDefault="00A261D9" w:rsidP="00CA5EBC">
      <w:pPr>
        <w:pStyle w:val="NormalWeb"/>
        <w:spacing w:before="0" w:beforeAutospacing="0" w:after="0" w:afterAutospacing="0"/>
        <w:ind w:firstLine="851"/>
        <w:jc w:val="both"/>
      </w:pPr>
      <w:r w:rsidRPr="006439CC">
        <w:t xml:space="preserve">Definição bastante didática nos pareceu a que Costa (2017) trouxe acerca da </w:t>
      </w:r>
      <w:r w:rsidRPr="006439CC">
        <w:rPr>
          <w:i/>
        </w:rPr>
        <w:t>História Digital</w:t>
      </w:r>
      <w:r>
        <w:t>. Para a pesquisadora</w:t>
      </w:r>
      <w:r w:rsidRPr="006439CC">
        <w:t xml:space="preserve">, trata-se de um campo interdisciplinar que combina métodos da História “tradicional” com ferramentas digitais para analisar, organizar e divulgar informações sobre o passado. </w:t>
      </w:r>
      <w:r w:rsidR="00D42507">
        <w:t>Na perspectiva defendida pela</w:t>
      </w:r>
      <w:r w:rsidRPr="006439CC">
        <w:t xml:space="preserve"> autora</w:t>
      </w:r>
      <w:r>
        <w:t>, o novo campo de pesquisas em h</w:t>
      </w:r>
      <w:r w:rsidRPr="006439CC">
        <w:t xml:space="preserve">istória abrangeria desde o uso de bancos de dados para organizar documentos históricos até a criação de recursos multimídia interativos que permitam novas formas de engajamento com o passado. </w:t>
      </w:r>
    </w:p>
    <w:p w:rsidR="00A261D9" w:rsidRDefault="00A261D9" w:rsidP="00CA5EBC">
      <w:pPr>
        <w:pStyle w:val="NormalWeb"/>
        <w:spacing w:before="0" w:beforeAutospacing="0" w:after="0" w:afterAutospacing="0"/>
        <w:ind w:firstLine="851"/>
        <w:jc w:val="both"/>
      </w:pPr>
      <w:r>
        <w:t>A inserção dos jogos no debate educativo remete à natureza intrínseca do ser humano. Ao resgatar a premissa de Huizinga (2014) em Homo Ludens, compreende-se que o jogo é uma função social que precede a própria cultura e atua como um elemento organizador da vida coletiva. Na sociedade contemporânea, o "jogar" assume uma nova escala: dados da Pesquisa Game Brasil (2025) reforçam a onipresença desse hábito, situando o Brasil como um mercado onde a cultura lúdica digital é um dos principais vetores de entretenimento e interação social.</w:t>
      </w:r>
    </w:p>
    <w:p w:rsidR="00A261D9" w:rsidRDefault="00A261D9" w:rsidP="00CA5EBC">
      <w:pPr>
        <w:pStyle w:val="NormalWeb"/>
        <w:spacing w:before="0" w:beforeAutospacing="0" w:after="0" w:afterAutospacing="0"/>
        <w:ind w:firstLine="851"/>
        <w:jc w:val="both"/>
      </w:pPr>
      <w:r>
        <w:t>A partir do crivo dos historiadores, o jogo digital supera a dimensão do entretenimento</w:t>
      </w:r>
      <w:r w:rsidR="00CF12CD">
        <w:t xml:space="preserve"> e pode se tornar uma metodologia ativa poderosa (Bacich; Moran</w:t>
      </w:r>
      <w:r w:rsidR="00CF12CD" w:rsidRPr="00993BE9">
        <w:t>, 2018)</w:t>
      </w:r>
      <w:r>
        <w:t>. Como aponta Alves (2008), os jogos são artefatos culturais densos, portadores de representações e visões de mundo. A autora destaca que a Aprendizagem Baseada em Jogos (GBL) permite a criação de zonas de desenvolvimento proximal, onde o erro é ressignificado e a experimentação torna-se o motor da construção do conhecimento.</w:t>
      </w:r>
    </w:p>
    <w:p w:rsidR="00A261D9" w:rsidRDefault="00A261D9" w:rsidP="00CA5EBC">
      <w:pPr>
        <w:pStyle w:val="NormalWeb"/>
        <w:spacing w:before="0" w:beforeAutospacing="0" w:after="0" w:afterAutospacing="0"/>
        <w:ind w:firstLine="851"/>
        <w:jc w:val="both"/>
      </w:pPr>
      <w:r>
        <w:t xml:space="preserve">Outros referenciais teóricos são evocados na tentativa de se estabelecer as fronteiras e as aproximações entre a gamificação e a Aprendizagem Baseada em Jogos (GBL). Enquanto a primeira utiliza elementos isolados de jogos (como sistemas de recompensa e rankings) em </w:t>
      </w:r>
      <w:r>
        <w:lastRenderedPageBreak/>
        <w:t xml:space="preserve">contextos externos, a GBL, defendida por autores como Alves (2008) e explorada nas análises de Costa (2021), propõe o jogo como o próprio ambiente de investigação. No ensino de História, essa distinção é crucial para elevar o jogo à categoria de "monumento digital", como sugeriu </w:t>
      </w:r>
      <w:r>
        <w:rPr>
          <w:rStyle w:val="citation-170"/>
        </w:rPr>
        <w:t>Santos e Bezerra (2019), entendendo-o como um produto social entremeado por camadas discursivas e interesses difusos, tomando-se como referência a ideia de Documento-Monumento apregoada por Le Goff (1996).</w:t>
      </w:r>
    </w:p>
    <w:p w:rsidR="00A261D9" w:rsidRDefault="00D42507" w:rsidP="00CA5EBC">
      <w:pPr>
        <w:pStyle w:val="NormalWeb"/>
        <w:spacing w:before="0" w:beforeAutospacing="0" w:after="0" w:afterAutospacing="0"/>
        <w:ind w:firstLine="851"/>
        <w:jc w:val="both"/>
      </w:pPr>
      <w:r>
        <w:t xml:space="preserve">Como ponto de articulação </w:t>
      </w:r>
      <w:r w:rsidR="00A261D9">
        <w:t xml:space="preserve">este referencial converge para o conceito de </w:t>
      </w:r>
      <w:r w:rsidR="00A261D9" w:rsidRPr="00D42507">
        <w:rPr>
          <w:i/>
        </w:rPr>
        <w:t>historiografia escolar digital.</w:t>
      </w:r>
      <w:r w:rsidR="00A261D9">
        <w:t xml:space="preserve"> Conforme Costa (2021), o uso dessas tecnologias em sala de aula deve extrapolar o meio técnico para se converter em um dispositivo de "escrita da história". </w:t>
      </w:r>
    </w:p>
    <w:p w:rsidR="00D42507" w:rsidRDefault="00D42507" w:rsidP="00CA5EBC">
      <w:pPr>
        <w:pStyle w:val="NormalWeb"/>
        <w:spacing w:before="0" w:beforeAutospacing="0" w:after="0" w:afterAutospacing="0"/>
        <w:ind w:firstLine="851"/>
        <w:jc w:val="both"/>
      </w:pPr>
    </w:p>
    <w:p w:rsidR="00A261D9" w:rsidRDefault="00A261D9" w:rsidP="00CA5EBC">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Procedimentos metodológicos</w:t>
      </w:r>
    </w:p>
    <w:p w:rsidR="00CA5EBC" w:rsidRDefault="00CA5EBC" w:rsidP="00CA5EBC">
      <w:pPr>
        <w:spacing w:after="0" w:line="240" w:lineRule="auto"/>
        <w:ind w:firstLine="851"/>
        <w:jc w:val="both"/>
        <w:rPr>
          <w:rFonts w:ascii="Times New Roman" w:eastAsia="Times New Roman" w:hAnsi="Times New Roman" w:cs="Times New Roman"/>
          <w:sz w:val="24"/>
          <w:szCs w:val="24"/>
          <w:lang w:eastAsia="pt-BR"/>
        </w:rPr>
      </w:pPr>
    </w:p>
    <w:p w:rsidR="00A261D9" w:rsidRPr="00676F86" w:rsidRDefault="0047769E" w:rsidP="00CA5EBC">
      <w:pPr>
        <w:spacing w:after="0" w:line="24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investigação </w:t>
      </w:r>
      <w:r w:rsidR="00A261D9">
        <w:rPr>
          <w:rFonts w:ascii="Times New Roman" w:eastAsia="Times New Roman" w:hAnsi="Times New Roman" w:cs="Times New Roman"/>
          <w:sz w:val="24"/>
          <w:szCs w:val="24"/>
          <w:lang w:eastAsia="pt-BR"/>
        </w:rPr>
        <w:t>caracteriza-se como uma revisão bibliográfica de natureza qualitativa e de cunho teórico-analítico, orientada pelo objetivo de mapear as produções acadêmicas (teses, dissertações e artigos) que discutissem o uso d</w:t>
      </w:r>
      <w:r w:rsidR="00165033">
        <w:rPr>
          <w:rFonts w:ascii="Times New Roman" w:eastAsia="Times New Roman" w:hAnsi="Times New Roman" w:cs="Times New Roman"/>
          <w:sz w:val="24"/>
          <w:szCs w:val="24"/>
          <w:lang w:eastAsia="pt-BR"/>
        </w:rPr>
        <w:t>os jogos digitais no ensino de H</w:t>
      </w:r>
      <w:r w:rsidR="00A261D9">
        <w:rPr>
          <w:rFonts w:ascii="Times New Roman" w:eastAsia="Times New Roman" w:hAnsi="Times New Roman" w:cs="Times New Roman"/>
          <w:sz w:val="24"/>
          <w:szCs w:val="24"/>
          <w:lang w:eastAsia="pt-BR"/>
        </w:rPr>
        <w:t xml:space="preserve">istória, dando-se ênfase a trabalhos que tomam como objetos de análise aqueles de grande alcance mercadológico, sendo os de natureza </w:t>
      </w:r>
      <w:r w:rsidR="00A261D9" w:rsidRPr="001D3B73">
        <w:rPr>
          <w:rFonts w:ascii="Times New Roman" w:eastAsia="Times New Roman" w:hAnsi="Times New Roman" w:cs="Times New Roman"/>
          <w:i/>
          <w:sz w:val="24"/>
          <w:szCs w:val="24"/>
          <w:lang w:eastAsia="pt-BR"/>
        </w:rPr>
        <w:t xml:space="preserve">performática </w:t>
      </w:r>
      <w:r w:rsidR="00A261D9">
        <w:rPr>
          <w:rFonts w:ascii="Times New Roman" w:eastAsia="Times New Roman" w:hAnsi="Times New Roman" w:cs="Times New Roman"/>
          <w:sz w:val="24"/>
          <w:szCs w:val="24"/>
          <w:lang w:eastAsia="pt-BR"/>
        </w:rPr>
        <w:t xml:space="preserve">(focados em avatares e narrativas dramáticas) e os jogos de </w:t>
      </w:r>
      <w:r w:rsidR="00A261D9" w:rsidRPr="001D3B73">
        <w:rPr>
          <w:rFonts w:ascii="Times New Roman" w:eastAsia="Times New Roman" w:hAnsi="Times New Roman" w:cs="Times New Roman"/>
          <w:i/>
          <w:sz w:val="24"/>
          <w:szCs w:val="24"/>
          <w:lang w:eastAsia="pt-BR"/>
        </w:rPr>
        <w:t>gerenciamento</w:t>
      </w:r>
      <w:r w:rsidR="00A261D9">
        <w:rPr>
          <w:rFonts w:ascii="Times New Roman" w:eastAsia="Times New Roman" w:hAnsi="Times New Roman" w:cs="Times New Roman"/>
          <w:sz w:val="24"/>
          <w:szCs w:val="24"/>
          <w:lang w:eastAsia="pt-BR"/>
        </w:rPr>
        <w:t xml:space="preserve"> (estruturados na administração de recursos e construção de impérios). Para a composição do </w:t>
      </w:r>
      <w:r w:rsidR="00A261D9" w:rsidRPr="001D3B73">
        <w:rPr>
          <w:rFonts w:ascii="Times New Roman" w:eastAsia="Times New Roman" w:hAnsi="Times New Roman" w:cs="Times New Roman"/>
          <w:i/>
          <w:sz w:val="24"/>
          <w:szCs w:val="24"/>
          <w:lang w:eastAsia="pt-BR"/>
        </w:rPr>
        <w:t xml:space="preserve">corpus </w:t>
      </w:r>
      <w:r w:rsidR="00A261D9">
        <w:rPr>
          <w:rFonts w:ascii="Times New Roman" w:eastAsia="Times New Roman" w:hAnsi="Times New Roman" w:cs="Times New Roman"/>
          <w:sz w:val="24"/>
          <w:szCs w:val="24"/>
          <w:lang w:eastAsia="pt-BR"/>
        </w:rPr>
        <w:t>documental, adotou-se o procedimento de triagem sistemática em repositórios institucionais e bases de dados acadêmicos (</w:t>
      </w:r>
      <w:r w:rsidR="00BF1652" w:rsidRPr="00BF1652">
        <w:rPr>
          <w:rFonts w:ascii="Times New Roman" w:eastAsia="Times New Roman" w:hAnsi="Times New Roman" w:cs="Times New Roman"/>
          <w:sz w:val="24"/>
          <w:szCs w:val="24"/>
          <w:lang w:eastAsia="pt-BR"/>
        </w:rPr>
        <w:t>Biblioteca Digital Brasileira de Teses e Dissertações – BDBTD</w:t>
      </w:r>
      <w:r w:rsidR="00A261D9">
        <w:rPr>
          <w:rFonts w:ascii="Times New Roman" w:eastAsia="Times New Roman" w:hAnsi="Times New Roman" w:cs="Times New Roman"/>
          <w:sz w:val="24"/>
          <w:szCs w:val="24"/>
          <w:lang w:eastAsia="pt-BR"/>
        </w:rPr>
        <w:t xml:space="preserve"> e o Google Acadêmico), utilizando-se como descritores os termos “jogos digitais”, “ensino de história” e “história digital”. A seleção da bibliografia foi orientada por filtros de elegibilidade fundamentais: identificação de autores que compõem o que Silva, Giacomoni e Oliveira (2020) </w:t>
      </w:r>
      <w:proofErr w:type="spellStart"/>
      <w:r w:rsidR="00A261D9">
        <w:rPr>
          <w:rFonts w:ascii="Times New Roman" w:eastAsia="Times New Roman" w:hAnsi="Times New Roman" w:cs="Times New Roman"/>
          <w:sz w:val="24"/>
          <w:szCs w:val="24"/>
          <w:lang w:eastAsia="pt-BR"/>
        </w:rPr>
        <w:t>classificaram</w:t>
      </w:r>
      <w:proofErr w:type="spellEnd"/>
      <w:r w:rsidR="00A261D9">
        <w:rPr>
          <w:rFonts w:ascii="Times New Roman" w:eastAsia="Times New Roman" w:hAnsi="Times New Roman" w:cs="Times New Roman"/>
          <w:sz w:val="24"/>
          <w:szCs w:val="24"/>
          <w:lang w:eastAsia="pt-BR"/>
        </w:rPr>
        <w:t xml:space="preserve"> como “círculo de investigação sobre jogos no ensino de história” no Brasil e produções que cujos objetos fossem jogos de grande alcance mercadológico, segmentados nas categorias de jogos de performance (centrados na agência do avatar e em estruturas narrativo-dramáticas) e jogos de </w:t>
      </w:r>
      <w:r w:rsidR="00A261D9" w:rsidRPr="00FB7294">
        <w:rPr>
          <w:rFonts w:ascii="Times New Roman" w:eastAsia="Times New Roman" w:hAnsi="Times New Roman" w:cs="Times New Roman"/>
          <w:i/>
          <w:sz w:val="24"/>
          <w:szCs w:val="24"/>
          <w:lang w:eastAsia="pt-BR"/>
        </w:rPr>
        <w:t xml:space="preserve">gerenciamento </w:t>
      </w:r>
      <w:r w:rsidR="00A261D9">
        <w:rPr>
          <w:rFonts w:ascii="Times New Roman" w:eastAsia="Times New Roman" w:hAnsi="Times New Roman" w:cs="Times New Roman"/>
          <w:sz w:val="24"/>
          <w:szCs w:val="24"/>
          <w:lang w:eastAsia="pt-BR"/>
        </w:rPr>
        <w:t>(pautados na logística de recursos e construção de impérios).</w:t>
      </w:r>
    </w:p>
    <w:p w:rsidR="00A261D9" w:rsidRDefault="00A261D9" w:rsidP="00CA5EBC">
      <w:pPr>
        <w:spacing w:after="0" w:line="240" w:lineRule="auto"/>
        <w:jc w:val="both"/>
        <w:rPr>
          <w:rFonts w:ascii="Times New Roman" w:eastAsia="Times New Roman" w:hAnsi="Times New Roman" w:cs="Times New Roman"/>
          <w:b/>
          <w:sz w:val="24"/>
          <w:szCs w:val="24"/>
          <w:lang w:eastAsia="pt-BR"/>
        </w:rPr>
      </w:pPr>
    </w:p>
    <w:p w:rsidR="00A261D9" w:rsidRDefault="00A261D9" w:rsidP="00CA5EBC">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Análise dos dados e resultados finais da pesquisa</w:t>
      </w:r>
    </w:p>
    <w:p w:rsidR="00A261D9" w:rsidRDefault="00A261D9" w:rsidP="00CA5EBC">
      <w:pPr>
        <w:spacing w:after="0" w:line="240" w:lineRule="auto"/>
        <w:jc w:val="both"/>
        <w:rPr>
          <w:rFonts w:ascii="Times New Roman" w:eastAsia="Times New Roman" w:hAnsi="Times New Roman" w:cs="Times New Roman"/>
          <w:b/>
          <w:sz w:val="24"/>
          <w:szCs w:val="24"/>
          <w:lang w:eastAsia="pt-BR"/>
        </w:rPr>
      </w:pPr>
    </w:p>
    <w:p w:rsidR="00A261D9" w:rsidRDefault="0047769E" w:rsidP="00CA5EBC">
      <w:pPr>
        <w:pStyle w:val="NormalWeb"/>
        <w:spacing w:before="0" w:beforeAutospacing="0" w:after="0" w:afterAutospacing="0"/>
        <w:ind w:firstLine="851"/>
        <w:jc w:val="both"/>
      </w:pPr>
      <w:r>
        <w:t xml:space="preserve">Na obra </w:t>
      </w:r>
      <w:r w:rsidRPr="0047769E">
        <w:rPr>
          <w:i/>
        </w:rPr>
        <w:t>História Digital</w:t>
      </w:r>
      <w:r w:rsidR="00A261D9" w:rsidRPr="006439CC">
        <w:t xml:space="preserve">, José D’Assunção Barros mobiliza os pesquisadores a pensarem os elementos conformativos da sociedade atual, mediada pelas novas tecnologias digitais </w:t>
      </w:r>
      <w:r w:rsidR="00C76CE1">
        <w:t>da informação e comunicação</w:t>
      </w:r>
      <w:r w:rsidR="00A261D9" w:rsidRPr="006439CC">
        <w:t xml:space="preserve">. O autor propõe que reconheçamos o digital como uma nova atmosfera social, presente nas ações cotidianas de um maior número de pessoas </w:t>
      </w:r>
      <w:r w:rsidR="00A261D9">
        <w:t xml:space="preserve">e </w:t>
      </w:r>
      <w:r w:rsidR="00CF12CD">
        <w:t>em</w:t>
      </w:r>
      <w:r w:rsidR="00A261D9">
        <w:t xml:space="preserve"> diferentes níveis sociais (Barros, 2022). Na </w:t>
      </w:r>
      <w:r w:rsidR="00A261D9" w:rsidRPr="006439CC">
        <w:t>perspectiva deste historiado</w:t>
      </w:r>
      <w:r w:rsidR="00A261D9">
        <w:t xml:space="preserve">r, </w:t>
      </w:r>
      <w:r w:rsidR="00A261D9" w:rsidRPr="006439CC">
        <w:t xml:space="preserve">o “digital” deixaria de ser um adjetivo técnico para significar um elemento de existência, ou seja, o “espraiamento” das novas tecnologias digitais, iniciado pelo desenvolvimento do computador pós-Segunda Guerra Mundial, e consolidado em fins do século XX com a rede mundial de computadores e a web, marcou uma nova condição social, política e econômica em que tudo se confluía, revolucionando, de maneira simultânea, “as relações de espaço e tempo tradicionais” (Barros, 2022, p, 42). </w:t>
      </w:r>
    </w:p>
    <w:p w:rsidR="00A261D9" w:rsidRDefault="00A261D9" w:rsidP="00CA5EBC">
      <w:pPr>
        <w:pStyle w:val="NormalWeb"/>
        <w:spacing w:before="0" w:beforeAutospacing="0" w:after="0" w:afterAutospacing="0"/>
        <w:ind w:firstLine="851"/>
        <w:jc w:val="both"/>
      </w:pPr>
      <w:r>
        <w:t>O reconhecimento das profundas transformações engendradas pelas tecnologias digitais na subjetividade contemporânea de um número sem precedentes de indivíduos motivam um debate especial</w:t>
      </w:r>
      <w:r w:rsidRPr="006439CC">
        <w:t xml:space="preserve">: como os historiadores e historiadoras podem se aproveitar das potencialidades de pesquisa que esta sociedade digital </w:t>
      </w:r>
      <w:r>
        <w:t>e suas interfaces possibilitam?</w:t>
      </w:r>
    </w:p>
    <w:p w:rsidR="00A261D9" w:rsidRDefault="00A261D9" w:rsidP="00CA5EBC">
      <w:pPr>
        <w:pStyle w:val="NormalWeb"/>
        <w:spacing w:before="0" w:beforeAutospacing="0" w:after="0" w:afterAutospacing="0"/>
        <w:ind w:firstLine="851"/>
        <w:jc w:val="both"/>
      </w:pPr>
      <w:r w:rsidRPr="006439CC">
        <w:lastRenderedPageBreak/>
        <w:t>Câmara e Benício</w:t>
      </w:r>
      <w:r>
        <w:t xml:space="preserve"> (2025)</w:t>
      </w:r>
      <w:r w:rsidRPr="006439CC">
        <w:t xml:space="preserve"> </w:t>
      </w:r>
      <w:r>
        <w:t xml:space="preserve">nos advertem sobre a </w:t>
      </w:r>
      <w:r w:rsidRPr="006439CC">
        <w:t>necessidade de repensar</w:t>
      </w:r>
      <w:r>
        <w:t>mos</w:t>
      </w:r>
      <w:r w:rsidRPr="006439CC">
        <w:t xml:space="preserve"> a delimitação da fonte histórica diante das novas tecnologias de produção e acesso. O digital</w:t>
      </w:r>
      <w:r>
        <w:t>, segundo os autores,</w:t>
      </w:r>
      <w:r w:rsidRPr="006439CC">
        <w:t xml:space="preserve"> altera a materialidade do vestígio, e o historiador precisa desenvolver novas competências para validar e interpretar documentos que nascem e morrem em ambientes binários. Não se trataria, como </w:t>
      </w:r>
      <w:r>
        <w:t>seguem advertindo</w:t>
      </w:r>
      <w:r w:rsidRPr="006439CC">
        <w:t>, de apenas "acessar" o documento, mas de compreender as “camadas de mediação” que as novas tecnologias impõem entre o pesquisador e o vestígio.</w:t>
      </w:r>
    </w:p>
    <w:p w:rsidR="00D9257B" w:rsidRDefault="00A261D9" w:rsidP="00CA5EBC">
      <w:pPr>
        <w:pStyle w:val="NormalWeb"/>
        <w:spacing w:before="0" w:beforeAutospacing="0" w:after="0" w:afterAutospacing="0"/>
        <w:ind w:firstLine="851"/>
        <w:jc w:val="both"/>
      </w:pPr>
      <w:r w:rsidRPr="006439CC">
        <w:t xml:space="preserve">Dentro do universo do digital enquanto campo de pesquisa, daremos especial atenção aos jogos como ferramenta e como catalizadores de categorias e aprendizagens a figurarem na prateleira do historiador. </w:t>
      </w:r>
      <w:r>
        <w:t>É consolidado</w:t>
      </w:r>
      <w:r w:rsidRPr="006439CC">
        <w:t xml:space="preserve"> entre os pesquisadores do jogo em contextos formativos o entendimento de que este é um fenômeno cultural, como nos trouxe pioneiramente o medievalista Huizinga (2014), para quem o ato de jogar precederia a própria cultura. </w:t>
      </w:r>
    </w:p>
    <w:p w:rsidR="00A261D9" w:rsidRPr="006439CC" w:rsidRDefault="00C76CE1" w:rsidP="00CA5EBC">
      <w:pPr>
        <w:pStyle w:val="NormalWeb"/>
        <w:spacing w:before="0" w:beforeAutospacing="0" w:after="0" w:afterAutospacing="0"/>
        <w:ind w:firstLine="851"/>
        <w:jc w:val="both"/>
      </w:pPr>
      <w:r>
        <w:t xml:space="preserve">No entanto, algumas ponderações fazem-se necessárias a despeito do uso dos jogos no processo de ensino e aprendizagem. </w:t>
      </w:r>
      <w:r w:rsidR="00A261D9" w:rsidRPr="006439CC">
        <w:t xml:space="preserve">Abordagens nos meios especializados e não-especializados no assunto costumam trazer a noção do jogo (seja digital ou analógico) como um instrumento para “ilustrar” conhecimentos teóricos ou mesmo quebrar a dinâmica engessada de aulas “tradicionais”. Trata-se da </w:t>
      </w:r>
      <w:r w:rsidR="00A261D9" w:rsidRPr="006439CC">
        <w:rPr>
          <w:i/>
        </w:rPr>
        <w:t>gamificação</w:t>
      </w:r>
      <w:r w:rsidR="00A261D9" w:rsidRPr="006439CC">
        <w:t>. De acordo com alguns expoentes da gamificação no ensino (Schlemmer, 2018; Alves 2010), e que elevam o conceito a práticas maiores de criação de contextos de aprendizagens lúdicas, a gamificação, não obstante ter se originado no mundo empresarial e treinamentos corporativos, na educação pode ser definida como propostas pedagógicas fundamentadas nas técnicas comuns aos games em “situações de não jogo”. Independente do formato (quando se cria um sistema de pontuações, recompensas, ou ainda elaborando-se uma narrativa com cenários específicos, ou mesmo em atividades menos elaboradas onde se estimulam a competição entre alunos), a ideia da gamificação é motivar os participantes a terem contato com conteúdos por intermédio da ludicidade.</w:t>
      </w:r>
    </w:p>
    <w:p w:rsidR="00A261D9" w:rsidRDefault="00A261D9" w:rsidP="00CA5EBC">
      <w:pPr>
        <w:pStyle w:val="NormalWeb"/>
        <w:spacing w:before="0" w:beforeAutospacing="0" w:after="0" w:afterAutospacing="0"/>
        <w:ind w:firstLine="1134"/>
        <w:jc w:val="both"/>
      </w:pPr>
      <w:r w:rsidRPr="006439CC">
        <w:t>Nossa proposta do/sobre jogo digital nesta pesquisa</w:t>
      </w:r>
      <w:r>
        <w:t xml:space="preserve"> </w:t>
      </w:r>
      <w:r w:rsidRPr="006439CC">
        <w:t>não se aproxima da noção de gamificação. Propomo-nos ao exercício de elevá-lo à condição de monumento (Le Goff, 1996) e como monumento digital</w:t>
      </w:r>
      <w:r w:rsidR="00D9257B">
        <w:t xml:space="preserve">, conforme defiram Santos e </w:t>
      </w:r>
      <w:r>
        <w:t>Bezerr</w:t>
      </w:r>
      <w:r w:rsidR="00D9257B">
        <w:t>a (</w:t>
      </w:r>
      <w:r w:rsidRPr="006439CC">
        <w:t xml:space="preserve">2019). Por isso, podemos enquadrar nossa abordagem dentro do que os historiadores chamam de “aprendizagem baseada em jogos” (em inglês, Game-Based Learning - GBL). </w:t>
      </w:r>
    </w:p>
    <w:p w:rsidR="00A261D9" w:rsidRDefault="00A261D9" w:rsidP="00CA5EBC">
      <w:pPr>
        <w:pStyle w:val="NormalWeb"/>
        <w:spacing w:before="0" w:beforeAutospacing="0" w:after="0" w:afterAutospacing="0"/>
        <w:ind w:firstLine="851"/>
        <w:jc w:val="both"/>
      </w:pPr>
      <w:r w:rsidRPr="0042794A">
        <w:t>Embora a gamificação e a Aprendizagem Baseada em Jogos (GBL) possuam zonas de converg</w:t>
      </w:r>
      <w:r>
        <w:t>ência significativas, principalmente no que se refere</w:t>
      </w:r>
      <w:r w:rsidRPr="0042794A">
        <w:t xml:space="preserve"> à promoção do envolvimento e à manutenção da motivação dos es</w:t>
      </w:r>
      <w:r>
        <w:t>tudantes através da ludicidade</w:t>
      </w:r>
      <w:r w:rsidRPr="0042794A">
        <w:t>, elas se distinguem pela profundidade da relação com o dispositivo digital. Enqu</w:t>
      </w:r>
      <w:r>
        <w:t xml:space="preserve">anto a primeira utiliza a superficialidade </w:t>
      </w:r>
      <w:r w:rsidRPr="0042794A">
        <w:t xml:space="preserve">das mecânicas de jogo para revestir conteúdos tradicionais, a GBL, conforme adotada nesta pesquisa, </w:t>
      </w:r>
      <w:r>
        <w:t xml:space="preserve">permite que </w:t>
      </w:r>
      <w:r w:rsidR="00C76CE1">
        <w:t xml:space="preserve">se </w:t>
      </w:r>
      <w:r>
        <w:t>“mergulhe” no</w:t>
      </w:r>
      <w:r w:rsidRPr="0042794A">
        <w:t xml:space="preserve"> jogo. </w:t>
      </w:r>
    </w:p>
    <w:p w:rsidR="00A261D9" w:rsidRDefault="00A261D9" w:rsidP="00CA5EBC">
      <w:pPr>
        <w:pStyle w:val="NormalWeb"/>
        <w:spacing w:before="0" w:beforeAutospacing="0" w:after="0" w:afterAutospacing="0"/>
        <w:ind w:firstLine="851"/>
        <w:jc w:val="both"/>
      </w:pPr>
      <w:r w:rsidRPr="006439CC">
        <w:t xml:space="preserve">Os </w:t>
      </w:r>
      <w:r w:rsidRPr="006439CC">
        <w:rPr>
          <w:i/>
        </w:rPr>
        <w:t>history games</w:t>
      </w:r>
      <w:r w:rsidRPr="006439CC">
        <w:t xml:space="preserve">, ou jogos com temáticas/simulações históricas (que apresentam personagens, cenários ou mesmo trazendo narrativas próximas às já didaticamente conhecidas na cultura ocidental), têm alcançado um mercado expressivo no cenário global e, em virtude desse alcance, foram problematizados por historiadores com variados interesses, dentro do espectro de que podem ser potencialmente </w:t>
      </w:r>
      <w:r w:rsidR="00CF12CD">
        <w:t xml:space="preserve">fontes </w:t>
      </w:r>
      <w:r w:rsidRPr="006439CC">
        <w:t xml:space="preserve">de aprendizagens históricas. Ao investigar os jogos eletrônicos sob a lente da historiografia, é preciso distinguir a natureza da interação que eles propõem (jogos de </w:t>
      </w:r>
      <w:r w:rsidRPr="006439CC">
        <w:rPr>
          <w:i/>
        </w:rPr>
        <w:t>gerenciamento</w:t>
      </w:r>
      <w:r w:rsidRPr="006439CC">
        <w:t xml:space="preserve"> ou de </w:t>
      </w:r>
      <w:r w:rsidRPr="006439CC">
        <w:rPr>
          <w:i/>
        </w:rPr>
        <w:t>performance</w:t>
      </w:r>
      <w:r w:rsidRPr="006439CC">
        <w:t>), já que estas configurações demandaram olhares específicos.</w:t>
      </w:r>
    </w:p>
    <w:p w:rsidR="00A261D9" w:rsidRPr="00DA7062" w:rsidRDefault="00A261D9" w:rsidP="00DA7062">
      <w:pPr>
        <w:pStyle w:val="NormalWeb"/>
        <w:spacing w:before="0" w:beforeAutospacing="0" w:after="0" w:afterAutospacing="0"/>
        <w:ind w:firstLine="851"/>
        <w:jc w:val="both"/>
      </w:pPr>
      <w:r w:rsidRPr="006439CC">
        <w:t xml:space="preserve">Para fins de delimitação conceitual, adotamos a definição proposta por Bello e Vasconcelos (2025, p. 178), que compreendem os jogos de </w:t>
      </w:r>
      <w:r w:rsidRPr="006439CC">
        <w:rPr>
          <w:i/>
        </w:rPr>
        <w:t>performance</w:t>
      </w:r>
      <w:r w:rsidR="00DA7062">
        <w:t xml:space="preserve"> como aqueles onde </w:t>
      </w:r>
      <w:r w:rsidR="00D9257B">
        <w:t xml:space="preserve">o </w:t>
      </w:r>
      <w:r w:rsidR="00D9257B">
        <w:lastRenderedPageBreak/>
        <w:t>gamer controla um ou mais avatares “imersos” na narrativa que,</w:t>
      </w:r>
      <w:r w:rsidR="00DA7062">
        <w:t xml:space="preserve"> normalmente, prioriza embates e </w:t>
      </w:r>
      <w:r w:rsidR="00D9257B">
        <w:t>enfrentamentos</w:t>
      </w:r>
      <w:r w:rsidR="00DA7062">
        <w:t xml:space="preserve">. </w:t>
      </w:r>
      <w:r w:rsidR="00DA7062" w:rsidRPr="00DA7062">
        <w:t>E</w:t>
      </w:r>
      <w:r w:rsidRPr="00DA7062">
        <w:t xml:space="preserve">xemplos deste gênero incluem as séries </w:t>
      </w:r>
      <w:r w:rsidRPr="005C77EA">
        <w:rPr>
          <w:i/>
        </w:rPr>
        <w:t xml:space="preserve">Assassin’s Creed, </w:t>
      </w:r>
      <w:proofErr w:type="spellStart"/>
      <w:r w:rsidRPr="005C77EA">
        <w:rPr>
          <w:i/>
        </w:rPr>
        <w:t>Call</w:t>
      </w:r>
      <w:proofErr w:type="spellEnd"/>
      <w:r w:rsidRPr="005C77EA">
        <w:rPr>
          <w:i/>
        </w:rPr>
        <w:t xml:space="preserve"> of Duty, </w:t>
      </w:r>
      <w:proofErr w:type="spellStart"/>
      <w:r w:rsidRPr="005C77EA">
        <w:rPr>
          <w:i/>
        </w:rPr>
        <w:t>God</w:t>
      </w:r>
      <w:proofErr w:type="spellEnd"/>
      <w:r w:rsidRPr="005C77EA">
        <w:rPr>
          <w:i/>
        </w:rPr>
        <w:t xml:space="preserve"> of War, </w:t>
      </w:r>
      <w:proofErr w:type="spellStart"/>
      <w:r w:rsidRPr="005C77EA">
        <w:rPr>
          <w:i/>
        </w:rPr>
        <w:t>Red</w:t>
      </w:r>
      <w:proofErr w:type="spellEnd"/>
      <w:r w:rsidRPr="005C77EA">
        <w:rPr>
          <w:i/>
        </w:rPr>
        <w:t xml:space="preserve"> </w:t>
      </w:r>
      <w:proofErr w:type="spellStart"/>
      <w:r w:rsidRPr="005C77EA">
        <w:rPr>
          <w:i/>
        </w:rPr>
        <w:t>Dead</w:t>
      </w:r>
      <w:proofErr w:type="spellEnd"/>
      <w:r w:rsidRPr="005C77EA">
        <w:rPr>
          <w:i/>
        </w:rPr>
        <w:t xml:space="preserve">, Time </w:t>
      </w:r>
      <w:proofErr w:type="spellStart"/>
      <w:r w:rsidRPr="005C77EA">
        <w:rPr>
          <w:i/>
        </w:rPr>
        <w:t>Commando</w:t>
      </w:r>
      <w:proofErr w:type="spellEnd"/>
      <w:r w:rsidRPr="00DA7062">
        <w:t xml:space="preserve"> e tantos outros.</w:t>
      </w:r>
    </w:p>
    <w:p w:rsidR="00A261D9" w:rsidRDefault="00A261D9" w:rsidP="00CA5EBC">
      <w:pPr>
        <w:pStyle w:val="NormalWeb"/>
        <w:spacing w:before="0" w:beforeAutospacing="0" w:after="0" w:afterAutospacing="0"/>
        <w:ind w:firstLine="851"/>
        <w:jc w:val="both"/>
      </w:pPr>
      <w:r w:rsidRPr="006439CC">
        <w:t xml:space="preserve">Nas análises com jogos digitais de </w:t>
      </w:r>
      <w:r>
        <w:rPr>
          <w:i/>
        </w:rPr>
        <w:t>performance</w:t>
      </w:r>
      <w:r w:rsidRPr="006439CC">
        <w:t xml:space="preserve">, como por exemplo a franquia </w:t>
      </w:r>
      <w:r w:rsidRPr="006439CC">
        <w:rPr>
          <w:i/>
        </w:rPr>
        <w:t>Assassin’s Creed</w:t>
      </w:r>
      <w:r w:rsidRPr="006439CC">
        <w:t>, onde o jogador é levado a performar em combates entre cavaleiros templários e assassinos, predominam abordagens que se interessam pelos cenários e enredos que se apropriam de fatos históricos. Relevante proposta nessa perspectiva, nos traz a disserta</w:t>
      </w:r>
      <w:r w:rsidR="00E538F9">
        <w:t>ção de mestrado de</w:t>
      </w:r>
      <w:r w:rsidRPr="006439CC">
        <w:t xml:space="preserve"> Santos (2013), que projetou um olhar sensível de pesquisa para o que se define como jogos de </w:t>
      </w:r>
      <w:r w:rsidRPr="00B15481">
        <w:rPr>
          <w:i/>
        </w:rPr>
        <w:t xml:space="preserve">performance </w:t>
      </w:r>
      <w:r w:rsidRPr="006439CC">
        <w:t>no campo da História. O autor partiu de um problema central: entender como o jogo eletrônico deixa de ser um mero suporte de informações para se tornar um espaço de acontecimentos, onde o jogador não apenas con</w:t>
      </w:r>
      <w:r w:rsidR="00E538F9">
        <w:t>some o passado, mas o performa.</w:t>
      </w:r>
    </w:p>
    <w:p w:rsidR="00A261D9" w:rsidRDefault="00A261D9" w:rsidP="00CA5EBC">
      <w:pPr>
        <w:pStyle w:val="NormalWeb"/>
        <w:spacing w:before="0" w:beforeAutospacing="0" w:after="0" w:afterAutospacing="0"/>
        <w:ind w:firstLine="851"/>
        <w:jc w:val="both"/>
      </w:pPr>
      <w:r w:rsidRPr="006439CC">
        <w:t xml:space="preserve">Por meio de questionários, entrevistas e observação, foi perscrutado o universo de jovens e suas relações com o videogame, a partir de suas experiências com o jogo </w:t>
      </w:r>
      <w:r w:rsidRPr="006439CC">
        <w:rPr>
          <w:i/>
        </w:rPr>
        <w:t>Assassin’s Creed III</w:t>
      </w:r>
      <w:r w:rsidRPr="006439CC">
        <w:t xml:space="preserve"> (cuja temática central está ligada ao contexto da Independência das Treze Colônias Inglesas). O cerne da questão residiu na tensão entre as regras rígidas do sistema e a liberdade criativa do sujeito que joga. Bergston não se prendeu em analisar meramente o conteúdo visual do jogo, mas debruçou-se sobre a experiência sensível do corpo diante da tela (a sensação de “habitar o passado”), observando como o movimento e a tomada de decisão do jogador configuram uma (re)"escrita do passado" em tempo real, o que pode modificar sensivelmente as noções de História tradicionalmente consolidadas.</w:t>
      </w:r>
    </w:p>
    <w:p w:rsidR="00CF12CD" w:rsidRDefault="00A261D9" w:rsidP="00CA5EBC">
      <w:pPr>
        <w:pStyle w:val="NormalWeb"/>
        <w:spacing w:before="0" w:beforeAutospacing="0" w:after="0" w:afterAutospacing="0"/>
        <w:ind w:firstLine="851"/>
        <w:jc w:val="both"/>
      </w:pPr>
      <w:r w:rsidRPr="006439CC">
        <w:t>A experiência de pesquisa c</w:t>
      </w:r>
      <w:r w:rsidR="00DA7062">
        <w:t>om jogos digitais de</w:t>
      </w:r>
      <w:r w:rsidRPr="006439CC">
        <w:t xml:space="preserve"> Santos</w:t>
      </w:r>
      <w:r>
        <w:t xml:space="preserve"> (2009; 2014)</w:t>
      </w:r>
      <w:r w:rsidRPr="006439CC">
        <w:t xml:space="preserve"> é também importan</w:t>
      </w:r>
      <w:r>
        <w:t>te ponto de ancoragem deste texto</w:t>
      </w:r>
      <w:r w:rsidRPr="006439CC">
        <w:t xml:space="preserve">. Começando por seu trabalho de dissertação (2009), que discutia a série de jogos </w:t>
      </w:r>
      <w:r>
        <w:rPr>
          <w:i/>
        </w:rPr>
        <w:t>Medal o</w:t>
      </w:r>
      <w:r w:rsidRPr="006439CC">
        <w:rPr>
          <w:i/>
        </w:rPr>
        <w:t xml:space="preserve">f Honor </w:t>
      </w:r>
      <w:r w:rsidRPr="006439CC">
        <w:t xml:space="preserve">e as memórias que eram forjadas naquele game, à sua tese de doutoramento defendida pela UFRJ em 2014, onde volta sua atenção para a construção da memória e a representação do passado nos jogos de tiro em primeira pessoa (FPS), em franquias consagradas como </w:t>
      </w:r>
      <w:r w:rsidRPr="006439CC">
        <w:rPr>
          <w:i/>
        </w:rPr>
        <w:t>Medal of Honor</w:t>
      </w:r>
      <w:r w:rsidRPr="006439CC">
        <w:t xml:space="preserve"> e </w:t>
      </w:r>
      <w:proofErr w:type="spellStart"/>
      <w:r w:rsidRPr="006439CC">
        <w:rPr>
          <w:i/>
        </w:rPr>
        <w:t>Call</w:t>
      </w:r>
      <w:proofErr w:type="spellEnd"/>
      <w:r w:rsidRPr="006439CC">
        <w:rPr>
          <w:i/>
        </w:rPr>
        <w:t xml:space="preserve"> of Duty</w:t>
      </w:r>
      <w:r w:rsidRPr="006439CC">
        <w:t>, que se colocam como "monumentos digitais" no plantel historiográfico ao, intencionalmente ou não, moldarem a percepção pública sobre a Segunda Guerra Mundial. O autor, a partir da “história comparada”, propõe um problema central voltado à tensão entre a precisão factual e a verossimilhança cinematográfica, questionando como esses jogos utilizam a estética do realismo para legitimar narrativas históricas específicas</w:t>
      </w:r>
      <w:r>
        <w:t xml:space="preserve"> (</w:t>
      </w:r>
      <w:r w:rsidRPr="006439CC">
        <w:t xml:space="preserve">Santos, 2009; 2014). </w:t>
      </w:r>
    </w:p>
    <w:p w:rsidR="008155F8" w:rsidRPr="006439CC" w:rsidRDefault="00A261D9" w:rsidP="008155F8">
      <w:pPr>
        <w:pStyle w:val="NormalWeb"/>
        <w:spacing w:before="0" w:beforeAutospacing="0" w:after="0" w:afterAutospacing="0"/>
        <w:ind w:firstLine="851"/>
        <w:jc w:val="both"/>
      </w:pPr>
      <w:r w:rsidRPr="006439CC">
        <w:t xml:space="preserve">Estes </w:t>
      </w:r>
      <w:r w:rsidR="00DA7062">
        <w:t>são alguns dos percursos investigativos</w:t>
      </w:r>
      <w:r w:rsidRPr="006439CC">
        <w:t xml:space="preserve"> que demonstram o potencial das abordagens com jogos digitais com temáticas históricas (History Games) em suas dimensões </w:t>
      </w:r>
      <w:r w:rsidRPr="00A5489F">
        <w:rPr>
          <w:i/>
        </w:rPr>
        <w:t>performáticas</w:t>
      </w:r>
      <w:r w:rsidRPr="006439CC">
        <w:t xml:space="preserve">. Na tentativa de delinear o caminho paralelo, o que se consolida nas investigações dos jogos digitais de caráter de </w:t>
      </w:r>
      <w:r w:rsidRPr="006439CC">
        <w:rPr>
          <w:i/>
        </w:rPr>
        <w:t>gerenciamento</w:t>
      </w:r>
      <w:r w:rsidRPr="006439CC">
        <w:t>, uma vez mais evocamos as palavras de Be</w:t>
      </w:r>
      <w:r w:rsidR="008155F8">
        <w:t>llo e Vasconcelos (2025</w:t>
      </w:r>
      <w:r w:rsidR="00CF12CD">
        <w:t xml:space="preserve">). </w:t>
      </w:r>
      <w:r w:rsidR="008155F8" w:rsidRPr="008155F8">
        <w:t xml:space="preserve">Segundo os autores, esta categoria de game (da qual fazem parte séries como </w:t>
      </w:r>
      <w:r w:rsidR="008155F8" w:rsidRPr="005C77EA">
        <w:rPr>
          <w:i/>
        </w:rPr>
        <w:t xml:space="preserve">Age of </w:t>
      </w:r>
      <w:proofErr w:type="spellStart"/>
      <w:r w:rsidR="008155F8" w:rsidRPr="005C77EA">
        <w:rPr>
          <w:i/>
        </w:rPr>
        <w:t>Empires</w:t>
      </w:r>
      <w:proofErr w:type="spellEnd"/>
      <w:r w:rsidR="008155F8" w:rsidRPr="005C77EA">
        <w:rPr>
          <w:i/>
        </w:rPr>
        <w:t xml:space="preserve">, Civilization, </w:t>
      </w:r>
      <w:proofErr w:type="spellStart"/>
      <w:r w:rsidR="008155F8" w:rsidRPr="005C77EA">
        <w:rPr>
          <w:i/>
        </w:rPr>
        <w:t>Rise</w:t>
      </w:r>
      <w:proofErr w:type="spellEnd"/>
      <w:r w:rsidR="008155F8" w:rsidRPr="005C77EA">
        <w:rPr>
          <w:i/>
        </w:rPr>
        <w:t xml:space="preserve"> of </w:t>
      </w:r>
      <w:proofErr w:type="spellStart"/>
      <w:r w:rsidR="008155F8" w:rsidRPr="005C77EA">
        <w:rPr>
          <w:i/>
        </w:rPr>
        <w:t>Nations</w:t>
      </w:r>
      <w:proofErr w:type="spellEnd"/>
      <w:r w:rsidR="008155F8" w:rsidRPr="005C77EA">
        <w:rPr>
          <w:i/>
        </w:rPr>
        <w:t>, Total War</w:t>
      </w:r>
      <w:r w:rsidR="008155F8">
        <w:t xml:space="preserve"> e </w:t>
      </w:r>
      <w:proofErr w:type="spellStart"/>
      <w:r w:rsidR="008155F8" w:rsidRPr="005C77EA">
        <w:rPr>
          <w:i/>
        </w:rPr>
        <w:t>Caesar</w:t>
      </w:r>
      <w:proofErr w:type="spellEnd"/>
      <w:r w:rsidR="008155F8">
        <w:t>) permite ao jogador “</w:t>
      </w:r>
      <w:r w:rsidR="008155F8" w:rsidRPr="008155F8">
        <w:t>construir, planejar e gerenciar estruturas e relações sociais, desenvolvendo cidades e civilizações através da administração de recursos coletados</w:t>
      </w:r>
      <w:r w:rsidR="008155F8">
        <w:t>” (Bello; Vasconcelos, 2025, p. 179).</w:t>
      </w:r>
    </w:p>
    <w:p w:rsidR="008155F8" w:rsidRDefault="008155F8" w:rsidP="008155F8">
      <w:pPr>
        <w:pStyle w:val="NormalWeb"/>
        <w:tabs>
          <w:tab w:val="left" w:pos="2625"/>
        </w:tabs>
        <w:spacing w:before="0" w:beforeAutospacing="0" w:after="0" w:afterAutospacing="0"/>
        <w:ind w:firstLine="851"/>
        <w:jc w:val="both"/>
      </w:pPr>
      <w:r>
        <w:t xml:space="preserve">Estes artefatos </w:t>
      </w:r>
      <w:r w:rsidR="00A261D9" w:rsidRPr="006439CC">
        <w:t>são terrenos férteis para a História porque lidam com estruturas, economia e a organização de sociedades. No Brasil,</w:t>
      </w:r>
      <w:r w:rsidR="00DA7062">
        <w:t xml:space="preserve"> pesquisadores têm se preocupado com desvelamento das</w:t>
      </w:r>
      <w:r w:rsidR="00A261D9" w:rsidRPr="006439CC">
        <w:t xml:space="preserve"> cama</w:t>
      </w:r>
      <w:r>
        <w:t>das discursivas destas fontes digitais</w:t>
      </w:r>
      <w:r w:rsidR="00A261D9" w:rsidRPr="006439CC">
        <w:t>, buscando entender como esses jogos afetam/forjam/desconstroem lógicas históricas até então con</w:t>
      </w:r>
      <w:r>
        <w:t xml:space="preserve">solidadas, ou ainda, entenderem </w:t>
      </w:r>
      <w:r w:rsidR="00A261D9" w:rsidRPr="006439CC">
        <w:t>o jogo enquanto uma escolha teórico</w:t>
      </w:r>
      <w:r>
        <w:t>-ideológica dos seus produtores.</w:t>
      </w:r>
    </w:p>
    <w:p w:rsidR="00DA7062" w:rsidRDefault="00A261D9" w:rsidP="008155F8">
      <w:pPr>
        <w:pStyle w:val="NormalWeb"/>
        <w:tabs>
          <w:tab w:val="left" w:pos="2625"/>
        </w:tabs>
        <w:spacing w:before="0" w:beforeAutospacing="0" w:after="0" w:afterAutospacing="0"/>
        <w:ind w:firstLine="851"/>
        <w:jc w:val="both"/>
      </w:pPr>
      <w:r w:rsidRPr="006439CC">
        <w:lastRenderedPageBreak/>
        <w:t>Es</w:t>
      </w:r>
      <w:r w:rsidR="00DA7062">
        <w:t xml:space="preserve">te último aspecto foi discutido </w:t>
      </w:r>
      <w:r w:rsidRPr="006439CC">
        <w:t>no trabalho de Fornaciari (2021</w:t>
      </w:r>
      <w:r>
        <w:t>, p. 10</w:t>
      </w:r>
      <w:r w:rsidRPr="006439CC">
        <w:t>), quando, ao analis</w:t>
      </w:r>
      <w:r w:rsidR="00DA7062">
        <w:t xml:space="preserve">ar </w:t>
      </w:r>
      <w:r w:rsidRPr="006439CC">
        <w:t xml:space="preserve">os jogos para computadores da franquia </w:t>
      </w:r>
      <w:r>
        <w:rPr>
          <w:i/>
        </w:rPr>
        <w:t xml:space="preserve">Civilization </w:t>
      </w:r>
      <w:r w:rsidRPr="00A5489F">
        <w:t>(game no qual</w:t>
      </w:r>
      <w:r>
        <w:rPr>
          <w:i/>
        </w:rPr>
        <w:t xml:space="preserve"> </w:t>
      </w:r>
      <w:r>
        <w:t xml:space="preserve">o </w:t>
      </w:r>
      <w:r w:rsidRPr="00685139">
        <w:t>jogador assume o papel de um líder histórico imortal, encarregado de guiar uma civilização desde o nomadismo da Antiguidade até a Era Espacial</w:t>
      </w:r>
      <w:r>
        <w:t>, decidindo rotas tecnológicas, regimes políticos, expansionismos, diplomarias e conquistas territoriais)</w:t>
      </w:r>
      <w:r w:rsidRPr="006439CC">
        <w:t xml:space="preserve">, propôs que as pesquisas sobre os videogames também se detivessem aos </w:t>
      </w:r>
      <w:r>
        <w:t>aspectos dos seus idealizadores. A tese do autor</w:t>
      </w:r>
      <w:r w:rsidRPr="006439CC">
        <w:t xml:space="preserve"> se distancia do olhar do game com vistas a explorá-lo no ensino d</w:t>
      </w:r>
      <w:r>
        <w:t>e História, mas o seu interesse é analisar o jogo</w:t>
      </w:r>
      <w:r w:rsidRPr="007C5DC6">
        <w:t xml:space="preserve"> </w:t>
      </w:r>
      <w:r>
        <w:t>“</w:t>
      </w:r>
      <w:r w:rsidRPr="007C5DC6">
        <w:t>pelo próprio jogo</w:t>
      </w:r>
      <w:r>
        <w:t>”</w:t>
      </w:r>
      <w:r w:rsidRPr="006439CC">
        <w:t>. Daí residiria a validade de suas escolhas metodológicas (tomando-se o jogo e seus manuais como fontes e não se at</w:t>
      </w:r>
      <w:r w:rsidR="00F61B9C">
        <w:t>endo à recepção pelos jogantes)</w:t>
      </w:r>
      <w:r w:rsidR="00DA7062">
        <w:t>.</w:t>
      </w:r>
    </w:p>
    <w:p w:rsidR="00A261D9" w:rsidRDefault="00F61B9C" w:rsidP="00CA5EBC">
      <w:pPr>
        <w:pStyle w:val="NormalWeb"/>
        <w:tabs>
          <w:tab w:val="left" w:pos="2625"/>
        </w:tabs>
        <w:spacing w:before="0" w:beforeAutospacing="0" w:after="0" w:afterAutospacing="0"/>
        <w:ind w:firstLine="851"/>
        <w:jc w:val="both"/>
      </w:pPr>
      <w:r>
        <w:t>Sob outra</w:t>
      </w:r>
      <w:r w:rsidR="00A261D9" w:rsidRPr="006439CC">
        <w:t xml:space="preserve"> proposta teórico-metodológ</w:t>
      </w:r>
      <w:r w:rsidR="00DA7062">
        <w:t>ica, Silva (2023) investigou</w:t>
      </w:r>
      <w:r w:rsidR="00A261D9" w:rsidRPr="006439CC">
        <w:t xml:space="preserve"> as representações da franquia </w:t>
      </w:r>
      <w:r w:rsidR="00A261D9" w:rsidRPr="006439CC">
        <w:rPr>
          <w:i/>
        </w:rPr>
        <w:t>Civilization,</w:t>
      </w:r>
      <w:r w:rsidR="00A261D9" w:rsidRPr="006439CC">
        <w:t xml:space="preserve"> observando sua operacionalidade e</w:t>
      </w:r>
      <w:r>
        <w:t>,</w:t>
      </w:r>
      <w:r w:rsidR="00A261D9" w:rsidRPr="006439CC">
        <w:t xml:space="preserve"> ao </w:t>
      </w:r>
      <w:r w:rsidR="00A261D9">
        <w:t xml:space="preserve">contrário de Fornaciari, </w:t>
      </w:r>
      <w:r>
        <w:t>ampliou</w:t>
      </w:r>
      <w:r w:rsidR="00A261D9" w:rsidRPr="006439CC">
        <w:t xml:space="preserve"> </w:t>
      </w:r>
      <w:r>
        <w:t xml:space="preserve">a abordagem </w:t>
      </w:r>
      <w:r w:rsidR="00A261D9" w:rsidRPr="006439CC">
        <w:t>para além da materialidade do próprio game, ao dar visibilidade ao processo de recepção dos jogadores por meio de discursos veiculados em webfóruns (notadamente o CivFantics Fórums)</w:t>
      </w:r>
      <w:r w:rsidR="00A261D9">
        <w:t xml:space="preserve">, </w:t>
      </w:r>
      <w:r>
        <w:t>locais se socialização onde comumente s</w:t>
      </w:r>
      <w:r w:rsidR="00A261D9">
        <w:t>ão mobilizadas as “</w:t>
      </w:r>
      <w:r w:rsidR="00A261D9" w:rsidRPr="006439CC">
        <w:t>imaginações históricas</w:t>
      </w:r>
      <w:r w:rsidR="00A261D9">
        <w:t>”</w:t>
      </w:r>
      <w:r w:rsidR="00A261D9" w:rsidRPr="006439CC">
        <w:t xml:space="preserve">. </w:t>
      </w:r>
      <w:r w:rsidRPr="00F61B9C">
        <w:t>Essa transição entre a prioridade conferida ao jogo e à regra (Fornaciari, 2021) e a perspectiva voltada à experiência</w:t>
      </w:r>
      <w:r>
        <w:t xml:space="preserve"> do tempo (Silva, 2023) </w:t>
      </w:r>
      <w:r w:rsidR="00A261D9" w:rsidRPr="006439CC">
        <w:t>é fundamental para compreendermos a complexidade dos games de performance/ gerenciamento. Ambos os autores convergem ao entender</w:t>
      </w:r>
      <w:r w:rsidR="009961ED">
        <w:t>em</w:t>
      </w:r>
      <w:r w:rsidR="00A261D9" w:rsidRPr="006439CC">
        <w:t xml:space="preserve"> que </w:t>
      </w:r>
      <w:r w:rsidR="00A261D9" w:rsidRPr="006439CC">
        <w:rPr>
          <w:i/>
          <w:iCs/>
        </w:rPr>
        <w:t>Civilization</w:t>
      </w:r>
      <w:r w:rsidR="005A66E0">
        <w:t>, para além de constitui</w:t>
      </w:r>
      <w:r>
        <w:t>r</w:t>
      </w:r>
      <w:r w:rsidR="009961ED">
        <w:t xml:space="preserve"> uma representação de passado, </w:t>
      </w:r>
      <w:r w:rsidR="00A261D9" w:rsidRPr="006439CC">
        <w:t>cria um sistema de pensamento sobre o que significa "ser histórico" na era dos algoritmos.</w:t>
      </w:r>
    </w:p>
    <w:p w:rsidR="00A261D9" w:rsidRDefault="00A261D9" w:rsidP="005A6776">
      <w:pPr>
        <w:pStyle w:val="NormalWeb"/>
        <w:tabs>
          <w:tab w:val="left" w:pos="2625"/>
        </w:tabs>
        <w:spacing w:before="0" w:beforeAutospacing="0" w:after="0" w:afterAutospacing="0"/>
        <w:ind w:firstLine="851"/>
        <w:jc w:val="both"/>
      </w:pPr>
      <w:r w:rsidRPr="00165D16">
        <w:t>Se a Histó</w:t>
      </w:r>
      <w:r>
        <w:t>ria é filha do seu tempo (Febvre</w:t>
      </w:r>
      <w:r w:rsidRPr="00165D16">
        <w:t xml:space="preserve">, 1989), a operação historiográfica contemporânea não pode ignorar os jogos digitais enquanto artefatos de nossa cultura. Como demonstramos </w:t>
      </w:r>
      <w:r w:rsidR="005A6776">
        <w:t xml:space="preserve">neste percurso epistemológico trilhado por diferentes pesquisadores, muito está sendo feito, mas outras tantas perguntas de pesquisa podem surgir, sobretudo a partir do olhar atento aos espaços escolares como potência de pesquisa. Entendemos que é </w:t>
      </w:r>
      <w:r>
        <w:t xml:space="preserve">no cotidiano da práxis pedagógica </w:t>
      </w:r>
      <w:r w:rsidRPr="00D14404">
        <w:t>que o digital se revela entranhado nas subjetividades e nos processos de ensino, constituindo-se como uma força mediadora que ressignifica a produção do conhecimento na contemporaneidade</w:t>
      </w:r>
      <w:r>
        <w:t xml:space="preserve"> Não se trata, pois, de fazer uma apologia às ferramentas digitais, como caminho inequívoco. Mas, para além do objeto, buscarmos lançar olhares atentos ao modo como, ainda que não estando completamente aparelhada pelas novas tecnologias digitais (e, aliás, este é um problema conjuntural, sendo facilmente percebido ao observarmos as estruturas escolares do nosso país), o digital aparece nas práticas dos sujeitos em idade escolar - seja no pensamento hipertextual, na noção de rede, de conexões</w:t>
      </w:r>
      <w:r w:rsidR="005A6776">
        <w:t xml:space="preserve">, contribuindo para que se consolide uma </w:t>
      </w:r>
      <w:r w:rsidR="005A6776" w:rsidRPr="005A6776">
        <w:rPr>
          <w:i/>
        </w:rPr>
        <w:t>historiografia escolar digital</w:t>
      </w:r>
      <w:r w:rsidRPr="005A6776">
        <w:rPr>
          <w:i/>
        </w:rPr>
        <w:t xml:space="preserve"> </w:t>
      </w:r>
      <w:r>
        <w:t xml:space="preserve">(Costa, 2021). </w:t>
      </w:r>
    </w:p>
    <w:p w:rsidR="00A261D9" w:rsidRDefault="00A261D9" w:rsidP="00CA5EBC">
      <w:pPr>
        <w:spacing w:after="0" w:line="240" w:lineRule="auto"/>
        <w:jc w:val="both"/>
        <w:rPr>
          <w:rFonts w:ascii="Times New Roman" w:eastAsia="Times New Roman" w:hAnsi="Times New Roman" w:cs="Times New Roman"/>
          <w:b/>
          <w:sz w:val="24"/>
          <w:szCs w:val="24"/>
          <w:lang w:eastAsia="pt-BR"/>
        </w:rPr>
      </w:pPr>
    </w:p>
    <w:p w:rsidR="00A261D9" w:rsidRDefault="00A261D9" w:rsidP="00CA5EBC">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Relação do objeto de estudo com a pesquisa em Educação e eixo temático do COPED</w:t>
      </w:r>
    </w:p>
    <w:p w:rsidR="00A261D9" w:rsidRDefault="00A261D9" w:rsidP="00CA5EBC">
      <w:pPr>
        <w:spacing w:after="0" w:line="240" w:lineRule="auto"/>
        <w:jc w:val="both"/>
        <w:rPr>
          <w:rFonts w:ascii="Times New Roman" w:eastAsia="Times New Roman" w:hAnsi="Times New Roman" w:cs="Times New Roman"/>
          <w:b/>
          <w:sz w:val="24"/>
          <w:szCs w:val="24"/>
          <w:lang w:eastAsia="pt-BR"/>
        </w:rPr>
      </w:pPr>
    </w:p>
    <w:p w:rsidR="00D42507" w:rsidRDefault="0047769E" w:rsidP="00CA5EBC">
      <w:pPr>
        <w:spacing w:after="0" w:line="24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Na contemporaneidade</w:t>
      </w:r>
      <w:r w:rsidR="00A261D9" w:rsidRPr="00106D85">
        <w:rPr>
          <w:rFonts w:ascii="Times New Roman" w:eastAsia="Times New Roman" w:hAnsi="Times New Roman" w:cs="Times New Roman"/>
          <w:sz w:val="24"/>
          <w:szCs w:val="24"/>
          <w:lang w:eastAsia="pt-BR"/>
        </w:rPr>
        <w:t>, a discussão sobre as práticas pedagógicas em ambientes formativos evoca, invariavelmente, o conceito de metodologias ativas. Esta abordagem propõe uma ruptura com o modelo tradicional de ensino, estabelecendo uma nova gramática para o ato de ensinar e aprend</w:t>
      </w:r>
      <w:r w:rsidR="00BD7DF3">
        <w:rPr>
          <w:rFonts w:ascii="Times New Roman" w:eastAsia="Times New Roman" w:hAnsi="Times New Roman" w:cs="Times New Roman"/>
          <w:sz w:val="24"/>
          <w:szCs w:val="24"/>
          <w:lang w:eastAsia="pt-BR"/>
        </w:rPr>
        <w:t>er</w:t>
      </w:r>
      <w:r w:rsidR="00A261D9" w:rsidRPr="00106D85">
        <w:rPr>
          <w:rFonts w:ascii="Times New Roman" w:eastAsia="Times New Roman" w:hAnsi="Times New Roman" w:cs="Times New Roman"/>
          <w:sz w:val="24"/>
          <w:szCs w:val="24"/>
          <w:lang w:eastAsia="pt-BR"/>
        </w:rPr>
        <w:t>. Ao deslocar o professor da posição de detentor exclusivo do saber e conferir ao aluno a centralidade do processo, as metodologias ativas buscam construir contextos de participação colaborativa</w:t>
      </w:r>
      <w:r w:rsidR="00D42507">
        <w:rPr>
          <w:rFonts w:ascii="Times New Roman" w:eastAsia="Times New Roman" w:hAnsi="Times New Roman" w:cs="Times New Roman"/>
          <w:sz w:val="24"/>
          <w:szCs w:val="24"/>
          <w:lang w:eastAsia="pt-BR"/>
        </w:rPr>
        <w:t xml:space="preserve"> (</w:t>
      </w:r>
      <w:r w:rsidR="00D42507" w:rsidRPr="00106D85">
        <w:rPr>
          <w:rFonts w:ascii="Times New Roman" w:eastAsia="Times New Roman" w:hAnsi="Times New Roman" w:cs="Times New Roman"/>
          <w:sz w:val="24"/>
          <w:szCs w:val="24"/>
          <w:lang w:eastAsia="pt-BR"/>
        </w:rPr>
        <w:t>Bacich e Moran (2018),</w:t>
      </w:r>
    </w:p>
    <w:p w:rsidR="00A261D9" w:rsidRPr="00106D85" w:rsidRDefault="00BD7DF3" w:rsidP="00CA5EBC">
      <w:pPr>
        <w:spacing w:after="0" w:line="24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No âmbito </w:t>
      </w:r>
      <w:r w:rsidR="00D42507">
        <w:rPr>
          <w:rFonts w:ascii="Times New Roman" w:eastAsia="Times New Roman" w:hAnsi="Times New Roman" w:cs="Times New Roman"/>
          <w:sz w:val="24"/>
          <w:szCs w:val="24"/>
          <w:lang w:eastAsia="pt-BR"/>
        </w:rPr>
        <w:t>do e</w:t>
      </w:r>
      <w:r w:rsidR="00A261D9" w:rsidRPr="00106D85">
        <w:rPr>
          <w:rFonts w:ascii="Times New Roman" w:eastAsia="Times New Roman" w:hAnsi="Times New Roman" w:cs="Times New Roman"/>
          <w:sz w:val="24"/>
          <w:szCs w:val="24"/>
          <w:lang w:eastAsia="pt-BR"/>
        </w:rPr>
        <w:t xml:space="preserve">nsino de História, </w:t>
      </w:r>
      <w:r w:rsidR="00A261D9">
        <w:rPr>
          <w:rFonts w:ascii="Times New Roman" w:eastAsia="Times New Roman" w:hAnsi="Times New Roman" w:cs="Times New Roman"/>
          <w:sz w:val="24"/>
          <w:szCs w:val="24"/>
          <w:lang w:eastAsia="pt-BR"/>
        </w:rPr>
        <w:t xml:space="preserve">a </w:t>
      </w:r>
      <w:r w:rsidR="00A261D9" w:rsidRPr="00106D85">
        <w:rPr>
          <w:rFonts w:ascii="Times New Roman" w:eastAsia="Times New Roman" w:hAnsi="Times New Roman" w:cs="Times New Roman"/>
          <w:sz w:val="24"/>
          <w:szCs w:val="24"/>
          <w:lang w:eastAsia="pt-BR"/>
        </w:rPr>
        <w:t xml:space="preserve">utilização de jogos digitais oferece o suporte material para essa agência. Tais recursos conduzem à efetivação de contextos propícios ao aprendizado significativo, onde a interatividade </w:t>
      </w:r>
      <w:r w:rsidR="00A261D9">
        <w:rPr>
          <w:rFonts w:ascii="Times New Roman" w:eastAsia="Times New Roman" w:hAnsi="Times New Roman" w:cs="Times New Roman"/>
          <w:sz w:val="24"/>
          <w:szCs w:val="24"/>
          <w:lang w:eastAsia="pt-BR"/>
        </w:rPr>
        <w:t>e a ludicidade são e</w:t>
      </w:r>
      <w:r w:rsidR="00A261D9" w:rsidRPr="00106D85">
        <w:rPr>
          <w:rFonts w:ascii="Times New Roman" w:eastAsia="Times New Roman" w:hAnsi="Times New Roman" w:cs="Times New Roman"/>
          <w:sz w:val="24"/>
          <w:szCs w:val="24"/>
          <w:lang w:eastAsia="pt-BR"/>
        </w:rPr>
        <w:t>struturantes do desenvolvimento pes</w:t>
      </w:r>
      <w:r w:rsidR="00A261D9">
        <w:rPr>
          <w:rFonts w:ascii="Times New Roman" w:eastAsia="Times New Roman" w:hAnsi="Times New Roman" w:cs="Times New Roman"/>
          <w:sz w:val="24"/>
          <w:szCs w:val="24"/>
          <w:lang w:eastAsia="pt-BR"/>
        </w:rPr>
        <w:t xml:space="preserve">soal e intelectual do discente. </w:t>
      </w:r>
      <w:r w:rsidR="00A261D9" w:rsidRPr="00106D85">
        <w:rPr>
          <w:rFonts w:ascii="Times New Roman" w:eastAsia="Times New Roman" w:hAnsi="Times New Roman" w:cs="Times New Roman"/>
          <w:sz w:val="24"/>
          <w:szCs w:val="24"/>
          <w:lang w:eastAsia="pt-BR"/>
        </w:rPr>
        <w:t xml:space="preserve">Portanto, a relação entre o objeto de estudo </w:t>
      </w:r>
      <w:r w:rsidR="00A261D9" w:rsidRPr="00106D85">
        <w:rPr>
          <w:rFonts w:ascii="Times New Roman" w:eastAsia="Times New Roman" w:hAnsi="Times New Roman" w:cs="Times New Roman"/>
          <w:sz w:val="24"/>
          <w:szCs w:val="24"/>
          <w:lang w:eastAsia="pt-BR"/>
        </w:rPr>
        <w:lastRenderedPageBreak/>
        <w:t>e a pesquisa em educação consolida-se na compreensão de que as mídias interativas atuam como espaços de aprendizagem fundamentais para a formação crítica.</w:t>
      </w:r>
    </w:p>
    <w:p w:rsidR="00A261D9" w:rsidRDefault="00A261D9" w:rsidP="00CA5EBC">
      <w:pPr>
        <w:spacing w:after="0" w:line="240" w:lineRule="auto"/>
        <w:jc w:val="both"/>
        <w:rPr>
          <w:rFonts w:ascii="Times New Roman" w:eastAsia="Times New Roman" w:hAnsi="Times New Roman" w:cs="Times New Roman"/>
          <w:b/>
          <w:sz w:val="24"/>
          <w:szCs w:val="24"/>
          <w:lang w:eastAsia="pt-BR"/>
        </w:rPr>
      </w:pPr>
    </w:p>
    <w:p w:rsidR="00A261D9" w:rsidRDefault="00A261D9" w:rsidP="00CA5EBC">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Considerações finais</w:t>
      </w:r>
    </w:p>
    <w:p w:rsidR="00A261D9" w:rsidRPr="00F85F92" w:rsidRDefault="00A261D9" w:rsidP="00CA5EBC">
      <w:pPr>
        <w:spacing w:after="0" w:line="240" w:lineRule="auto"/>
        <w:ind w:firstLine="851"/>
        <w:jc w:val="both"/>
        <w:rPr>
          <w:rFonts w:ascii="Times New Roman" w:eastAsia="Times New Roman" w:hAnsi="Times New Roman" w:cs="Times New Roman"/>
          <w:sz w:val="24"/>
          <w:szCs w:val="24"/>
          <w:lang w:eastAsia="pt-BR"/>
        </w:rPr>
      </w:pPr>
      <w:r w:rsidRPr="00F85F92">
        <w:rPr>
          <w:rFonts w:ascii="Times New Roman" w:eastAsia="Times New Roman" w:hAnsi="Times New Roman" w:cs="Times New Roman"/>
          <w:sz w:val="24"/>
          <w:szCs w:val="24"/>
          <w:lang w:eastAsia="pt-BR"/>
        </w:rPr>
        <w:t xml:space="preserve">A revisão bibliográfica apresentada permite-nos concluir que a História Digital e a aprendizagem baseada em jogos oferecem </w:t>
      </w:r>
      <w:r w:rsidR="002A2614">
        <w:rPr>
          <w:rFonts w:ascii="Times New Roman" w:eastAsia="Times New Roman" w:hAnsi="Times New Roman" w:cs="Times New Roman"/>
          <w:sz w:val="24"/>
          <w:szCs w:val="24"/>
          <w:lang w:eastAsia="pt-BR"/>
        </w:rPr>
        <w:t>inúmeras possibilidades para o ensino de História no contexto de uma sociedade digital</w:t>
      </w:r>
      <w:r>
        <w:rPr>
          <w:rFonts w:ascii="Times New Roman" w:eastAsia="Times New Roman" w:hAnsi="Times New Roman" w:cs="Times New Roman"/>
          <w:sz w:val="24"/>
          <w:szCs w:val="24"/>
          <w:lang w:eastAsia="pt-BR"/>
        </w:rPr>
        <w:t>. Os jogos digitais, tomados como monumentos e ferramentas de pensamento e mobilizadores de consciência histórica, possibilitam que a sala de aula se transforme em um laboratório de agência e criação. Para que esta potencialidade se efetive, é necessário que se avancem com as práticas que valorizem a autoria, a criticidade e o letramento digital dos discentes.</w:t>
      </w:r>
    </w:p>
    <w:p w:rsidR="00A261D9" w:rsidRDefault="00A261D9" w:rsidP="00CA5EBC">
      <w:pPr>
        <w:spacing w:after="0" w:line="240" w:lineRule="auto"/>
        <w:jc w:val="both"/>
        <w:rPr>
          <w:rFonts w:ascii="Times New Roman" w:eastAsia="Times New Roman" w:hAnsi="Times New Roman" w:cs="Times New Roman"/>
          <w:b/>
          <w:sz w:val="24"/>
          <w:szCs w:val="24"/>
          <w:lang w:eastAsia="pt-BR"/>
        </w:rPr>
      </w:pPr>
    </w:p>
    <w:p w:rsidR="00A261D9" w:rsidRDefault="00A261D9" w:rsidP="00CA5EBC">
      <w:pPr>
        <w:spacing w:after="0" w:line="240" w:lineRule="auto"/>
        <w:jc w:val="both"/>
        <w:rPr>
          <w:sz w:val="24"/>
          <w:szCs w:val="24"/>
        </w:rPr>
      </w:pPr>
      <w:r>
        <w:rPr>
          <w:rFonts w:ascii="Times New Roman" w:eastAsia="Times New Roman" w:hAnsi="Times New Roman" w:cs="Times New Roman"/>
          <w:b/>
          <w:sz w:val="24"/>
          <w:szCs w:val="24"/>
          <w:lang w:eastAsia="pt-BR"/>
        </w:rPr>
        <w:t>Referências</w:t>
      </w:r>
    </w:p>
    <w:p w:rsidR="00E538F9" w:rsidRDefault="00E538F9" w:rsidP="00E538F9">
      <w:pPr>
        <w:pStyle w:val="NormalWeb"/>
        <w:spacing w:before="0" w:beforeAutospacing="0" w:after="0" w:afterAutospacing="0"/>
        <w:jc w:val="both"/>
        <w:rPr>
          <w:shd w:val="clear" w:color="auto" w:fill="FFFFFF"/>
        </w:rPr>
      </w:pPr>
    </w:p>
    <w:p w:rsidR="0050386A" w:rsidRPr="0050386A" w:rsidRDefault="0050386A" w:rsidP="0050386A">
      <w:pPr>
        <w:spacing w:after="0" w:line="240" w:lineRule="auto"/>
        <w:rPr>
          <w:rFonts w:ascii="Times New Roman" w:hAnsi="Times New Roman" w:cs="Times New Roman"/>
          <w:sz w:val="24"/>
          <w:szCs w:val="24"/>
        </w:rPr>
      </w:pPr>
      <w:r w:rsidRPr="0050386A">
        <w:rPr>
          <w:rFonts w:ascii="Times New Roman" w:hAnsi="Times New Roman" w:cs="Times New Roman"/>
          <w:sz w:val="24"/>
          <w:szCs w:val="24"/>
        </w:rPr>
        <w:t xml:space="preserve">ALVES, Lynn. Games e educação: a construção de novos significados. </w:t>
      </w:r>
      <w:r w:rsidRPr="0050386A">
        <w:rPr>
          <w:rFonts w:ascii="Times New Roman" w:hAnsi="Times New Roman" w:cs="Times New Roman"/>
          <w:b/>
          <w:sz w:val="24"/>
          <w:szCs w:val="24"/>
        </w:rPr>
        <w:t>Revista portuguesa de pedagogia.</w:t>
      </w:r>
      <w:r w:rsidRPr="0050386A">
        <w:rPr>
          <w:rFonts w:ascii="Times New Roman" w:hAnsi="Times New Roman" w:cs="Times New Roman"/>
          <w:sz w:val="24"/>
          <w:szCs w:val="24"/>
        </w:rPr>
        <w:t xml:space="preserve"> Ano 42-2, p. 225-236, 2008. Disponível em: https://www.researchgate.net/publication/269604450_Games_e_educacao_a_construcao_de_novos_significados.  Acesso em 21 nov. 2025.</w:t>
      </w:r>
    </w:p>
    <w:p w:rsidR="0050386A" w:rsidRPr="0050386A" w:rsidRDefault="0050386A" w:rsidP="0050386A">
      <w:pPr>
        <w:spacing w:after="0" w:line="240" w:lineRule="auto"/>
        <w:rPr>
          <w:rFonts w:ascii="Times New Roman" w:hAnsi="Times New Roman" w:cs="Times New Roman"/>
          <w:sz w:val="24"/>
          <w:szCs w:val="24"/>
        </w:rPr>
      </w:pPr>
      <w:r w:rsidRPr="0050386A">
        <w:rPr>
          <w:rFonts w:ascii="Times New Roman" w:hAnsi="Times New Roman" w:cs="Times New Roman"/>
          <w:sz w:val="24"/>
          <w:szCs w:val="24"/>
        </w:rPr>
        <w:t xml:space="preserve">ALVES, Lynn. Letramentos e games: uma teia de possibilidades. </w:t>
      </w:r>
      <w:r w:rsidRPr="0050386A">
        <w:rPr>
          <w:rFonts w:ascii="Times New Roman" w:hAnsi="Times New Roman" w:cs="Times New Roman"/>
          <w:b/>
          <w:sz w:val="24"/>
          <w:szCs w:val="24"/>
        </w:rPr>
        <w:t>Educação e Tecnologia</w:t>
      </w:r>
      <w:r w:rsidRPr="0050386A">
        <w:rPr>
          <w:rFonts w:ascii="Times New Roman" w:hAnsi="Times New Roman" w:cs="Times New Roman"/>
          <w:sz w:val="24"/>
          <w:szCs w:val="24"/>
        </w:rPr>
        <w:t xml:space="preserve">. CEFET-MG. V. 15, n.2, 2010. Disponível em: </w:t>
      </w:r>
      <w:hyperlink r:id="rId7">
        <w:r w:rsidRPr="0050386A">
          <w:rPr>
            <w:rStyle w:val="Hyperlink"/>
            <w:rFonts w:ascii="Times New Roman" w:hAnsi="Times New Roman" w:cs="Times New Roman"/>
            <w:sz w:val="24"/>
            <w:szCs w:val="24"/>
          </w:rPr>
          <w:t>https://periodicos.cefetmg.br/index.php/revista-et/article/view/272</w:t>
        </w:r>
      </w:hyperlink>
      <w:r w:rsidRPr="0050386A">
        <w:rPr>
          <w:rFonts w:ascii="Times New Roman" w:hAnsi="Times New Roman" w:cs="Times New Roman"/>
          <w:sz w:val="24"/>
          <w:szCs w:val="24"/>
        </w:rPr>
        <w:t>. Acesso em: 21 nov. 2025.</w:t>
      </w:r>
    </w:p>
    <w:p w:rsidR="00E538F9" w:rsidRPr="0050386A" w:rsidRDefault="00E538F9" w:rsidP="0050386A">
      <w:pPr>
        <w:pStyle w:val="NormalWeb"/>
        <w:spacing w:before="0" w:beforeAutospacing="0" w:after="0" w:afterAutospacing="0"/>
        <w:rPr>
          <w:shd w:val="clear" w:color="auto" w:fill="FFFFFF"/>
        </w:rPr>
      </w:pPr>
      <w:r w:rsidRPr="0050386A">
        <w:rPr>
          <w:shd w:val="clear" w:color="auto" w:fill="FFFFFF"/>
        </w:rPr>
        <w:t xml:space="preserve">BACICH, Lilian; MORAN, José (Orgs.). </w:t>
      </w:r>
      <w:r w:rsidRPr="0050386A">
        <w:rPr>
          <w:b/>
          <w:shd w:val="clear" w:color="auto" w:fill="FFFFFF"/>
        </w:rPr>
        <w:t>Metodologias ativas para uma educação inovadora</w:t>
      </w:r>
      <w:r w:rsidRPr="0050386A">
        <w:rPr>
          <w:shd w:val="clear" w:color="auto" w:fill="FFFFFF"/>
        </w:rPr>
        <w:t>: uma abordagem teórico-prática. Porto Alegre: Penso, 2018.</w:t>
      </w:r>
    </w:p>
    <w:p w:rsidR="00E538F9" w:rsidRPr="0050386A" w:rsidRDefault="00E538F9" w:rsidP="0050386A">
      <w:pPr>
        <w:pStyle w:val="NormalWeb"/>
        <w:spacing w:before="0" w:beforeAutospacing="0" w:after="0" w:afterAutospacing="0"/>
      </w:pPr>
      <w:r w:rsidRPr="0050386A">
        <w:t xml:space="preserve">BARROS, José D’Assunção. Revolução Digital, sociedade digital e História. In: BARROS, José D’Assunção (Org.). </w:t>
      </w:r>
      <w:r w:rsidRPr="0050386A">
        <w:rPr>
          <w:b/>
        </w:rPr>
        <w:t>História Digital</w:t>
      </w:r>
      <w:r w:rsidRPr="0050386A">
        <w:t>: a Historiografia diante dos recursos e demandas de um novo tempo. Petrópolis, RJ: Vozes, 2022, p. 11-100.</w:t>
      </w:r>
    </w:p>
    <w:p w:rsidR="00E538F9" w:rsidRPr="0050386A" w:rsidRDefault="00E538F9" w:rsidP="0050386A">
      <w:pPr>
        <w:pStyle w:val="NormalWeb"/>
        <w:spacing w:before="0" w:beforeAutospacing="0" w:after="0" w:afterAutospacing="0"/>
      </w:pPr>
      <w:r w:rsidRPr="0050386A">
        <w:t xml:space="preserve">BELLO, Robson S.; VASCONCELOS, José Antônio. O videogame como mídia de representação história. </w:t>
      </w:r>
      <w:r w:rsidRPr="0050386A">
        <w:rPr>
          <w:i/>
        </w:rPr>
        <w:t>In:</w:t>
      </w:r>
      <w:r w:rsidRPr="0050386A">
        <w:t xml:space="preserve"> SOARES, </w:t>
      </w:r>
      <w:proofErr w:type="spellStart"/>
      <w:r w:rsidRPr="0050386A">
        <w:t>Fagno</w:t>
      </w:r>
      <w:proofErr w:type="spellEnd"/>
      <w:r w:rsidRPr="0050386A">
        <w:t xml:space="preserve"> da Silva </w:t>
      </w:r>
      <w:r w:rsidRPr="0050386A">
        <w:rPr>
          <w:i/>
        </w:rPr>
        <w:t xml:space="preserve">et al </w:t>
      </w:r>
      <w:r w:rsidRPr="0050386A">
        <w:t xml:space="preserve">(org.). </w:t>
      </w:r>
      <w:r w:rsidRPr="0050386A">
        <w:rPr>
          <w:b/>
        </w:rPr>
        <w:t>História Digital:</w:t>
      </w:r>
      <w:r w:rsidRPr="0050386A">
        <w:t xml:space="preserve"> novas operações historiográficas em tempos algorítmicos. Palmas, TO: Observatório Edições, 2025, p.170 – 187.</w:t>
      </w:r>
    </w:p>
    <w:p w:rsidR="002C2A6F" w:rsidRPr="0050386A" w:rsidRDefault="002C2A6F" w:rsidP="0050386A">
      <w:pPr>
        <w:pStyle w:val="NormalWeb"/>
        <w:spacing w:before="0" w:beforeAutospacing="0" w:after="0" w:afterAutospacing="0"/>
      </w:pPr>
      <w:r w:rsidRPr="0050386A">
        <w:t xml:space="preserve">CÂMARA, Sérgio; BENÍCIO, Milla. História Digital: entre as promessas e armadilhas da sociedade informacional. </w:t>
      </w:r>
      <w:r w:rsidRPr="0050386A">
        <w:rPr>
          <w:i/>
        </w:rPr>
        <w:t>In</w:t>
      </w:r>
      <w:r w:rsidRPr="0050386A">
        <w:t xml:space="preserve">: SOARES, </w:t>
      </w:r>
      <w:proofErr w:type="spellStart"/>
      <w:r w:rsidRPr="0050386A">
        <w:t>Fagno</w:t>
      </w:r>
      <w:proofErr w:type="spellEnd"/>
      <w:r w:rsidRPr="0050386A">
        <w:t xml:space="preserve"> da Silva </w:t>
      </w:r>
      <w:r w:rsidRPr="0050386A">
        <w:rPr>
          <w:i/>
        </w:rPr>
        <w:t>et al</w:t>
      </w:r>
      <w:r w:rsidRPr="0050386A">
        <w:t xml:space="preserve"> (org.). </w:t>
      </w:r>
      <w:r w:rsidRPr="0050386A">
        <w:rPr>
          <w:b/>
        </w:rPr>
        <w:t>História Digital</w:t>
      </w:r>
      <w:r w:rsidRPr="0050386A">
        <w:t>: novas operações historiográficas em tempos algorítmicos. Palmas, TO: Observatório Edições, 2025</w:t>
      </w:r>
      <w:r w:rsidR="00224474" w:rsidRPr="0050386A">
        <w:t xml:space="preserve">. 25-42p. </w:t>
      </w:r>
      <w:proofErr w:type="spellStart"/>
      <w:r w:rsidR="00224474" w:rsidRPr="0050386A">
        <w:t>P</w:t>
      </w:r>
      <w:r w:rsidRPr="0050386A">
        <w:t>df</w:t>
      </w:r>
      <w:proofErr w:type="spellEnd"/>
      <w:r w:rsidRPr="0050386A">
        <w:t>.</w:t>
      </w:r>
    </w:p>
    <w:p w:rsidR="00224474" w:rsidRPr="0050386A" w:rsidRDefault="00224474" w:rsidP="0050386A">
      <w:pPr>
        <w:pStyle w:val="NormalWeb"/>
        <w:spacing w:before="0" w:beforeAutospacing="0" w:after="0" w:afterAutospacing="0"/>
      </w:pPr>
      <w:r w:rsidRPr="0050386A">
        <w:t xml:space="preserve">COSTA, Marcella Albaine Farias da. </w:t>
      </w:r>
      <w:r w:rsidRPr="0050386A">
        <w:rPr>
          <w:b/>
          <w:bCs/>
        </w:rPr>
        <w:t xml:space="preserve">Ensino de história e </w:t>
      </w:r>
      <w:r w:rsidRPr="0050386A">
        <w:rPr>
          <w:b/>
          <w:bCs/>
          <w:i/>
          <w:iCs/>
        </w:rPr>
        <w:t>games</w:t>
      </w:r>
      <w:r w:rsidRPr="0050386A">
        <w:t xml:space="preserve">: dimensões práticas em sala de aula. Curitiba: </w:t>
      </w:r>
      <w:proofErr w:type="spellStart"/>
      <w:r w:rsidRPr="0050386A">
        <w:t>Appris</w:t>
      </w:r>
      <w:proofErr w:type="spellEnd"/>
      <w:r w:rsidRPr="0050386A">
        <w:t xml:space="preserve">, 2017.  </w:t>
      </w:r>
    </w:p>
    <w:p w:rsidR="00224474" w:rsidRPr="0050386A" w:rsidRDefault="00224474" w:rsidP="0050386A">
      <w:pPr>
        <w:pStyle w:val="NormalWeb"/>
        <w:spacing w:before="0" w:beforeAutospacing="0" w:after="0" w:afterAutospacing="0"/>
        <w:rPr>
          <w:shd w:val="clear" w:color="auto" w:fill="FFFFFF"/>
        </w:rPr>
      </w:pPr>
      <w:r w:rsidRPr="0050386A">
        <w:t xml:space="preserve">COSTA, Marcella Albaine Faria da. </w:t>
      </w:r>
      <w:r w:rsidRPr="0050386A">
        <w:rPr>
          <w:b/>
        </w:rPr>
        <w:t>Ensino de História e historiografia escolar digital</w:t>
      </w:r>
      <w:r w:rsidRPr="0050386A">
        <w:t>. Curitiba: CRV, 2021.</w:t>
      </w:r>
    </w:p>
    <w:p w:rsidR="00224474" w:rsidRPr="0050386A" w:rsidRDefault="00224474" w:rsidP="00224474">
      <w:pPr>
        <w:pStyle w:val="NormalWeb"/>
        <w:spacing w:before="0" w:beforeAutospacing="0" w:after="0" w:afterAutospacing="0"/>
        <w:jc w:val="both"/>
      </w:pPr>
      <w:r w:rsidRPr="0050386A">
        <w:t xml:space="preserve">FEBVRE, Lucien. </w:t>
      </w:r>
      <w:r w:rsidRPr="0050386A">
        <w:rPr>
          <w:b/>
        </w:rPr>
        <w:t>Combates pela história</w:t>
      </w:r>
      <w:r w:rsidRPr="0050386A">
        <w:t>. Lisboa: Editorial Presença, 1989.</w:t>
      </w:r>
    </w:p>
    <w:p w:rsidR="00224474" w:rsidRPr="0050386A" w:rsidRDefault="00224474" w:rsidP="00224474">
      <w:pPr>
        <w:pStyle w:val="NormalWeb"/>
        <w:spacing w:before="0" w:beforeAutospacing="0" w:after="0" w:afterAutospacing="0"/>
        <w:jc w:val="both"/>
      </w:pPr>
      <w:r w:rsidRPr="0050386A">
        <w:t xml:space="preserve">FORNACIARI, Marco de Almeida. </w:t>
      </w:r>
      <w:r w:rsidRPr="0050386A">
        <w:rPr>
          <w:b/>
        </w:rPr>
        <w:t>Sobrevivendo ao teste do tempo:</w:t>
      </w:r>
      <w:r w:rsidRPr="0050386A">
        <w:t xml:space="preserve"> interpretações da história em Sid Meier’s </w:t>
      </w:r>
      <w:proofErr w:type="gramStart"/>
      <w:r w:rsidRPr="0050386A">
        <w:t>Civilization,  2021</w:t>
      </w:r>
      <w:proofErr w:type="gramEnd"/>
      <w:r w:rsidRPr="0050386A">
        <w:t>. 264 f. Tese (Doutorado em História Social da Cultura) – Departamento de História, Pontifícia Universidade Católica do Rio de Janeiro: Rio de Janeiro, 2021.</w:t>
      </w:r>
    </w:p>
    <w:p w:rsidR="00224474" w:rsidRPr="0050386A" w:rsidRDefault="00224474" w:rsidP="00224474">
      <w:pPr>
        <w:spacing w:after="0" w:line="240" w:lineRule="auto"/>
        <w:jc w:val="both"/>
        <w:rPr>
          <w:rFonts w:ascii="Times New Roman" w:eastAsia="Times New Roman" w:hAnsi="Times New Roman" w:cs="Times New Roman"/>
          <w:sz w:val="24"/>
          <w:szCs w:val="24"/>
        </w:rPr>
      </w:pPr>
      <w:r w:rsidRPr="0050386A">
        <w:rPr>
          <w:rFonts w:ascii="Times New Roman" w:eastAsia="Times New Roman" w:hAnsi="Times New Roman" w:cs="Times New Roman"/>
          <w:sz w:val="24"/>
          <w:szCs w:val="24"/>
        </w:rPr>
        <w:t xml:space="preserve">HUIZINGA, Johan. </w:t>
      </w:r>
      <w:r w:rsidRPr="0050386A">
        <w:rPr>
          <w:rFonts w:ascii="Times New Roman" w:eastAsia="Times New Roman" w:hAnsi="Times New Roman" w:cs="Times New Roman"/>
          <w:b/>
          <w:i/>
          <w:sz w:val="24"/>
          <w:szCs w:val="24"/>
        </w:rPr>
        <w:t>Homo ludens</w:t>
      </w:r>
      <w:r w:rsidRPr="0050386A">
        <w:rPr>
          <w:rFonts w:ascii="Times New Roman" w:eastAsia="Times New Roman" w:hAnsi="Times New Roman" w:cs="Times New Roman"/>
          <w:sz w:val="24"/>
          <w:szCs w:val="24"/>
        </w:rPr>
        <w:t xml:space="preserve">: o jogo como elemento da cultura. São Paulo: Perspectiva, 2014. </w:t>
      </w:r>
      <w:proofErr w:type="spellStart"/>
      <w:r w:rsidRPr="0050386A">
        <w:rPr>
          <w:rFonts w:ascii="Times New Roman" w:eastAsia="Times New Roman" w:hAnsi="Times New Roman" w:cs="Times New Roman"/>
          <w:sz w:val="24"/>
          <w:szCs w:val="24"/>
        </w:rPr>
        <w:t>Pdf</w:t>
      </w:r>
      <w:proofErr w:type="spellEnd"/>
      <w:r w:rsidRPr="0050386A">
        <w:rPr>
          <w:rFonts w:ascii="Times New Roman" w:eastAsia="Times New Roman" w:hAnsi="Times New Roman" w:cs="Times New Roman"/>
          <w:sz w:val="24"/>
          <w:szCs w:val="24"/>
        </w:rPr>
        <w:t>.</w:t>
      </w:r>
    </w:p>
    <w:p w:rsidR="0050386A" w:rsidRPr="0050386A" w:rsidRDefault="00224474" w:rsidP="0050386A">
      <w:pPr>
        <w:spacing w:after="0" w:line="240" w:lineRule="auto"/>
        <w:jc w:val="both"/>
        <w:rPr>
          <w:rFonts w:ascii="Times New Roman" w:hAnsi="Times New Roman" w:cs="Times New Roman"/>
          <w:color w:val="0A0A0A"/>
          <w:sz w:val="24"/>
          <w:szCs w:val="24"/>
          <w:shd w:val="clear" w:color="auto" w:fill="FFFFFF"/>
        </w:rPr>
      </w:pPr>
      <w:r w:rsidRPr="0050386A">
        <w:rPr>
          <w:rFonts w:ascii="Times New Roman" w:hAnsi="Times New Roman" w:cs="Times New Roman"/>
          <w:color w:val="0A0A0A"/>
          <w:sz w:val="24"/>
          <w:szCs w:val="24"/>
          <w:shd w:val="clear" w:color="auto" w:fill="FFFFFF"/>
        </w:rPr>
        <w:lastRenderedPageBreak/>
        <w:t>LE GOFF, Jacques. Documento/Monumento. </w:t>
      </w:r>
      <w:r w:rsidRPr="0050386A">
        <w:rPr>
          <w:rStyle w:val="nfase"/>
          <w:rFonts w:ascii="Times New Roman" w:hAnsi="Times New Roman" w:cs="Times New Roman"/>
          <w:color w:val="0A0A0A"/>
          <w:sz w:val="24"/>
          <w:szCs w:val="24"/>
          <w:shd w:val="clear" w:color="auto" w:fill="FFFFFF"/>
        </w:rPr>
        <w:t>In</w:t>
      </w:r>
      <w:r w:rsidRPr="0050386A">
        <w:rPr>
          <w:rFonts w:ascii="Times New Roman" w:hAnsi="Times New Roman" w:cs="Times New Roman"/>
          <w:color w:val="0A0A0A"/>
          <w:sz w:val="24"/>
          <w:szCs w:val="24"/>
          <w:shd w:val="clear" w:color="auto" w:fill="FFFFFF"/>
        </w:rPr>
        <w:t>: </w:t>
      </w:r>
      <w:r w:rsidRPr="0050386A">
        <w:rPr>
          <w:rStyle w:val="Forte"/>
          <w:rFonts w:ascii="Times New Roman" w:hAnsi="Times New Roman" w:cs="Times New Roman"/>
          <w:color w:val="0A0A0A"/>
          <w:sz w:val="24"/>
          <w:szCs w:val="24"/>
          <w:shd w:val="clear" w:color="auto" w:fill="FFFFFF"/>
        </w:rPr>
        <w:t>História e Memória</w:t>
      </w:r>
      <w:r w:rsidRPr="0050386A">
        <w:rPr>
          <w:rFonts w:ascii="Times New Roman" w:hAnsi="Times New Roman" w:cs="Times New Roman"/>
          <w:color w:val="0A0A0A"/>
          <w:sz w:val="24"/>
          <w:szCs w:val="24"/>
          <w:shd w:val="clear" w:color="auto" w:fill="FFFFFF"/>
        </w:rPr>
        <w:t>. 4. ed. Campinas: Editora da Unicamp, 1996. p. 525-546.</w:t>
      </w:r>
    </w:p>
    <w:p w:rsidR="0050386A" w:rsidRPr="0050386A" w:rsidRDefault="0050386A" w:rsidP="00D42507">
      <w:pPr>
        <w:spacing w:after="0" w:line="240" w:lineRule="auto"/>
        <w:jc w:val="both"/>
        <w:rPr>
          <w:rFonts w:ascii="Times New Roman" w:hAnsi="Times New Roman" w:cs="Times New Roman"/>
          <w:sz w:val="24"/>
          <w:szCs w:val="24"/>
        </w:rPr>
      </w:pPr>
      <w:r w:rsidRPr="0050386A">
        <w:rPr>
          <w:rFonts w:ascii="Times New Roman" w:hAnsi="Times New Roman" w:cs="Times New Roman"/>
          <w:sz w:val="24"/>
          <w:szCs w:val="24"/>
        </w:rPr>
        <w:t xml:space="preserve">PESQUISA GAME BRASIL. </w:t>
      </w:r>
      <w:r w:rsidRPr="0050386A">
        <w:rPr>
          <w:rFonts w:ascii="Times New Roman" w:hAnsi="Times New Roman" w:cs="Times New Roman"/>
          <w:b/>
          <w:bCs/>
          <w:sz w:val="24"/>
          <w:szCs w:val="24"/>
        </w:rPr>
        <w:t>PGB 2025: Painel do Consumo de Games no Brasil</w:t>
      </w:r>
      <w:r w:rsidRPr="0050386A">
        <w:rPr>
          <w:rFonts w:ascii="Times New Roman" w:hAnsi="Times New Roman" w:cs="Times New Roman"/>
          <w:sz w:val="24"/>
          <w:szCs w:val="24"/>
        </w:rPr>
        <w:t xml:space="preserve">. Organização por SX </w:t>
      </w:r>
      <w:proofErr w:type="spellStart"/>
      <w:r w:rsidRPr="0050386A">
        <w:rPr>
          <w:rFonts w:ascii="Times New Roman" w:hAnsi="Times New Roman" w:cs="Times New Roman"/>
          <w:sz w:val="24"/>
          <w:szCs w:val="24"/>
        </w:rPr>
        <w:t>Group</w:t>
      </w:r>
      <w:proofErr w:type="spellEnd"/>
      <w:r w:rsidRPr="0050386A">
        <w:rPr>
          <w:rFonts w:ascii="Times New Roman" w:hAnsi="Times New Roman" w:cs="Times New Roman"/>
          <w:sz w:val="24"/>
          <w:szCs w:val="24"/>
        </w:rPr>
        <w:t xml:space="preserve">, Go </w:t>
      </w:r>
      <w:proofErr w:type="spellStart"/>
      <w:r w:rsidRPr="0050386A">
        <w:rPr>
          <w:rFonts w:ascii="Times New Roman" w:hAnsi="Times New Roman" w:cs="Times New Roman"/>
          <w:sz w:val="24"/>
          <w:szCs w:val="24"/>
        </w:rPr>
        <w:t>Gamers</w:t>
      </w:r>
      <w:proofErr w:type="spellEnd"/>
      <w:r w:rsidRPr="0050386A">
        <w:rPr>
          <w:rFonts w:ascii="Times New Roman" w:hAnsi="Times New Roman" w:cs="Times New Roman"/>
          <w:sz w:val="24"/>
          <w:szCs w:val="24"/>
        </w:rPr>
        <w:t xml:space="preserve">, </w:t>
      </w:r>
      <w:proofErr w:type="spellStart"/>
      <w:r w:rsidRPr="0050386A">
        <w:rPr>
          <w:rFonts w:ascii="Times New Roman" w:hAnsi="Times New Roman" w:cs="Times New Roman"/>
          <w:sz w:val="24"/>
          <w:szCs w:val="24"/>
        </w:rPr>
        <w:t>Blend</w:t>
      </w:r>
      <w:proofErr w:type="spellEnd"/>
      <w:r w:rsidRPr="0050386A">
        <w:rPr>
          <w:rFonts w:ascii="Times New Roman" w:hAnsi="Times New Roman" w:cs="Times New Roman"/>
          <w:sz w:val="24"/>
          <w:szCs w:val="24"/>
        </w:rPr>
        <w:t xml:space="preserve"> New Research e ESPM. São Paulo, 2025. Disponível em: https://www.pesquisagamebrasil.com.br/ Acesso em: 02 jan. 2026.</w:t>
      </w:r>
    </w:p>
    <w:p w:rsidR="0050386A" w:rsidRPr="0050386A" w:rsidRDefault="0050386A" w:rsidP="00D42507">
      <w:pPr>
        <w:spacing w:after="0" w:line="240" w:lineRule="auto"/>
        <w:jc w:val="both"/>
        <w:rPr>
          <w:rFonts w:ascii="Times New Roman" w:eastAsia="Times New Roman" w:hAnsi="Times New Roman" w:cs="Times New Roman"/>
          <w:sz w:val="24"/>
          <w:szCs w:val="24"/>
        </w:rPr>
      </w:pPr>
      <w:r w:rsidRPr="0050386A">
        <w:rPr>
          <w:rFonts w:ascii="Times New Roman" w:eastAsia="Times New Roman" w:hAnsi="Times New Roman" w:cs="Times New Roman"/>
          <w:sz w:val="24"/>
          <w:szCs w:val="24"/>
        </w:rPr>
        <w:t xml:space="preserve">SANTOS, Bergston Luan. </w:t>
      </w:r>
      <w:r w:rsidRPr="0050386A">
        <w:rPr>
          <w:rFonts w:ascii="Times New Roman" w:eastAsia="Times New Roman" w:hAnsi="Times New Roman" w:cs="Times New Roman"/>
          <w:b/>
          <w:sz w:val="24"/>
          <w:szCs w:val="24"/>
        </w:rPr>
        <w:t>Interpretando mundos:</w:t>
      </w:r>
      <w:r w:rsidRPr="0050386A">
        <w:rPr>
          <w:rFonts w:ascii="Times New Roman" w:eastAsia="Times New Roman" w:hAnsi="Times New Roman" w:cs="Times New Roman"/>
          <w:sz w:val="24"/>
          <w:szCs w:val="24"/>
        </w:rPr>
        <w:t xml:space="preserve"> jogos digitais e aprendizagem histórica. 2013. Dissertação (Mestrado) - Universidade Federal de Uberlândia, Uberlândia, 2013.</w:t>
      </w:r>
    </w:p>
    <w:p w:rsidR="0050386A" w:rsidRPr="0050386A" w:rsidRDefault="0050386A" w:rsidP="0050386A">
      <w:pPr>
        <w:spacing w:after="0" w:line="240" w:lineRule="auto"/>
        <w:jc w:val="both"/>
        <w:rPr>
          <w:rFonts w:ascii="Times New Roman" w:eastAsia="Times New Roman" w:hAnsi="Times New Roman" w:cs="Times New Roman"/>
          <w:sz w:val="24"/>
          <w:szCs w:val="24"/>
        </w:rPr>
      </w:pPr>
      <w:r w:rsidRPr="0050386A">
        <w:rPr>
          <w:rFonts w:ascii="Times New Roman" w:eastAsia="Times New Roman" w:hAnsi="Times New Roman" w:cs="Times New Roman"/>
          <w:sz w:val="24"/>
          <w:szCs w:val="24"/>
        </w:rPr>
        <w:t xml:space="preserve">SANTOS, Christiano Britto Monteiro. </w:t>
      </w:r>
      <w:r w:rsidRPr="0050386A">
        <w:rPr>
          <w:rFonts w:ascii="Times New Roman" w:eastAsia="Times New Roman" w:hAnsi="Times New Roman" w:cs="Times New Roman"/>
          <w:b/>
          <w:sz w:val="24"/>
          <w:szCs w:val="24"/>
        </w:rPr>
        <w:t>Medal of Honor e a construção da memória da Segunda Guerra Mundial.</w:t>
      </w:r>
      <w:r w:rsidRPr="0050386A">
        <w:rPr>
          <w:rFonts w:ascii="Times New Roman" w:eastAsia="Times New Roman" w:hAnsi="Times New Roman" w:cs="Times New Roman"/>
          <w:sz w:val="24"/>
          <w:szCs w:val="24"/>
        </w:rPr>
        <w:t xml:space="preserve"> 2009. Dissertação (Mestrado) – Universidade Federal Fluminense, 2009.</w:t>
      </w:r>
    </w:p>
    <w:p w:rsidR="0050386A" w:rsidRPr="0050386A" w:rsidRDefault="0050386A" w:rsidP="0050386A">
      <w:pPr>
        <w:spacing w:after="0" w:line="240" w:lineRule="auto"/>
        <w:jc w:val="both"/>
        <w:rPr>
          <w:rFonts w:ascii="Times New Roman" w:eastAsia="Times New Roman" w:hAnsi="Times New Roman" w:cs="Times New Roman"/>
          <w:sz w:val="24"/>
          <w:szCs w:val="24"/>
        </w:rPr>
      </w:pPr>
      <w:r w:rsidRPr="0050386A">
        <w:rPr>
          <w:rFonts w:ascii="Times New Roman" w:eastAsia="Times New Roman" w:hAnsi="Times New Roman" w:cs="Times New Roman"/>
          <w:sz w:val="24"/>
          <w:szCs w:val="24"/>
        </w:rPr>
        <w:t xml:space="preserve">SANTOS, Christiano Britto Monteiro dos. </w:t>
      </w:r>
      <w:r w:rsidRPr="0050386A">
        <w:rPr>
          <w:rFonts w:ascii="Times New Roman" w:eastAsia="Times New Roman" w:hAnsi="Times New Roman" w:cs="Times New Roman"/>
          <w:b/>
          <w:sz w:val="24"/>
          <w:szCs w:val="24"/>
        </w:rPr>
        <w:t xml:space="preserve">Medal of Honor e </w:t>
      </w:r>
      <w:proofErr w:type="spellStart"/>
      <w:r w:rsidRPr="0050386A">
        <w:rPr>
          <w:rFonts w:ascii="Times New Roman" w:eastAsia="Times New Roman" w:hAnsi="Times New Roman" w:cs="Times New Roman"/>
          <w:b/>
          <w:sz w:val="24"/>
          <w:szCs w:val="24"/>
        </w:rPr>
        <w:t>Call</w:t>
      </w:r>
      <w:proofErr w:type="spellEnd"/>
      <w:r w:rsidRPr="0050386A">
        <w:rPr>
          <w:rFonts w:ascii="Times New Roman" w:eastAsia="Times New Roman" w:hAnsi="Times New Roman" w:cs="Times New Roman"/>
          <w:b/>
          <w:sz w:val="24"/>
          <w:szCs w:val="24"/>
        </w:rPr>
        <w:t xml:space="preserve"> of Duty:</w:t>
      </w:r>
      <w:r w:rsidRPr="0050386A">
        <w:rPr>
          <w:rFonts w:ascii="Times New Roman" w:eastAsia="Times New Roman" w:hAnsi="Times New Roman" w:cs="Times New Roman"/>
          <w:sz w:val="24"/>
          <w:szCs w:val="24"/>
        </w:rPr>
        <w:t xml:space="preserve"> uma comparação entre missões do videogame e eventos históricos. 2014. 234 f. Tese (Doutorado em História Comparada) – Instituto de História, Universidade Federal do Rio de Janeiro, Rio de Janeiro, 2014.</w:t>
      </w:r>
    </w:p>
    <w:p w:rsidR="0050386A" w:rsidRPr="0050386A" w:rsidRDefault="0050386A" w:rsidP="0050386A">
      <w:pPr>
        <w:pStyle w:val="NormalWeb"/>
        <w:spacing w:before="0" w:beforeAutospacing="0" w:after="0" w:afterAutospacing="0"/>
        <w:jc w:val="both"/>
      </w:pPr>
      <w:r w:rsidRPr="0050386A">
        <w:t xml:space="preserve">SANTOS, Christiano Britto M. dos; BEZERRA, Rafael Zamorano. Games e História: monumentos digitais. In: ALVES, Lynn; TELLES, </w:t>
      </w:r>
      <w:proofErr w:type="spellStart"/>
      <w:r w:rsidRPr="0050386A">
        <w:t>Helyon</w:t>
      </w:r>
      <w:proofErr w:type="spellEnd"/>
      <w:r w:rsidRPr="0050386A">
        <w:t xml:space="preserve"> Viana; MATTA, Alfredo E. R. (Orgs.). </w:t>
      </w:r>
      <w:r w:rsidRPr="0050386A">
        <w:rPr>
          <w:b/>
        </w:rPr>
        <w:t>Museus virtuais e jogos digitais:</w:t>
      </w:r>
      <w:r w:rsidRPr="0050386A">
        <w:t xml:space="preserve"> novas linguagens para o estudo da história. Salvador: EDUFBA, 2019, p. 14-37.</w:t>
      </w:r>
    </w:p>
    <w:p w:rsidR="0050386A" w:rsidRPr="0050386A" w:rsidRDefault="0050386A" w:rsidP="0050386A">
      <w:pPr>
        <w:spacing w:after="0" w:line="240" w:lineRule="auto"/>
        <w:rPr>
          <w:rFonts w:ascii="Times New Roman" w:hAnsi="Times New Roman" w:cs="Times New Roman"/>
          <w:sz w:val="24"/>
          <w:szCs w:val="24"/>
        </w:rPr>
      </w:pPr>
      <w:r w:rsidRPr="0050386A">
        <w:rPr>
          <w:rFonts w:ascii="Times New Roman" w:hAnsi="Times New Roman" w:cs="Times New Roman"/>
          <w:sz w:val="24"/>
          <w:szCs w:val="24"/>
        </w:rPr>
        <w:t xml:space="preserve">SCHLEMMER, Eliane. Projetos de aprendizagem gamificados: uma metodologia inventiva para a educação na cultura híbrida e multimodal. </w:t>
      </w:r>
      <w:r w:rsidRPr="0050386A">
        <w:rPr>
          <w:rFonts w:ascii="Times New Roman" w:hAnsi="Times New Roman" w:cs="Times New Roman"/>
          <w:b/>
          <w:sz w:val="24"/>
          <w:szCs w:val="24"/>
        </w:rPr>
        <w:t>Momentos:</w:t>
      </w:r>
      <w:r w:rsidRPr="0050386A">
        <w:rPr>
          <w:rFonts w:ascii="Times New Roman" w:hAnsi="Times New Roman" w:cs="Times New Roman"/>
          <w:sz w:val="24"/>
          <w:szCs w:val="24"/>
        </w:rPr>
        <w:t xml:space="preserve"> diálogos em educação. Carreiros, RS, v.2, n. I, p. 42-69, jan./abril. 2018. Disponível em: </w:t>
      </w:r>
      <w:hyperlink r:id="rId8">
        <w:r w:rsidRPr="0050386A">
          <w:rPr>
            <w:rStyle w:val="Hyperlink"/>
            <w:rFonts w:ascii="Times New Roman" w:hAnsi="Times New Roman" w:cs="Times New Roman"/>
            <w:sz w:val="24"/>
            <w:szCs w:val="24"/>
          </w:rPr>
          <w:t>https://periodicos.furg.br/momento/article/view/7801</w:t>
        </w:r>
      </w:hyperlink>
      <w:r w:rsidRPr="0050386A">
        <w:rPr>
          <w:rFonts w:ascii="Times New Roman" w:hAnsi="Times New Roman" w:cs="Times New Roman"/>
          <w:sz w:val="24"/>
          <w:szCs w:val="24"/>
        </w:rPr>
        <w:t>. Acesso em: 20 nov. 2025.</w:t>
      </w:r>
    </w:p>
    <w:p w:rsidR="0050386A" w:rsidRPr="0050386A" w:rsidRDefault="0050386A" w:rsidP="0050386A">
      <w:pPr>
        <w:pStyle w:val="NormalWeb"/>
        <w:spacing w:before="0" w:beforeAutospacing="0" w:after="0" w:afterAutospacing="0"/>
        <w:jc w:val="both"/>
      </w:pPr>
      <w:r w:rsidRPr="0050386A">
        <w:t xml:space="preserve">SILVA, Alex Alvarez. </w:t>
      </w:r>
      <w:r w:rsidRPr="0050386A">
        <w:rPr>
          <w:b/>
        </w:rPr>
        <w:t>Simulações históricas e civilizações digitais</w:t>
      </w:r>
      <w:r w:rsidRPr="0050386A">
        <w:t>: representações do tempo histórico em “Sid Meier’s Civilization”. Tese (Doutorado) – Universidade Federal de Goiás. Programa de Pós-Graduação em História. Goiânia, 2023.</w:t>
      </w:r>
    </w:p>
    <w:p w:rsidR="0050386A" w:rsidRPr="0050386A" w:rsidRDefault="0050386A" w:rsidP="0050386A">
      <w:pPr>
        <w:pStyle w:val="NormalWeb"/>
        <w:spacing w:before="0" w:beforeAutospacing="0" w:after="0" w:afterAutospacing="0"/>
      </w:pPr>
      <w:r w:rsidRPr="0050386A">
        <w:t xml:space="preserve">SILVA, Lucas </w:t>
      </w:r>
      <w:proofErr w:type="spellStart"/>
      <w:r w:rsidRPr="0050386A">
        <w:t>Victos</w:t>
      </w:r>
      <w:proofErr w:type="spellEnd"/>
      <w:r w:rsidRPr="0050386A">
        <w:t xml:space="preserve">; GIACOMONI. Marcello Paniz; OLIVEIRA, Paulo Henrique de; CUNHA, Maurício Clipes. A pesquisa sobre jogos como recursos didáticos no Brasil: um estudo do estado do conhecimento. </w:t>
      </w:r>
      <w:r w:rsidRPr="0050386A">
        <w:rPr>
          <w:b/>
        </w:rPr>
        <w:t>História &amp; Ensino</w:t>
      </w:r>
      <w:r w:rsidRPr="0050386A">
        <w:t xml:space="preserve">. Londrina, v.26, nº 2, p. 374- 399, </w:t>
      </w:r>
      <w:proofErr w:type="spellStart"/>
      <w:r w:rsidRPr="0050386A">
        <w:t>jan</w:t>
      </w:r>
      <w:proofErr w:type="spellEnd"/>
      <w:r w:rsidRPr="0050386A">
        <w:t xml:space="preserve">/jun. 2020. Disponível em: </w:t>
      </w:r>
      <w:hyperlink r:id="rId9" w:history="1">
        <w:r w:rsidRPr="0050386A">
          <w:rPr>
            <w:rStyle w:val="Hyperlink"/>
          </w:rPr>
          <w:t>https://ojs.uel.br/revistas/uel/index.php/histensino/article/view/38781/28854</w:t>
        </w:r>
      </w:hyperlink>
      <w:r w:rsidRPr="0050386A">
        <w:t xml:space="preserve">. Acesso em 10 nov. 2025. </w:t>
      </w:r>
    </w:p>
    <w:p w:rsidR="007018F7" w:rsidRDefault="007018F7" w:rsidP="00CA5EBC">
      <w:pPr>
        <w:spacing w:after="0" w:line="240" w:lineRule="auto"/>
        <w:jc w:val="both"/>
        <w:rPr>
          <w:sz w:val="24"/>
          <w:szCs w:val="24"/>
        </w:rPr>
      </w:pPr>
    </w:p>
    <w:sectPr w:rsidR="007018F7" w:rsidSect="00A261D9">
      <w:headerReference w:type="default" r:id="rId10"/>
      <w:pgSz w:w="11906" w:h="16838"/>
      <w:pgMar w:top="1701" w:right="1134" w:bottom="1134" w:left="1701" w:header="709" w:footer="709"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380" w:rsidRDefault="00D25380">
      <w:pPr>
        <w:spacing w:line="240" w:lineRule="auto"/>
      </w:pPr>
      <w:r>
        <w:separator/>
      </w:r>
    </w:p>
  </w:endnote>
  <w:endnote w:type="continuationSeparator" w:id="0">
    <w:p w:rsidR="00D25380" w:rsidRDefault="00D253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380" w:rsidRDefault="00D25380">
      <w:pPr>
        <w:spacing w:after="0"/>
      </w:pPr>
      <w:r>
        <w:separator/>
      </w:r>
    </w:p>
  </w:footnote>
  <w:footnote w:type="continuationSeparator" w:id="0">
    <w:p w:rsidR="00D25380" w:rsidRDefault="00D2538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8F7" w:rsidRDefault="005207D6">
    <w:pPr>
      <w:pStyle w:val="Cabealho"/>
    </w:pPr>
    <w:r>
      <w:rPr>
        <w:noProof/>
        <w:lang w:eastAsia="pt-BR"/>
      </w:rPr>
      <w:drawing>
        <wp:inline distT="0" distB="0" distL="114300" distR="114300">
          <wp:extent cx="5756910" cy="1344295"/>
          <wp:effectExtent l="0" t="0" r="0" b="0"/>
          <wp:docPr id="2" name="Imagem 2"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465D37"/>
    <w:multiLevelType w:val="hybridMultilevel"/>
    <w:tmpl w:val="6B18D3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B16D9"/>
    <w:rsid w:val="000C476C"/>
    <w:rsid w:val="00165033"/>
    <w:rsid w:val="00172A27"/>
    <w:rsid w:val="0018674E"/>
    <w:rsid w:val="00224474"/>
    <w:rsid w:val="002434B3"/>
    <w:rsid w:val="002A2614"/>
    <w:rsid w:val="002C2A6F"/>
    <w:rsid w:val="003D3F9F"/>
    <w:rsid w:val="003F3C88"/>
    <w:rsid w:val="0047769E"/>
    <w:rsid w:val="0050386A"/>
    <w:rsid w:val="005207D6"/>
    <w:rsid w:val="005A66E0"/>
    <w:rsid w:val="005A6776"/>
    <w:rsid w:val="005B4EDB"/>
    <w:rsid w:val="005C77EA"/>
    <w:rsid w:val="00613D68"/>
    <w:rsid w:val="00677F30"/>
    <w:rsid w:val="006D4FFA"/>
    <w:rsid w:val="007018F7"/>
    <w:rsid w:val="00741E2B"/>
    <w:rsid w:val="00781BA1"/>
    <w:rsid w:val="008155F8"/>
    <w:rsid w:val="009961ED"/>
    <w:rsid w:val="00A261D9"/>
    <w:rsid w:val="00AF1984"/>
    <w:rsid w:val="00B15481"/>
    <w:rsid w:val="00B82A8F"/>
    <w:rsid w:val="00BD7DF3"/>
    <w:rsid w:val="00BF1652"/>
    <w:rsid w:val="00C257DA"/>
    <w:rsid w:val="00C61AD0"/>
    <w:rsid w:val="00C76CE1"/>
    <w:rsid w:val="00CA5EBC"/>
    <w:rsid w:val="00CF12CD"/>
    <w:rsid w:val="00D25380"/>
    <w:rsid w:val="00D42507"/>
    <w:rsid w:val="00D9257B"/>
    <w:rsid w:val="00DA2CF4"/>
    <w:rsid w:val="00DA7062"/>
    <w:rsid w:val="00E40EFF"/>
    <w:rsid w:val="00E538F9"/>
    <w:rsid w:val="00E67A86"/>
    <w:rsid w:val="00EE4D55"/>
    <w:rsid w:val="00F61B9C"/>
    <w:rsid w:val="03C80B88"/>
    <w:rsid w:val="1A894334"/>
    <w:rsid w:val="1EF63937"/>
    <w:rsid w:val="221653A0"/>
    <w:rsid w:val="22184B3D"/>
    <w:rsid w:val="25485496"/>
    <w:rsid w:val="268663ED"/>
    <w:rsid w:val="27CD66DB"/>
    <w:rsid w:val="2A781B3D"/>
    <w:rsid w:val="2D0A23B4"/>
    <w:rsid w:val="35C9615A"/>
    <w:rsid w:val="39113C01"/>
    <w:rsid w:val="4B1D057D"/>
    <w:rsid w:val="4B8D7224"/>
    <w:rsid w:val="4DAD2754"/>
    <w:rsid w:val="50626742"/>
    <w:rsid w:val="50B173AF"/>
    <w:rsid w:val="59FB6197"/>
    <w:rsid w:val="5B5B3C9A"/>
    <w:rsid w:val="60FF12C0"/>
    <w:rsid w:val="64DA7F84"/>
    <w:rsid w:val="68F74436"/>
    <w:rsid w:val="704476BC"/>
    <w:rsid w:val="7E5F027E"/>
    <w:rsid w:val="7EF4595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229774-334C-42E6-A17C-26EB0208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uiPriority w:val="99"/>
    <w:unhideWhenUsed/>
    <w:qFormat/>
    <w:pPr>
      <w:tabs>
        <w:tab w:val="center" w:pos="4252"/>
        <w:tab w:val="right" w:pos="8504"/>
      </w:tabs>
    </w:pPr>
  </w:style>
  <w:style w:type="paragraph" w:styleId="Rodap">
    <w:name w:val="footer"/>
    <w:basedOn w:val="Normal"/>
    <w:uiPriority w:val="99"/>
    <w:unhideWhenUsed/>
    <w:qFormat/>
    <w:pPr>
      <w:tabs>
        <w:tab w:val="center" w:pos="4252"/>
        <w:tab w:val="right" w:pos="8504"/>
      </w:tabs>
    </w:pPr>
  </w:style>
  <w:style w:type="table" w:styleId="Tabelacomgrade">
    <w:name w:val="Table Grid"/>
    <w:basedOn w:val="Tabela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171">
    <w:name w:val="citation-171"/>
    <w:basedOn w:val="Fontepargpadro"/>
    <w:rsid w:val="00A261D9"/>
  </w:style>
  <w:style w:type="character" w:customStyle="1" w:styleId="citation-170">
    <w:name w:val="citation-170"/>
    <w:basedOn w:val="Fontepargpadro"/>
    <w:rsid w:val="00A261D9"/>
  </w:style>
  <w:style w:type="character" w:customStyle="1" w:styleId="citation-169">
    <w:name w:val="citation-169"/>
    <w:basedOn w:val="Fontepargpadro"/>
    <w:rsid w:val="00A261D9"/>
  </w:style>
  <w:style w:type="character" w:customStyle="1" w:styleId="citation-211">
    <w:name w:val="citation-211"/>
    <w:basedOn w:val="Fontepargpadro"/>
    <w:rsid w:val="00A261D9"/>
  </w:style>
  <w:style w:type="character" w:customStyle="1" w:styleId="citation-210">
    <w:name w:val="citation-210"/>
    <w:basedOn w:val="Fontepargpadro"/>
    <w:rsid w:val="00A261D9"/>
  </w:style>
  <w:style w:type="character" w:customStyle="1" w:styleId="citation-209">
    <w:name w:val="citation-209"/>
    <w:basedOn w:val="Fontepargpadro"/>
    <w:rsid w:val="00A261D9"/>
  </w:style>
  <w:style w:type="character" w:styleId="Forte">
    <w:name w:val="Strong"/>
    <w:basedOn w:val="Fontepargpadro"/>
    <w:uiPriority w:val="22"/>
    <w:qFormat/>
    <w:rsid w:val="00224474"/>
    <w:rPr>
      <w:b/>
      <w:bCs/>
    </w:rPr>
  </w:style>
  <w:style w:type="character" w:styleId="nfase">
    <w:name w:val="Emphasis"/>
    <w:basedOn w:val="Fontepargpadro"/>
    <w:uiPriority w:val="20"/>
    <w:qFormat/>
    <w:rsid w:val="002244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periodicos.furg.br/momento/article/view/7801" TargetMode="External"/><Relationship Id="rId3" Type="http://schemas.openxmlformats.org/officeDocument/2006/relationships/settings" Target="settings.xml"/><Relationship Id="rId7" Type="http://schemas.openxmlformats.org/officeDocument/2006/relationships/hyperlink" Target="https://periodicos.cefetmg.br/index.php/revista-et/article/view/27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js.uel.br/revistas/uel/index.php/histensino/article/view/38781/288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9</Pages>
  <Words>4626</Words>
  <Characters>24986</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Usuário</cp:lastModifiedBy>
  <cp:revision>21</cp:revision>
  <dcterms:created xsi:type="dcterms:W3CDTF">2026-03-25T22:55:00Z</dcterms:created>
  <dcterms:modified xsi:type="dcterms:W3CDTF">2026-03-31T00:15:00Z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A36678E1F4A943F4942DB3E4C143EBD5_13</vt:lpwstr>
  </property>
</Properties>
</file>