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FACD00" w14:textId="24311EAE" w:rsidR="000A0AEA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Eixo Temático: </w:t>
      </w:r>
      <w:r w:rsidR="009B36E6">
        <w:rPr>
          <w:rFonts w:ascii="Times New Roman" w:eastAsia="Times New Roman" w:hAnsi="Times New Roman" w:cs="Times New Roman"/>
          <w:b/>
          <w:sz w:val="24"/>
          <w:szCs w:val="24"/>
        </w:rPr>
        <w:t>Educação em Saúde e Promoção da Qualidade de Vida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6ABCD39" w14:textId="77777777" w:rsidR="00D758C6" w:rsidRDefault="00D758C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9758AF" w14:textId="0FC9A5DC" w:rsidR="000A0AEA" w:rsidRDefault="00D758C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EPIDEMIOLOGIA CONTEMPORÂNEA DE ISTS E ESTIGMAS NA CONSTRUÇÃO DO SABER COLETIVO: DA </w:t>
      </w:r>
      <w:r w:rsidR="004D5C52">
        <w:rPr>
          <w:rFonts w:ascii="Times New Roman" w:eastAsia="Times New Roman" w:hAnsi="Times New Roman" w:cs="Times New Roman"/>
          <w:b/>
          <w:sz w:val="24"/>
          <w:szCs w:val="24"/>
        </w:rPr>
        <w:t xml:space="preserve">PESQUISA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HOSPITALAR À EDUCAÇÃO EM SAÚDE INTERPROFISSIONAL</w:t>
      </w:r>
    </w:p>
    <w:p w14:paraId="71029619" w14:textId="77777777" w:rsidR="000A0AEA" w:rsidRDefault="000A0AE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452F34" w14:textId="3F0D071D" w:rsidR="000A0AEA" w:rsidRDefault="00000000" w:rsidP="001D0F2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6268" w:rsidRPr="001F6268">
        <w:rPr>
          <w:rFonts w:ascii="Times New Roman" w:eastAsia="Times New Roman" w:hAnsi="Times New Roman" w:cs="Times New Roman"/>
          <w:sz w:val="24"/>
          <w:szCs w:val="24"/>
        </w:rPr>
        <w:t>A epidemiologia contemporânea ultrapassa o campo estatístico e</w:t>
      </w:r>
      <w:r w:rsidR="001F6268">
        <w:rPr>
          <w:rFonts w:ascii="Times New Roman" w:eastAsia="Times New Roman" w:hAnsi="Times New Roman" w:cs="Times New Roman"/>
          <w:sz w:val="24"/>
          <w:szCs w:val="24"/>
        </w:rPr>
        <w:t xml:space="preserve"> biomédico, </w:t>
      </w:r>
      <w:r w:rsidR="001F6268" w:rsidRPr="001F6268">
        <w:rPr>
          <w:rFonts w:ascii="Times New Roman" w:eastAsia="Times New Roman" w:hAnsi="Times New Roman" w:cs="Times New Roman"/>
          <w:sz w:val="24"/>
          <w:szCs w:val="24"/>
        </w:rPr>
        <w:t>assumindo um papel estratégico na compreensão dos determinantes sociais e simbólicos do adoe</w:t>
      </w:r>
      <w:r w:rsidR="001F6268">
        <w:rPr>
          <w:rFonts w:ascii="Times New Roman" w:eastAsia="Times New Roman" w:hAnsi="Times New Roman" w:cs="Times New Roman"/>
          <w:sz w:val="24"/>
          <w:szCs w:val="24"/>
        </w:rPr>
        <w:t>cimento e hospitalização</w:t>
      </w:r>
      <w:r w:rsidR="001F6268" w:rsidRPr="001F6268">
        <w:rPr>
          <w:rFonts w:ascii="Times New Roman" w:eastAsia="Times New Roman" w:hAnsi="Times New Roman" w:cs="Times New Roman"/>
          <w:sz w:val="24"/>
          <w:szCs w:val="24"/>
        </w:rPr>
        <w:t xml:space="preserve">. No entanto, temas como as infecções sexualmente transmissíveis (ISTs) ainda permanecem atravessados por </w:t>
      </w:r>
      <w:r w:rsidR="001F6268">
        <w:rPr>
          <w:rFonts w:ascii="Times New Roman" w:eastAsia="Times New Roman" w:hAnsi="Times New Roman" w:cs="Times New Roman"/>
          <w:sz w:val="24"/>
          <w:szCs w:val="24"/>
        </w:rPr>
        <w:t xml:space="preserve">desinformações, silenciamentos e </w:t>
      </w:r>
      <w:r w:rsidR="001F6268" w:rsidRPr="001F6268">
        <w:rPr>
          <w:rFonts w:ascii="Times New Roman" w:eastAsia="Times New Roman" w:hAnsi="Times New Roman" w:cs="Times New Roman"/>
          <w:sz w:val="24"/>
          <w:szCs w:val="24"/>
        </w:rPr>
        <w:t>estigmas, o que repercute nas práticas de cuidado e na formação dos profissionais de saúde. Diante dessa realidade, torn</w:t>
      </w:r>
      <w:r w:rsidR="00BD1983">
        <w:rPr>
          <w:rFonts w:ascii="Times New Roman" w:eastAsia="Times New Roman" w:hAnsi="Times New Roman" w:cs="Times New Roman"/>
          <w:sz w:val="24"/>
          <w:szCs w:val="24"/>
        </w:rPr>
        <w:t>a</w:t>
      </w:r>
      <w:r w:rsidR="001F6268" w:rsidRPr="001F6268">
        <w:rPr>
          <w:rFonts w:ascii="Times New Roman" w:eastAsia="Times New Roman" w:hAnsi="Times New Roman" w:cs="Times New Roman"/>
          <w:sz w:val="24"/>
          <w:szCs w:val="24"/>
        </w:rPr>
        <w:t xml:space="preserve">-se relevante </w:t>
      </w:r>
      <w:r w:rsidR="00F21D2A">
        <w:rPr>
          <w:rFonts w:ascii="Times New Roman" w:eastAsia="Times New Roman" w:hAnsi="Times New Roman" w:cs="Times New Roman"/>
          <w:sz w:val="24"/>
          <w:szCs w:val="24"/>
        </w:rPr>
        <w:t xml:space="preserve">articular pesquisa e prática em </w:t>
      </w:r>
      <w:r w:rsidR="001F6268" w:rsidRPr="001F6268">
        <w:rPr>
          <w:rFonts w:ascii="Times New Roman" w:eastAsia="Times New Roman" w:hAnsi="Times New Roman" w:cs="Times New Roman"/>
          <w:sz w:val="24"/>
          <w:szCs w:val="24"/>
        </w:rPr>
        <w:t xml:space="preserve">estratégias educativas que </w:t>
      </w:r>
      <w:r w:rsidR="00181CBB">
        <w:rPr>
          <w:rFonts w:ascii="Times New Roman" w:eastAsia="Times New Roman" w:hAnsi="Times New Roman" w:cs="Times New Roman"/>
          <w:sz w:val="24"/>
          <w:szCs w:val="24"/>
        </w:rPr>
        <w:t>promovam</w:t>
      </w:r>
      <w:r w:rsidR="001F6268" w:rsidRPr="001F62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78FA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2D5A67">
        <w:rPr>
          <w:rFonts w:ascii="Times New Roman" w:eastAsia="Times New Roman" w:hAnsi="Times New Roman" w:cs="Times New Roman"/>
          <w:sz w:val="24"/>
          <w:szCs w:val="24"/>
        </w:rPr>
        <w:t>circulação de saberes em pares</w:t>
      </w:r>
      <w:r w:rsidR="001F6268" w:rsidRPr="001F6268">
        <w:rPr>
          <w:rFonts w:ascii="Times New Roman" w:eastAsia="Times New Roman" w:hAnsi="Times New Roman" w:cs="Times New Roman"/>
          <w:sz w:val="24"/>
          <w:szCs w:val="24"/>
        </w:rPr>
        <w:t>, favorecendo a construção de um saber coletivo ético e interprofissional</w:t>
      </w:r>
      <w:r w:rsidR="001F6268">
        <w:rPr>
          <w:rFonts w:ascii="Times New Roman" w:eastAsia="Times New Roman" w:hAnsi="Times New Roman" w:cs="Times New Roman"/>
          <w:sz w:val="24"/>
          <w:szCs w:val="24"/>
        </w:rPr>
        <w:t xml:space="preserve"> no modelo de cuidado.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OBJETIVO: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4F62" w:rsidRPr="000B4F62">
        <w:rPr>
          <w:rFonts w:ascii="Times New Roman" w:eastAsia="Times New Roman" w:hAnsi="Times New Roman" w:cs="Times New Roman"/>
          <w:sz w:val="24"/>
          <w:szCs w:val="24"/>
        </w:rPr>
        <w:t xml:space="preserve">Analisar a experiência de </w:t>
      </w:r>
      <w:r w:rsidR="00A11B63">
        <w:rPr>
          <w:rFonts w:ascii="Times New Roman" w:eastAsia="Times New Roman" w:hAnsi="Times New Roman" w:cs="Times New Roman"/>
          <w:sz w:val="24"/>
          <w:szCs w:val="24"/>
        </w:rPr>
        <w:t>uma palestra interprofissional</w:t>
      </w:r>
      <w:r w:rsidR="00AF7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10B9">
        <w:rPr>
          <w:rFonts w:ascii="Times New Roman" w:eastAsia="Times New Roman" w:hAnsi="Times New Roman" w:cs="Times New Roman"/>
          <w:sz w:val="24"/>
          <w:szCs w:val="24"/>
        </w:rPr>
        <w:t>entre Medicina e Psicologia,</w:t>
      </w:r>
      <w:r w:rsidR="000B4F62" w:rsidRPr="000B4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1F8F">
        <w:rPr>
          <w:rFonts w:ascii="Times New Roman" w:eastAsia="Times New Roman" w:hAnsi="Times New Roman" w:cs="Times New Roman"/>
          <w:sz w:val="24"/>
          <w:szCs w:val="24"/>
        </w:rPr>
        <w:t>voltada</w:t>
      </w:r>
      <w:r w:rsidR="000B4F62" w:rsidRPr="000B4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4F62">
        <w:rPr>
          <w:rFonts w:ascii="Times New Roman" w:eastAsia="Times New Roman" w:hAnsi="Times New Roman" w:cs="Times New Roman"/>
          <w:sz w:val="24"/>
          <w:szCs w:val="24"/>
        </w:rPr>
        <w:t>ao fortalecimento</w:t>
      </w:r>
      <w:r w:rsidR="000B4F62" w:rsidRPr="000B4F62">
        <w:rPr>
          <w:rFonts w:ascii="Times New Roman" w:eastAsia="Times New Roman" w:hAnsi="Times New Roman" w:cs="Times New Roman"/>
          <w:sz w:val="24"/>
          <w:szCs w:val="24"/>
        </w:rPr>
        <w:t xml:space="preserve"> do saber coletivo e à problematização dos estigmas que permeiam as infecções sexualmente transmissíveis (ISTs).</w:t>
      </w:r>
      <w:r w:rsidR="000B4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MÉTODOS</w:t>
      </w:r>
      <w:r w:rsidR="00D22A20" w:rsidRPr="00D22A20">
        <w:t xml:space="preserve"> </w:t>
      </w:r>
      <w:r w:rsidR="00D22A20" w:rsidRPr="00D22A20">
        <w:rPr>
          <w:rFonts w:ascii="Times New Roman" w:eastAsia="Times New Roman" w:hAnsi="Times New Roman" w:cs="Times New Roman"/>
          <w:bCs/>
          <w:sz w:val="24"/>
          <w:szCs w:val="24"/>
        </w:rPr>
        <w:t xml:space="preserve">Trata-se de um relato de experiência descritivo e reflexivo, elaborado a partir da vivência da autora como pesquisadora de doenças crônicas e da criação de um espaço de Educação em Saúde Interprofissional com estudantes e profissionais da saúde. Para subsidiar as reflexões, realizou-se busca exploratória nas bases BVS e </w:t>
      </w:r>
      <w:proofErr w:type="spellStart"/>
      <w:r w:rsidR="00D22A20" w:rsidRPr="00D22A20">
        <w:rPr>
          <w:rFonts w:ascii="Times New Roman" w:eastAsia="Times New Roman" w:hAnsi="Times New Roman" w:cs="Times New Roman"/>
          <w:bCs/>
          <w:sz w:val="24"/>
          <w:szCs w:val="24"/>
        </w:rPr>
        <w:t>PubMed</w:t>
      </w:r>
      <w:proofErr w:type="spellEnd"/>
      <w:r w:rsidR="00D22A20" w:rsidRPr="00D22A20">
        <w:rPr>
          <w:rFonts w:ascii="Times New Roman" w:eastAsia="Times New Roman" w:hAnsi="Times New Roman" w:cs="Times New Roman"/>
          <w:bCs/>
          <w:sz w:val="24"/>
          <w:szCs w:val="24"/>
        </w:rPr>
        <w:t xml:space="preserve"> (2022–2025), com descritores sobre epidemiologia, </w:t>
      </w:r>
      <w:proofErr w:type="spellStart"/>
      <w:r w:rsidR="00D22A20" w:rsidRPr="00D22A20">
        <w:rPr>
          <w:rFonts w:ascii="Times New Roman" w:eastAsia="Times New Roman" w:hAnsi="Times New Roman" w:cs="Times New Roman"/>
          <w:bCs/>
          <w:sz w:val="24"/>
          <w:szCs w:val="24"/>
        </w:rPr>
        <w:t>ISTs</w:t>
      </w:r>
      <w:proofErr w:type="spellEnd"/>
      <w:r w:rsidR="00D22A20" w:rsidRPr="00D22A20">
        <w:rPr>
          <w:rFonts w:ascii="Times New Roman" w:eastAsia="Times New Roman" w:hAnsi="Times New Roman" w:cs="Times New Roman"/>
          <w:bCs/>
          <w:sz w:val="24"/>
          <w:szCs w:val="24"/>
        </w:rPr>
        <w:t xml:space="preserve">, educação em saúde e </w:t>
      </w:r>
      <w:proofErr w:type="spellStart"/>
      <w:r w:rsidR="00D22A20" w:rsidRPr="00D22A20">
        <w:rPr>
          <w:rFonts w:ascii="Times New Roman" w:eastAsia="Times New Roman" w:hAnsi="Times New Roman" w:cs="Times New Roman"/>
          <w:bCs/>
          <w:sz w:val="24"/>
          <w:szCs w:val="24"/>
        </w:rPr>
        <w:t>interprofissionalidade</w:t>
      </w:r>
      <w:proofErr w:type="spellEnd"/>
      <w:r w:rsidR="00D22A20" w:rsidRPr="00D22A20">
        <w:rPr>
          <w:rFonts w:ascii="Times New Roman" w:eastAsia="Times New Roman" w:hAnsi="Times New Roman" w:cs="Times New Roman"/>
          <w:bCs/>
          <w:sz w:val="24"/>
          <w:szCs w:val="24"/>
        </w:rPr>
        <w:t>. Após leitura e análise, três artigos compuseram o corpus da discussão. Por não envolver dados identificáveis, o estudo dispensa TCLE e submissão ao Comitê de Ética em Pesquisa, conforme a Resolução nº 510/2016 do Conselho Nacional de Saúde.</w:t>
      </w:r>
      <w:r w:rsidR="004D7E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RESULTADOS: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56E2" w:rsidRPr="003A56E2">
        <w:rPr>
          <w:rFonts w:ascii="Times New Roman" w:eastAsia="Times New Roman" w:hAnsi="Times New Roman" w:cs="Times New Roman"/>
          <w:sz w:val="24"/>
          <w:szCs w:val="24"/>
        </w:rPr>
        <w:t>A experiência mostrou que a desinformação ainda é um dos principais fatores que sustentam o estigma em torno das infecções sexualmente transmissíveis (ISTs). No contexto hospitalar, durante a pesquisa com doenças crônicas, foi possível escutar falas de profissionais atravessadas por preconceitos e desinformação, o que revelou fragilidades na formação e na comunicação sobre o tema.</w:t>
      </w:r>
      <w:r w:rsidR="003A56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56E2" w:rsidRPr="003A56E2">
        <w:rPr>
          <w:rFonts w:ascii="Times New Roman" w:eastAsia="Times New Roman" w:hAnsi="Times New Roman" w:cs="Times New Roman"/>
          <w:sz w:val="24"/>
          <w:szCs w:val="24"/>
        </w:rPr>
        <w:t xml:space="preserve">Essa escuta motivou a criação de um espaço de Educação em Saúde Interprofissional, voltado à reflexão crítica e ao compartilhamento de saberes entre estudantes e profissionais da saúde. </w:t>
      </w:r>
      <w:r w:rsidR="00125220">
        <w:rPr>
          <w:rFonts w:ascii="Times New Roman" w:eastAsia="Times New Roman" w:hAnsi="Times New Roman" w:cs="Times New Roman"/>
          <w:sz w:val="24"/>
          <w:szCs w:val="24"/>
        </w:rPr>
        <w:t>Durante a palestra</w:t>
      </w:r>
      <w:r w:rsidR="003A56E2" w:rsidRPr="003A56E2">
        <w:rPr>
          <w:rFonts w:ascii="Times New Roman" w:eastAsia="Times New Roman" w:hAnsi="Times New Roman" w:cs="Times New Roman"/>
          <w:sz w:val="24"/>
          <w:szCs w:val="24"/>
        </w:rPr>
        <w:t>, observou-se que a troca entre diferentes áreas possibilitou repensar discursos moralizantes, ampliar o olhar sobre o cuidado e reconhecer que a falta de conhecimento também produz sofrimento.</w:t>
      </w:r>
      <w:r w:rsidR="003A56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56E2" w:rsidRPr="003A56E2">
        <w:rPr>
          <w:rFonts w:ascii="Times New Roman" w:eastAsia="Times New Roman" w:hAnsi="Times New Roman" w:cs="Times New Roman"/>
          <w:sz w:val="24"/>
          <w:szCs w:val="24"/>
        </w:rPr>
        <w:t>As discussões mostraram que falar sobre ISTs é, sobretudo, falar sobre vínculos, escuta e ética no cuidado, reafirmando a importância da educação em saúde como dispositivo de enfrentamento ao estigma e de promoção da qualidade de vida.</w:t>
      </w:r>
      <w:r w:rsidR="003A56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CONCLUSÃO: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1E5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3A56E2" w:rsidRPr="003A56E2">
        <w:rPr>
          <w:rFonts w:ascii="Times New Roman" w:eastAsia="Times New Roman" w:hAnsi="Times New Roman" w:cs="Times New Roman"/>
          <w:sz w:val="24"/>
          <w:szCs w:val="24"/>
        </w:rPr>
        <w:t xml:space="preserve">experiência mostrou </w:t>
      </w:r>
      <w:r w:rsidR="001D0F2A">
        <w:rPr>
          <w:rFonts w:ascii="Times New Roman" w:eastAsia="Times New Roman" w:hAnsi="Times New Roman" w:cs="Times New Roman"/>
          <w:sz w:val="24"/>
          <w:szCs w:val="24"/>
        </w:rPr>
        <w:t xml:space="preserve">que a </w:t>
      </w:r>
      <w:r w:rsidR="001D0F2A" w:rsidRPr="001D0F2A">
        <w:rPr>
          <w:rFonts w:ascii="Times New Roman" w:eastAsia="Times New Roman" w:hAnsi="Times New Roman" w:cs="Times New Roman"/>
          <w:sz w:val="24"/>
          <w:szCs w:val="24"/>
        </w:rPr>
        <w:t xml:space="preserve">escuta atenta no hospital é capaz de revelar dimensões invisíveis do cuidado e inspirar ações educativas transformadoras. A palestra interprofissional mostrou que o conhecimento compartilhado é forma de cuidado, capaz de deslocar estigmas e favorecer práticas mais éticas e humanizadas. Reafirma-se a educação em saúde como estratégia de promoção da vida e de fortalecimento do saber coletivo no enfrentamento das </w:t>
      </w:r>
      <w:proofErr w:type="spellStart"/>
      <w:r w:rsidR="001D0F2A" w:rsidRPr="001D0F2A">
        <w:rPr>
          <w:rFonts w:ascii="Times New Roman" w:eastAsia="Times New Roman" w:hAnsi="Times New Roman" w:cs="Times New Roman"/>
          <w:sz w:val="24"/>
          <w:szCs w:val="24"/>
        </w:rPr>
        <w:t>ISTs</w:t>
      </w:r>
      <w:proofErr w:type="spellEnd"/>
      <w:r w:rsidR="001D0F2A" w:rsidRPr="001D0F2A">
        <w:rPr>
          <w:rFonts w:ascii="Times New Roman" w:eastAsia="Times New Roman" w:hAnsi="Times New Roman" w:cs="Times New Roman"/>
          <w:sz w:val="24"/>
          <w:szCs w:val="24"/>
        </w:rPr>
        <w:t>.</w:t>
      </w:r>
      <w:r w:rsidR="001D0F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0F2A" w:rsidRPr="001D0F2A">
        <w:rPr>
          <w:rFonts w:ascii="Times New Roman" w:eastAsia="Times New Roman" w:hAnsi="Times New Roman" w:cs="Times New Roman"/>
          <w:sz w:val="24"/>
          <w:szCs w:val="24"/>
        </w:rPr>
        <w:t xml:space="preserve">Apesar da relevância social e clínica do tema, observa-se que as produções científicas sobre educação interprofissional e enfrentamento dos estigmas em </w:t>
      </w:r>
      <w:proofErr w:type="spellStart"/>
      <w:r w:rsidR="001D0F2A" w:rsidRPr="001D0F2A">
        <w:rPr>
          <w:rFonts w:ascii="Times New Roman" w:eastAsia="Times New Roman" w:hAnsi="Times New Roman" w:cs="Times New Roman"/>
          <w:sz w:val="24"/>
          <w:szCs w:val="24"/>
        </w:rPr>
        <w:t>ISTs</w:t>
      </w:r>
      <w:proofErr w:type="spellEnd"/>
      <w:r w:rsidR="001D0F2A" w:rsidRPr="001D0F2A">
        <w:rPr>
          <w:rFonts w:ascii="Times New Roman" w:eastAsia="Times New Roman" w:hAnsi="Times New Roman" w:cs="Times New Roman"/>
          <w:sz w:val="24"/>
          <w:szCs w:val="24"/>
        </w:rPr>
        <w:t xml:space="preserve"> ainda são escassas na literatura, o que reforça a importância de novas investigações e relatos que deem visibilidade a experiências como esta.</w:t>
      </w:r>
    </w:p>
    <w:p w14:paraId="63FFA402" w14:textId="77777777" w:rsidR="000740C0" w:rsidRDefault="000740C0" w:rsidP="001D0F2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E628FC" w14:textId="77777777" w:rsidR="000538CB" w:rsidRDefault="000538CB" w:rsidP="003A56E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308394" w14:textId="19D1C1CB" w:rsidR="000A0AEA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PALAVRAS-CHAVE: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56E2">
        <w:rPr>
          <w:rFonts w:ascii="Times New Roman" w:eastAsia="Times New Roman" w:hAnsi="Times New Roman" w:cs="Times New Roman"/>
          <w:sz w:val="24"/>
          <w:szCs w:val="24"/>
        </w:rPr>
        <w:t>ISTs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A56E2">
        <w:rPr>
          <w:rFonts w:ascii="Times New Roman" w:eastAsia="Times New Roman" w:hAnsi="Times New Roman" w:cs="Times New Roman"/>
          <w:sz w:val="24"/>
          <w:szCs w:val="24"/>
        </w:rPr>
        <w:t>Estigma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A56E2">
        <w:rPr>
          <w:rFonts w:ascii="Times New Roman" w:eastAsia="Times New Roman" w:hAnsi="Times New Roman" w:cs="Times New Roman"/>
          <w:sz w:val="24"/>
          <w:szCs w:val="24"/>
        </w:rPr>
        <w:t>Epidemiologia, Interprofissionalidade.</w:t>
      </w:r>
    </w:p>
    <w:p w14:paraId="7834AC9D" w14:textId="77777777" w:rsidR="000A0AEA" w:rsidRDefault="000A0AE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CEF9F3" w14:textId="24CDA367" w:rsidR="000A0AEA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</w:t>
      </w:r>
      <w:r w:rsidR="00B9260E">
        <w:rPr>
          <w:rFonts w:ascii="Times New Roman" w:eastAsia="Times New Roman" w:hAnsi="Times New Roman" w:cs="Times New Roman"/>
          <w:b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NCIAS: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A0856C" w14:textId="5A250C38" w:rsidR="00B9260E" w:rsidRDefault="00B9260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7EA869" w14:textId="4AE1602B" w:rsidR="00DA07F0" w:rsidRDefault="00DA07F0" w:rsidP="00F4789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ALMEIDA, T. C. et al. </w:t>
      </w:r>
      <w:r w:rsidR="00653C5E">
        <w:rPr>
          <w:rFonts w:ascii="Times New Roman" w:eastAsia="Times New Roman" w:hAnsi="Times New Roman" w:cs="Times New Roman"/>
          <w:sz w:val="24"/>
          <w:szCs w:val="24"/>
        </w:rPr>
        <w:t>Sífilis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2E59">
        <w:rPr>
          <w:rFonts w:ascii="Times New Roman" w:eastAsia="Times New Roman" w:hAnsi="Times New Roman" w:cs="Times New Roman"/>
          <w:sz w:val="24"/>
          <w:szCs w:val="24"/>
        </w:rPr>
        <w:t xml:space="preserve">congênita como indicador de desigualdade: estudo </w:t>
      </w:r>
      <w:r w:rsidR="004D7E62">
        <w:rPr>
          <w:rFonts w:ascii="Times New Roman" w:eastAsia="Times New Roman" w:hAnsi="Times New Roman" w:cs="Times New Roman"/>
          <w:sz w:val="24"/>
          <w:szCs w:val="24"/>
        </w:rPr>
        <w:t>epidemiológico</w:t>
      </w:r>
      <w:r w:rsidR="00CA2E59">
        <w:rPr>
          <w:rFonts w:ascii="Times New Roman" w:eastAsia="Times New Roman" w:hAnsi="Times New Roman" w:cs="Times New Roman"/>
          <w:sz w:val="24"/>
          <w:szCs w:val="24"/>
        </w:rPr>
        <w:t xml:space="preserve"> no Brasil</w:t>
      </w:r>
      <w:r w:rsidR="0070405D">
        <w:rPr>
          <w:rFonts w:ascii="Times New Roman" w:eastAsia="Times New Roman" w:hAnsi="Times New Roman" w:cs="Times New Roman"/>
          <w:sz w:val="24"/>
          <w:szCs w:val="24"/>
        </w:rPr>
        <w:t xml:space="preserve"> por escolaridade materna, raça/cor e região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E7E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Revista de Divulgação Científica Sena Aires, </w:t>
      </w:r>
      <w:r w:rsidR="001E7E98">
        <w:rPr>
          <w:rFonts w:ascii="Times New Roman" w:eastAsia="Times New Roman" w:hAnsi="Times New Roman" w:cs="Times New Roman"/>
          <w:sz w:val="24"/>
          <w:szCs w:val="24"/>
        </w:rPr>
        <w:t>v.32, n.1</w:t>
      </w:r>
      <w:r w:rsidR="00C873C5">
        <w:rPr>
          <w:rFonts w:ascii="Times New Roman" w:eastAsia="Times New Roman" w:hAnsi="Times New Roman" w:cs="Times New Roman"/>
          <w:sz w:val="24"/>
          <w:szCs w:val="24"/>
        </w:rPr>
        <w:t>, p. 144-152, 202</w:t>
      </w:r>
      <w:r w:rsidR="00F47895">
        <w:rPr>
          <w:rFonts w:ascii="Times New Roman" w:eastAsia="Times New Roman" w:hAnsi="Times New Roman" w:cs="Times New Roman"/>
          <w:sz w:val="24"/>
          <w:szCs w:val="24"/>
        </w:rPr>
        <w:t>5</w:t>
      </w:r>
      <w:r w:rsidR="00C873C5">
        <w:rPr>
          <w:rFonts w:ascii="Times New Roman" w:eastAsia="Times New Roman" w:hAnsi="Times New Roman" w:cs="Times New Roman"/>
          <w:sz w:val="24"/>
          <w:szCs w:val="24"/>
        </w:rPr>
        <w:t xml:space="preserve">. Disponível em: </w:t>
      </w:r>
      <w:hyperlink r:id="rId7" w:history="1">
        <w:r w:rsidR="00F47895" w:rsidRPr="00CC323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https://ojs.brazilianjournals.com.br/ojs/index.php/BJHR/article/view/79046</w:t>
        </w:r>
      </w:hyperlink>
      <w:r w:rsidR="00F47895">
        <w:rPr>
          <w:rFonts w:ascii="Times New Roman" w:eastAsia="Times New Roman" w:hAnsi="Times New Roman" w:cs="Times New Roman"/>
          <w:sz w:val="24"/>
          <w:szCs w:val="24"/>
        </w:rPr>
        <w:t>. Acesso em</w:t>
      </w:r>
      <w:r w:rsidR="002A4B21">
        <w:rPr>
          <w:rFonts w:ascii="Times New Roman" w:eastAsia="Times New Roman" w:hAnsi="Times New Roman" w:cs="Times New Roman"/>
          <w:sz w:val="24"/>
          <w:szCs w:val="24"/>
        </w:rPr>
        <w:t>:</w:t>
      </w:r>
      <w:r w:rsidR="00F47895">
        <w:rPr>
          <w:rFonts w:ascii="Times New Roman" w:eastAsia="Times New Roman" w:hAnsi="Times New Roman" w:cs="Times New Roman"/>
          <w:sz w:val="24"/>
          <w:szCs w:val="24"/>
        </w:rPr>
        <w:t xml:space="preserve"> 09</w:t>
      </w:r>
      <w:r w:rsidR="002A4B21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="00F47895">
        <w:rPr>
          <w:rFonts w:ascii="Times New Roman" w:eastAsia="Times New Roman" w:hAnsi="Times New Roman" w:cs="Times New Roman"/>
          <w:sz w:val="24"/>
          <w:szCs w:val="24"/>
        </w:rPr>
        <w:t xml:space="preserve"> nov. 2025.</w:t>
      </w:r>
    </w:p>
    <w:p w14:paraId="50AA4ECE" w14:textId="77777777" w:rsidR="00C873C5" w:rsidRDefault="00C873C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323A0A" w14:textId="124C65EF" w:rsidR="00C873C5" w:rsidRDefault="00C873C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GOMES, D. F</w:t>
      </w:r>
      <w:r w:rsidR="00653C5E">
        <w:rPr>
          <w:rFonts w:ascii="Times New Roman" w:eastAsia="Times New Roman" w:hAnsi="Times New Roman" w:cs="Times New Roman"/>
          <w:sz w:val="24"/>
          <w:szCs w:val="24"/>
        </w:rPr>
        <w:t xml:space="preserve">. et al. Sífilis congênita no Brasil: </w:t>
      </w:r>
      <w:r w:rsidR="007B4C17">
        <w:rPr>
          <w:rFonts w:ascii="Times New Roman" w:eastAsia="Times New Roman" w:hAnsi="Times New Roman" w:cs="Times New Roman"/>
          <w:sz w:val="24"/>
          <w:szCs w:val="24"/>
        </w:rPr>
        <w:t xml:space="preserve">análise de tendência temporal </w:t>
      </w:r>
      <w:r w:rsidR="004D7E62">
        <w:rPr>
          <w:rFonts w:ascii="Times New Roman" w:eastAsia="Times New Roman" w:hAnsi="Times New Roman" w:cs="Times New Roman"/>
          <w:sz w:val="24"/>
          <w:szCs w:val="24"/>
        </w:rPr>
        <w:t>e projeção de caso</w:t>
      </w:r>
      <w:r w:rsidR="00653C5E"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 w:rsidR="00FD33F8" w:rsidRPr="00FD33F8">
        <w:rPr>
          <w:rFonts w:ascii="Times New Roman" w:eastAsia="Times New Roman" w:hAnsi="Times New Roman" w:cs="Times New Roman"/>
          <w:i/>
          <w:iCs/>
          <w:sz w:val="24"/>
          <w:szCs w:val="24"/>
        </w:rPr>
        <w:t>Epidemiologia e Serviços de Saúde</w:t>
      </w:r>
      <w:r w:rsidR="00FD33F8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FD33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1C5D">
        <w:rPr>
          <w:rFonts w:ascii="Times New Roman" w:eastAsia="Times New Roman" w:hAnsi="Times New Roman" w:cs="Times New Roman"/>
          <w:sz w:val="24"/>
          <w:szCs w:val="24"/>
        </w:rPr>
        <w:t>v.32, n.1, p.</w:t>
      </w:r>
      <w:r w:rsidR="00D376D5">
        <w:rPr>
          <w:rFonts w:ascii="Times New Roman" w:eastAsia="Times New Roman" w:hAnsi="Times New Roman" w:cs="Times New Roman"/>
          <w:sz w:val="24"/>
          <w:szCs w:val="24"/>
        </w:rPr>
        <w:t xml:space="preserve"> 115-123</w:t>
      </w:r>
      <w:r w:rsidR="00A11C5D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4D7E62">
        <w:rPr>
          <w:rFonts w:ascii="Times New Roman" w:eastAsia="Times New Roman" w:hAnsi="Times New Roman" w:cs="Times New Roman"/>
          <w:sz w:val="24"/>
          <w:szCs w:val="24"/>
        </w:rPr>
        <w:t>5</w:t>
      </w:r>
      <w:r w:rsidR="00A11C5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D3A92">
        <w:rPr>
          <w:rFonts w:ascii="Times New Roman" w:eastAsia="Times New Roman" w:hAnsi="Times New Roman" w:cs="Times New Roman"/>
          <w:sz w:val="24"/>
          <w:szCs w:val="24"/>
        </w:rPr>
        <w:t>Disponível</w:t>
      </w:r>
      <w:r w:rsidR="00A11C5D">
        <w:rPr>
          <w:rFonts w:ascii="Times New Roman" w:eastAsia="Times New Roman" w:hAnsi="Times New Roman" w:cs="Times New Roman"/>
          <w:sz w:val="24"/>
          <w:szCs w:val="24"/>
        </w:rPr>
        <w:t xml:space="preserve"> em:</w:t>
      </w:r>
      <w:r w:rsidR="00461B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="00461B18" w:rsidRPr="00CC323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https://www.scielo.br/j/ape/a/zwYqV7D6CvP7k5ZTJjSM97n/?format=html&amp;lang=pt</w:t>
        </w:r>
      </w:hyperlink>
      <w:r w:rsidR="00461B18">
        <w:rPr>
          <w:rFonts w:ascii="Times New Roman" w:eastAsia="Times New Roman" w:hAnsi="Times New Roman" w:cs="Times New Roman"/>
          <w:sz w:val="24"/>
          <w:szCs w:val="24"/>
        </w:rPr>
        <w:t>. Acesso em: 09</w:t>
      </w:r>
      <w:r w:rsidR="002A4B21">
        <w:rPr>
          <w:rFonts w:ascii="Times New Roman" w:eastAsia="Times New Roman" w:hAnsi="Times New Roman" w:cs="Times New Roman"/>
          <w:sz w:val="24"/>
          <w:szCs w:val="24"/>
        </w:rPr>
        <w:t xml:space="preserve"> de nov. 2025.</w:t>
      </w:r>
    </w:p>
    <w:p w14:paraId="24A7F72F" w14:textId="77777777" w:rsidR="00253E81" w:rsidRDefault="00253E8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CB9934" w14:textId="5EA0F95A" w:rsidR="00253E81" w:rsidRPr="00BD0102" w:rsidRDefault="00927BC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SANTOS, A. P.; SILVAS, F. M.; COSTA, R. M.; LIMA, D. S. Educação em saúde como ferramenta estratégica na prevenção de infecções sexualmente transmissíveis: relato de experiencia. Revista Saúde Coletiva</w:t>
      </w:r>
      <w:r w:rsidR="0032098D">
        <w:rPr>
          <w:rFonts w:ascii="Times New Roman" w:eastAsia="Times New Roman" w:hAnsi="Times New Roman" w:cs="Times New Roman"/>
          <w:sz w:val="24"/>
          <w:szCs w:val="24"/>
        </w:rPr>
        <w:t xml:space="preserve">, v. 12, n. 77, p. </w:t>
      </w:r>
      <w:r w:rsidR="009477F5">
        <w:rPr>
          <w:rFonts w:ascii="Times New Roman" w:eastAsia="Times New Roman" w:hAnsi="Times New Roman" w:cs="Times New Roman"/>
          <w:sz w:val="24"/>
          <w:szCs w:val="24"/>
        </w:rPr>
        <w:t>1056</w:t>
      </w:r>
      <w:r w:rsidR="004139CD">
        <w:rPr>
          <w:rFonts w:ascii="Times New Roman" w:eastAsia="Times New Roman" w:hAnsi="Times New Roman" w:cs="Times New Roman"/>
          <w:sz w:val="24"/>
          <w:szCs w:val="24"/>
        </w:rPr>
        <w:t>-</w:t>
      </w:r>
      <w:r w:rsidR="009477F5">
        <w:rPr>
          <w:rFonts w:ascii="Times New Roman" w:eastAsia="Times New Roman" w:hAnsi="Times New Roman" w:cs="Times New Roman"/>
          <w:sz w:val="24"/>
          <w:szCs w:val="24"/>
        </w:rPr>
        <w:t xml:space="preserve">1060. </w:t>
      </w:r>
      <w:r w:rsidR="004139CD">
        <w:rPr>
          <w:rFonts w:ascii="Times New Roman" w:eastAsia="Times New Roman" w:hAnsi="Times New Roman" w:cs="Times New Roman"/>
          <w:sz w:val="24"/>
          <w:szCs w:val="24"/>
        </w:rPr>
        <w:t xml:space="preserve">2022. Disponível em: </w:t>
      </w:r>
      <w:hyperlink r:id="rId9" w:history="1">
        <w:r w:rsidR="004139CD" w:rsidRPr="00CC323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https://revistasaudecoletiva.com.br/index.php/saudecoletiva/article/view/2516</w:t>
        </w:r>
      </w:hyperlink>
      <w:r w:rsidR="004139CD">
        <w:rPr>
          <w:rFonts w:ascii="Times New Roman" w:eastAsia="Times New Roman" w:hAnsi="Times New Roman" w:cs="Times New Roman"/>
          <w:sz w:val="24"/>
          <w:szCs w:val="24"/>
        </w:rPr>
        <w:t>. Acesso em: 09 de nov. 2025.</w:t>
      </w:r>
    </w:p>
    <w:p w14:paraId="7A579CF1" w14:textId="77777777" w:rsidR="000A0AEA" w:rsidRDefault="000A0AE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2CB633" w14:textId="77777777" w:rsidR="000A0AEA" w:rsidRDefault="000A0AEA"/>
    <w:sectPr w:rsidR="000A0AEA">
      <w:headerReference w:type="default" r:id="rId10"/>
      <w:pgSz w:w="11906" w:h="16838"/>
      <w:pgMar w:top="1700" w:right="1133" w:bottom="1133" w:left="1700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07E04" w14:textId="77777777" w:rsidR="00F76E7A" w:rsidRDefault="00F76E7A">
      <w:pPr>
        <w:spacing w:line="240" w:lineRule="auto"/>
      </w:pPr>
      <w:r>
        <w:separator/>
      </w:r>
    </w:p>
  </w:endnote>
  <w:endnote w:type="continuationSeparator" w:id="0">
    <w:p w14:paraId="3DE9CC4F" w14:textId="77777777" w:rsidR="00F76E7A" w:rsidRDefault="00F76E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82B88" w14:textId="77777777" w:rsidR="00F76E7A" w:rsidRDefault="00F76E7A">
      <w:pPr>
        <w:spacing w:line="240" w:lineRule="auto"/>
      </w:pPr>
      <w:r>
        <w:separator/>
      </w:r>
    </w:p>
  </w:footnote>
  <w:footnote w:type="continuationSeparator" w:id="0">
    <w:p w14:paraId="5FD86D34" w14:textId="77777777" w:rsidR="00F76E7A" w:rsidRDefault="00F76E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A1858" w14:textId="77777777" w:rsidR="000A0AEA" w:rsidRDefault="00000000">
    <w:pPr>
      <w:jc w:val="center"/>
    </w:pPr>
    <w:r>
      <w:rPr>
        <w:noProof/>
      </w:rPr>
      <w:drawing>
        <wp:inline distT="0" distB="0" distL="0" distR="0" wp14:anchorId="1A25BC40" wp14:editId="34B3B154">
          <wp:extent cx="2174400" cy="1537155"/>
          <wp:effectExtent l="0" t="0" r="0" b="0"/>
          <wp:docPr id="808396989" name="image1.png" descr="Logotipo, nome da empres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, nome da empresa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4400" cy="1537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AEA"/>
    <w:rsid w:val="00026C4F"/>
    <w:rsid w:val="000538CB"/>
    <w:rsid w:val="000740C0"/>
    <w:rsid w:val="000A0AEA"/>
    <w:rsid w:val="000B4F62"/>
    <w:rsid w:val="00113306"/>
    <w:rsid w:val="00125220"/>
    <w:rsid w:val="00181CBB"/>
    <w:rsid w:val="001D0F2A"/>
    <w:rsid w:val="001D4BE1"/>
    <w:rsid w:val="001E7E98"/>
    <w:rsid w:val="001F6268"/>
    <w:rsid w:val="00253E81"/>
    <w:rsid w:val="002778FA"/>
    <w:rsid w:val="002A4B21"/>
    <w:rsid w:val="002A5B20"/>
    <w:rsid w:val="002D5A67"/>
    <w:rsid w:val="0032098D"/>
    <w:rsid w:val="003A56E2"/>
    <w:rsid w:val="004139CD"/>
    <w:rsid w:val="004310B9"/>
    <w:rsid w:val="00461B18"/>
    <w:rsid w:val="004D5C52"/>
    <w:rsid w:val="004D7E62"/>
    <w:rsid w:val="004D7EAD"/>
    <w:rsid w:val="00607502"/>
    <w:rsid w:val="00653C5E"/>
    <w:rsid w:val="0070405D"/>
    <w:rsid w:val="007A29B6"/>
    <w:rsid w:val="007B4C17"/>
    <w:rsid w:val="00856A17"/>
    <w:rsid w:val="008D5CBF"/>
    <w:rsid w:val="008F6C6D"/>
    <w:rsid w:val="00927BCC"/>
    <w:rsid w:val="009477F5"/>
    <w:rsid w:val="00984CA9"/>
    <w:rsid w:val="009B36E6"/>
    <w:rsid w:val="009B5BF5"/>
    <w:rsid w:val="00A11B63"/>
    <w:rsid w:val="00A11C5D"/>
    <w:rsid w:val="00A17988"/>
    <w:rsid w:val="00AA1BE6"/>
    <w:rsid w:val="00AD1004"/>
    <w:rsid w:val="00AD17B4"/>
    <w:rsid w:val="00AD3A92"/>
    <w:rsid w:val="00AF7A22"/>
    <w:rsid w:val="00B71F8F"/>
    <w:rsid w:val="00B9260E"/>
    <w:rsid w:val="00BC68A8"/>
    <w:rsid w:val="00BD0102"/>
    <w:rsid w:val="00BD1983"/>
    <w:rsid w:val="00C50E9E"/>
    <w:rsid w:val="00C873C5"/>
    <w:rsid w:val="00C95FB9"/>
    <w:rsid w:val="00CA2E59"/>
    <w:rsid w:val="00D22A20"/>
    <w:rsid w:val="00D376D5"/>
    <w:rsid w:val="00D758C6"/>
    <w:rsid w:val="00D81E5F"/>
    <w:rsid w:val="00DA07F0"/>
    <w:rsid w:val="00DE081F"/>
    <w:rsid w:val="00DE67FF"/>
    <w:rsid w:val="00F16673"/>
    <w:rsid w:val="00F21D2A"/>
    <w:rsid w:val="00F47895"/>
    <w:rsid w:val="00F76E7A"/>
    <w:rsid w:val="00FD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80E19"/>
  <w15:docId w15:val="{87D1D0E7-21E4-49D3-BAB2-4672A3E87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1565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5657"/>
  </w:style>
  <w:style w:type="paragraph" w:styleId="Rodap">
    <w:name w:val="footer"/>
    <w:basedOn w:val="Normal"/>
    <w:link w:val="RodapChar"/>
    <w:uiPriority w:val="99"/>
    <w:unhideWhenUsed/>
    <w:rsid w:val="0061565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5657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epargpadro"/>
    <w:uiPriority w:val="99"/>
    <w:unhideWhenUsed/>
    <w:rsid w:val="00F4789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47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lo.br/j/ape/a/zwYqV7D6CvP7k5ZTJjSM97n/?format=html&amp;lang=p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js.brazilianjournals.com.br/ojs/index.php/BJHR/article/view/7904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stasaudecoletiva.com.br/index.php/saudecoletiva/article/view/251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R4s9aw3upT3UzPyff9sCqINbOg==">CgMxLjA4AHIhMWpObnFkUFpqMHlDMWZyaHhEVXdLNTVna09ZRGZ3SDBz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Moraes</dc:creator>
  <cp:keywords/>
  <dc:description/>
  <cp:lastModifiedBy>Thalyta Linhares</cp:lastModifiedBy>
  <cp:revision>3</cp:revision>
  <dcterms:created xsi:type="dcterms:W3CDTF">2025-11-11T19:19:00Z</dcterms:created>
  <dcterms:modified xsi:type="dcterms:W3CDTF">2025-11-11T19:20:00Z</dcterms:modified>
</cp:coreProperties>
</file>