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6BC15A04" w:rsidR="001C450D" w:rsidRDefault="004A4F98" w:rsidP="001C4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educação financeira e as finanças domésticas: avaliação entre alunos de 7° e 8° ano de escola da rede municipal de Belo Horizonte – MG</w:t>
      </w:r>
    </w:p>
    <w:p w14:paraId="0215981C" w14:textId="73A73373" w:rsidR="004A4F98" w:rsidRPr="004A4F98" w:rsidRDefault="004A4F98" w:rsidP="004A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DC779" w14:textId="29E0D226" w:rsidR="004A4F98" w:rsidRDefault="004A4F98" w:rsidP="004A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Nathalia Bragança dos Santos</w:t>
      </w:r>
    </w:p>
    <w:p w14:paraId="30EABC78" w14:textId="2F85AF13" w:rsidR="004A4F98" w:rsidRDefault="00D14F71" w:rsidP="004A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Minas Gerais</w:t>
      </w:r>
    </w:p>
    <w:p w14:paraId="41DC031C" w14:textId="7844B346" w:rsidR="004A4F98" w:rsidRPr="004A4F98" w:rsidRDefault="004A4F98" w:rsidP="004A4F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nathalia_bragana@yahoo.com.br</w:t>
      </w:r>
    </w:p>
    <w:p w14:paraId="4D2AA702" w14:textId="7855E50B" w:rsidR="004A4F98" w:rsidRPr="004A4F98" w:rsidRDefault="004A4F98" w:rsidP="004A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0EB11" w14:textId="1485567E" w:rsidR="004A4F98" w:rsidRPr="004A4F98" w:rsidRDefault="004A4F98" w:rsidP="004A4F98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RESUMO</w:t>
      </w:r>
    </w:p>
    <w:p w14:paraId="39E6D8CC" w14:textId="77777777" w:rsidR="004A4F98" w:rsidRPr="004A4F98" w:rsidRDefault="004A4F98" w:rsidP="004A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B5FC" w14:textId="628110DF" w:rsidR="00967E52" w:rsidRDefault="00967E52" w:rsidP="0096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E52">
        <w:rPr>
          <w:rFonts w:ascii="Times New Roman" w:hAnsi="Times New Roman" w:cs="Times New Roman"/>
          <w:sz w:val="24"/>
          <w:szCs w:val="24"/>
        </w:rPr>
        <w:t xml:space="preserve">A educação financeira é um tema que deve ser amplamente estudado dentro do ensino formal visando à formação de </w:t>
      </w:r>
      <w:r w:rsidR="00E022E4">
        <w:rPr>
          <w:rFonts w:ascii="Times New Roman" w:hAnsi="Times New Roman" w:cs="Times New Roman"/>
          <w:sz w:val="24"/>
          <w:szCs w:val="24"/>
        </w:rPr>
        <w:t>cidadãos críticos e reflexivos. N</w:t>
      </w:r>
      <w:r w:rsidRPr="00967E52">
        <w:rPr>
          <w:rFonts w:ascii="Times New Roman" w:hAnsi="Times New Roman" w:cs="Times New Roman"/>
          <w:sz w:val="24"/>
          <w:szCs w:val="24"/>
        </w:rPr>
        <w:t xml:space="preserve">esse sentido a participação nas finanças domésticas é o primeiro contato que estudantes de 7° e 8° ano acabam tendo </w:t>
      </w:r>
      <w:r w:rsidR="00EC0785">
        <w:rPr>
          <w:rFonts w:ascii="Times New Roman" w:hAnsi="Times New Roman" w:cs="Times New Roman"/>
          <w:sz w:val="24"/>
          <w:szCs w:val="24"/>
        </w:rPr>
        <w:t>sobre</w:t>
      </w:r>
      <w:r w:rsidRPr="00967E52">
        <w:rPr>
          <w:rFonts w:ascii="Times New Roman" w:hAnsi="Times New Roman" w:cs="Times New Roman"/>
          <w:sz w:val="24"/>
          <w:szCs w:val="24"/>
        </w:rPr>
        <w:t xml:space="preserve"> controle financeiro. O presente artigo apresenta as considerações de pesquisa empírica exploratória realizada em escola municipal, buscando compreender qual a relação dos estudantes com as finanças domésticas e como isso pode influenciar em sua aprendizagem. </w:t>
      </w:r>
      <w:r w:rsidR="00E022E4">
        <w:rPr>
          <w:rFonts w:ascii="Times New Roman" w:hAnsi="Times New Roman" w:cs="Times New Roman"/>
          <w:sz w:val="24"/>
          <w:szCs w:val="24"/>
        </w:rPr>
        <w:t>Foi observado</w:t>
      </w:r>
      <w:r w:rsidRPr="00967E52">
        <w:rPr>
          <w:rFonts w:ascii="Times New Roman" w:hAnsi="Times New Roman" w:cs="Times New Roman"/>
          <w:sz w:val="24"/>
          <w:szCs w:val="24"/>
        </w:rPr>
        <w:t xml:space="preserve"> que a maior parte dos estudantes não recebe mesada e não realiza nenhum tipo de atividade remunerada, mas recebe informações sobre finanças em casa e participa das escolhas de compra.</w:t>
      </w:r>
    </w:p>
    <w:p w14:paraId="5B755DFE" w14:textId="77777777" w:rsidR="004806F2" w:rsidRPr="00967E52" w:rsidRDefault="004806F2" w:rsidP="00967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F6419" w14:textId="77777777" w:rsidR="00DF4251" w:rsidRPr="00F3142B" w:rsidRDefault="00900B34" w:rsidP="00DF42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DF4251" w:rsidRPr="00DF4251">
        <w:rPr>
          <w:rFonts w:ascii="Times New Roman" w:hAnsi="Times New Roman" w:cs="Times New Roman"/>
          <w:sz w:val="24"/>
          <w:szCs w:val="24"/>
        </w:rPr>
        <w:t xml:space="preserve">Educação financeira. Finanças domésticas. Matemática. Ensino fundamental. </w:t>
      </w:r>
    </w:p>
    <w:p w14:paraId="7A498ADC" w14:textId="77777777" w:rsidR="004A4F98" w:rsidRDefault="004A4F98" w:rsidP="004A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54404" w14:textId="5D35F6CA" w:rsidR="004A4F98" w:rsidRPr="004A4F98" w:rsidRDefault="004A4F98" w:rsidP="004A4F98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4F98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14:paraId="28DF541A" w14:textId="77777777" w:rsidR="004A4F98" w:rsidRPr="004A4F98" w:rsidRDefault="004A4F98" w:rsidP="004A4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D4CCD" w14:textId="7AE90286" w:rsidR="004A4F98" w:rsidRPr="004A4F98" w:rsidRDefault="004A4F98" w:rsidP="004A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98">
        <w:rPr>
          <w:rFonts w:ascii="Times New Roman" w:hAnsi="Times New Roman" w:cs="Times New Roman"/>
          <w:sz w:val="24"/>
          <w:szCs w:val="24"/>
        </w:rPr>
        <w:t>A matemática é uma ciência em constante evolução, tendo grande aplicação social e na formação de cidadãos críticos e atuantes na sociedade. Os conhecimentos envolvidos na aprendizagem matemática vão muito além de simples cálculos de somar, multiplicar, subtrair e dividir, compreendendo a análise de gráficos e tabelas; análise de problemas cotidianos e também a aplicação de seus conceitos na validação de estratégias e resultados.</w:t>
      </w:r>
    </w:p>
    <w:p w14:paraId="1AB80853" w14:textId="77CF6B97" w:rsidR="004A4F98" w:rsidRPr="004A4F98" w:rsidRDefault="004A4F98" w:rsidP="004A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98">
        <w:rPr>
          <w:rFonts w:ascii="Times New Roman" w:hAnsi="Times New Roman" w:cs="Times New Roman"/>
          <w:sz w:val="24"/>
          <w:szCs w:val="24"/>
        </w:rPr>
        <w:lastRenderedPageBreak/>
        <w:t>A matemática também é uma ciência ampla, com várias ramificações como a álgebra, geometria</w:t>
      </w:r>
      <w:r w:rsidR="00E022E4">
        <w:rPr>
          <w:rFonts w:ascii="Times New Roman" w:hAnsi="Times New Roman" w:cs="Times New Roman"/>
          <w:sz w:val="24"/>
          <w:szCs w:val="24"/>
        </w:rPr>
        <w:t xml:space="preserve">, aritmética </w:t>
      </w:r>
      <w:r w:rsidR="007F1BBC">
        <w:rPr>
          <w:rFonts w:ascii="Times New Roman" w:hAnsi="Times New Roman" w:cs="Times New Roman"/>
          <w:sz w:val="24"/>
          <w:szCs w:val="24"/>
        </w:rPr>
        <w:t>e</w:t>
      </w:r>
      <w:r w:rsidR="00E022E4">
        <w:rPr>
          <w:rFonts w:ascii="Times New Roman" w:hAnsi="Times New Roman" w:cs="Times New Roman"/>
          <w:sz w:val="24"/>
          <w:szCs w:val="24"/>
        </w:rPr>
        <w:t xml:space="preserve"> outras. Mas</w:t>
      </w:r>
      <w:r w:rsidRPr="004A4F98">
        <w:rPr>
          <w:rFonts w:ascii="Times New Roman" w:hAnsi="Times New Roman" w:cs="Times New Roman"/>
          <w:sz w:val="24"/>
          <w:szCs w:val="24"/>
        </w:rPr>
        <w:t xml:space="preserve"> uma área que possui grande relevância para a vida prática é a matemática financeira que engloba diversos conceitos voltados para a análise e as </w:t>
      </w:r>
      <w:r w:rsidR="007F1BBC" w:rsidRPr="004A4F98">
        <w:rPr>
          <w:rFonts w:ascii="Times New Roman" w:hAnsi="Times New Roman" w:cs="Times New Roman"/>
          <w:sz w:val="24"/>
          <w:szCs w:val="24"/>
        </w:rPr>
        <w:t>mudanças</w:t>
      </w:r>
      <w:r w:rsidRPr="004A4F98">
        <w:rPr>
          <w:rFonts w:ascii="Times New Roman" w:hAnsi="Times New Roman" w:cs="Times New Roman"/>
          <w:sz w:val="24"/>
          <w:szCs w:val="24"/>
        </w:rPr>
        <w:t xml:space="preserve"> </w:t>
      </w:r>
      <w:r w:rsidR="00AE1499" w:rsidRPr="004A4F98">
        <w:rPr>
          <w:rFonts w:ascii="Times New Roman" w:hAnsi="Times New Roman" w:cs="Times New Roman"/>
          <w:sz w:val="24"/>
          <w:szCs w:val="24"/>
        </w:rPr>
        <w:t>econômi</w:t>
      </w:r>
      <w:r w:rsidR="00AE1499">
        <w:rPr>
          <w:rFonts w:ascii="Times New Roman" w:hAnsi="Times New Roman" w:cs="Times New Roman"/>
          <w:sz w:val="24"/>
          <w:szCs w:val="24"/>
        </w:rPr>
        <w:t>c</w:t>
      </w:r>
      <w:r w:rsidR="00AE1499" w:rsidRPr="004A4F98">
        <w:rPr>
          <w:rFonts w:ascii="Times New Roman" w:hAnsi="Times New Roman" w:cs="Times New Roman"/>
          <w:sz w:val="24"/>
          <w:szCs w:val="24"/>
        </w:rPr>
        <w:t>as</w:t>
      </w:r>
      <w:r w:rsidRPr="004A4F98">
        <w:rPr>
          <w:rFonts w:ascii="Times New Roman" w:hAnsi="Times New Roman" w:cs="Times New Roman"/>
          <w:sz w:val="24"/>
          <w:szCs w:val="24"/>
        </w:rPr>
        <w:t xml:space="preserve">, usando a moeda como base de cálculo. Sendo a moeda e sua movimentação uma habilidade usada diariamente, essa é uma competência necessária a todo cidadão.   </w:t>
      </w:r>
    </w:p>
    <w:p w14:paraId="71BABAAE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89AB3" w14:textId="123E97C6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JUSTIFICATIVA E PROBLEMA DE PESQUISA </w:t>
      </w:r>
    </w:p>
    <w:p w14:paraId="307397AD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4D587" w14:textId="526EDD83" w:rsidR="00D45A34" w:rsidRPr="004A4F98" w:rsidRDefault="00D45A34" w:rsidP="00D4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98">
        <w:rPr>
          <w:rFonts w:ascii="Times New Roman" w:hAnsi="Times New Roman" w:cs="Times New Roman"/>
          <w:sz w:val="24"/>
          <w:szCs w:val="24"/>
        </w:rPr>
        <w:t xml:space="preserve">A matemática é uma ciência que deve contribuir com a formação dos indivíduos, de modo que eles estejam </w:t>
      </w:r>
      <w:r w:rsidR="00AE1499">
        <w:rPr>
          <w:rFonts w:ascii="Times New Roman" w:hAnsi="Times New Roman" w:cs="Times New Roman"/>
          <w:sz w:val="24"/>
          <w:szCs w:val="24"/>
        </w:rPr>
        <w:t>aptos</w:t>
      </w:r>
      <w:r w:rsidRPr="004A4F98">
        <w:rPr>
          <w:rFonts w:ascii="Times New Roman" w:hAnsi="Times New Roman" w:cs="Times New Roman"/>
          <w:sz w:val="24"/>
          <w:szCs w:val="24"/>
        </w:rPr>
        <w:t xml:space="preserve"> para lidar com questões de urgência social e prevendo o impacto de suas ações no cotidiano e, </w:t>
      </w:r>
      <w:r w:rsidR="007F1BBC">
        <w:rPr>
          <w:rFonts w:ascii="Times New Roman" w:hAnsi="Times New Roman" w:cs="Times New Roman"/>
          <w:sz w:val="24"/>
          <w:szCs w:val="24"/>
        </w:rPr>
        <w:t>sobretudo</w:t>
      </w:r>
      <w:r w:rsidRPr="004A4F98">
        <w:rPr>
          <w:rFonts w:ascii="Times New Roman" w:hAnsi="Times New Roman" w:cs="Times New Roman"/>
          <w:sz w:val="24"/>
          <w:szCs w:val="24"/>
        </w:rPr>
        <w:t xml:space="preserve">, no mundo do trabalho. </w:t>
      </w:r>
      <w:r w:rsidR="00AE1499">
        <w:rPr>
          <w:rFonts w:ascii="Times New Roman" w:hAnsi="Times New Roman" w:cs="Times New Roman"/>
          <w:sz w:val="24"/>
          <w:szCs w:val="24"/>
        </w:rPr>
        <w:t>O tema</w:t>
      </w:r>
      <w:r w:rsidRPr="004A4F98">
        <w:rPr>
          <w:rFonts w:ascii="Times New Roman" w:hAnsi="Times New Roman" w:cs="Times New Roman"/>
          <w:sz w:val="24"/>
          <w:szCs w:val="24"/>
        </w:rPr>
        <w:t xml:space="preserve"> </w:t>
      </w:r>
      <w:r w:rsidR="00AE1499">
        <w:rPr>
          <w:rFonts w:ascii="Times New Roman" w:hAnsi="Times New Roman" w:cs="Times New Roman"/>
          <w:sz w:val="24"/>
          <w:szCs w:val="24"/>
        </w:rPr>
        <w:t>finanças deve ser abordado</w:t>
      </w:r>
      <w:r w:rsidRPr="004A4F98">
        <w:rPr>
          <w:rFonts w:ascii="Times New Roman" w:hAnsi="Times New Roman" w:cs="Times New Roman"/>
          <w:sz w:val="24"/>
          <w:szCs w:val="24"/>
        </w:rPr>
        <w:t xml:space="preserve"> de forma transversal na disciplina, visando formar indivíduos que não endossem as estatísticas de endividados no país, além de permitir que as crianças cresçam sabendo lidar com o dinheiro. </w:t>
      </w:r>
    </w:p>
    <w:p w14:paraId="53206E04" w14:textId="481224CC" w:rsidR="00D45A34" w:rsidRDefault="00D45A34" w:rsidP="00D4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98">
        <w:rPr>
          <w:rFonts w:ascii="Times New Roman" w:hAnsi="Times New Roman" w:cs="Times New Roman"/>
          <w:sz w:val="24"/>
          <w:szCs w:val="24"/>
        </w:rPr>
        <w:t xml:space="preserve">Diante disso, qual a compreensão que os alunos de 7° e 8° ano do ensino fundamental, da escola analisada, possuem </w:t>
      </w:r>
      <w:r w:rsidR="0052254C">
        <w:rPr>
          <w:rFonts w:ascii="Times New Roman" w:hAnsi="Times New Roman" w:cs="Times New Roman"/>
          <w:sz w:val="24"/>
          <w:szCs w:val="24"/>
        </w:rPr>
        <w:t>sobre</w:t>
      </w:r>
      <w:r w:rsidRPr="004A4F98">
        <w:rPr>
          <w:rFonts w:ascii="Times New Roman" w:hAnsi="Times New Roman" w:cs="Times New Roman"/>
          <w:sz w:val="24"/>
          <w:szCs w:val="24"/>
        </w:rPr>
        <w:t xml:space="preserve"> as finanças domésticas e questões sociais e como isso pode influenciar a sua aprendizagem? </w:t>
      </w:r>
    </w:p>
    <w:p w14:paraId="7053F937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049BF" w14:textId="17F460D5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OBJETIVOS DA PESQUISA</w:t>
      </w:r>
    </w:p>
    <w:p w14:paraId="18AA124F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33A" w14:textId="0CDF333C" w:rsidR="00D07157" w:rsidRDefault="00D07157" w:rsidP="00D0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98">
        <w:rPr>
          <w:rFonts w:ascii="Times New Roman" w:hAnsi="Times New Roman" w:cs="Times New Roman"/>
          <w:sz w:val="24"/>
          <w:szCs w:val="24"/>
        </w:rPr>
        <w:t xml:space="preserve">Assim, o objetivo do estudo foi compreender o entendimento dos alunos em relação à educação financeira e como o docente pode melhorar o ensino </w:t>
      </w:r>
      <w:r w:rsidR="0052254C">
        <w:rPr>
          <w:rFonts w:ascii="Times New Roman" w:hAnsi="Times New Roman" w:cs="Times New Roman"/>
          <w:sz w:val="24"/>
          <w:szCs w:val="24"/>
        </w:rPr>
        <w:t>desse tema</w:t>
      </w:r>
      <w:r w:rsidRPr="004A4F98">
        <w:rPr>
          <w:rFonts w:ascii="Times New Roman" w:hAnsi="Times New Roman" w:cs="Times New Roman"/>
          <w:sz w:val="24"/>
          <w:szCs w:val="24"/>
        </w:rPr>
        <w:t xml:space="preserve"> no próximo ano letivo, buscando inserir o assunto como tema transversal sempre que possível, a partir dos conhecimentos prévios dos estudantes, bem como de sua realidade.</w:t>
      </w:r>
    </w:p>
    <w:p w14:paraId="44926D0D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E547A" w14:textId="14AC782A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REFERENCIAL TEÓRICO</w:t>
      </w:r>
    </w:p>
    <w:p w14:paraId="63ABB478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890A8" w14:textId="48F66265" w:rsidR="00900B34" w:rsidRDefault="008F7870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mês de junho de 2021 apresentou 69,7% de endividamento das famílias brasileiras (G1, 2021), um indicador preocupante e que tem como principais vilões o cheque pré-datado e o cheque especial (ASSÉ, 2021). A situação financeira e econômica de um indivíduo tem relação com diversos fatores, mas </w:t>
      </w:r>
      <w:r w:rsidR="00AE1499">
        <w:rPr>
          <w:rFonts w:ascii="Times New Roman" w:hAnsi="Times New Roman" w:cs="Times New Roman"/>
          <w:sz w:val="24"/>
          <w:szCs w:val="24"/>
        </w:rPr>
        <w:t>basicamente</w:t>
      </w:r>
      <w:r>
        <w:rPr>
          <w:rFonts w:ascii="Times New Roman" w:hAnsi="Times New Roman" w:cs="Times New Roman"/>
          <w:sz w:val="24"/>
          <w:szCs w:val="24"/>
        </w:rPr>
        <w:t xml:space="preserve"> com suas relações familiares e pessoais (AMBIMA, 2021).</w:t>
      </w:r>
    </w:p>
    <w:p w14:paraId="5EFD6FA7" w14:textId="5ECF4215" w:rsidR="00185317" w:rsidRDefault="00185317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financeira tem por objetivo tornar o indivíduo mais consciente das decisões que envolvem o capital, sendo que várias variáveis estão envolvidas nesse processo. A educação financeira é capaz de promover o desenvolvimento econômico, pois decisões financeiras individuais </w:t>
      </w:r>
      <w:r w:rsidR="0052254C">
        <w:rPr>
          <w:rFonts w:ascii="Times New Roman" w:hAnsi="Times New Roman" w:cs="Times New Roman"/>
          <w:sz w:val="24"/>
          <w:szCs w:val="24"/>
        </w:rPr>
        <w:t>afetam</w:t>
      </w:r>
      <w:r>
        <w:rPr>
          <w:rFonts w:ascii="Times New Roman" w:hAnsi="Times New Roman" w:cs="Times New Roman"/>
          <w:sz w:val="24"/>
          <w:szCs w:val="24"/>
        </w:rPr>
        <w:t xml:space="preserve"> toda a economia (</w:t>
      </w:r>
      <w:r w:rsidRPr="00185317">
        <w:rPr>
          <w:rFonts w:ascii="Times New Roman" w:hAnsi="Times New Roman" w:cs="Times New Roman"/>
          <w:sz w:val="24"/>
          <w:szCs w:val="24"/>
        </w:rPr>
        <w:t>CAMPOS; TEIXEIRA; COUTINHO, 2015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BB5B7B9" w14:textId="2BF1A074" w:rsidR="00D84C6C" w:rsidRDefault="00D84C6C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Currículo Referênci</w:t>
      </w:r>
      <w:r w:rsidR="00173F0F">
        <w:rPr>
          <w:rFonts w:ascii="Times New Roman" w:hAnsi="Times New Roman" w:cs="Times New Roman"/>
          <w:sz w:val="24"/>
          <w:szCs w:val="24"/>
        </w:rPr>
        <w:t xml:space="preserve">a de Minas Gerais prevê a educação financeira no ensino básico regular, trabalhado como tema transversal, além de afirmar que a matemática deve contribuir para a formação de indivíduos críticos e reflexivos, </w:t>
      </w:r>
      <w:r w:rsidR="0052254C">
        <w:rPr>
          <w:rFonts w:ascii="Times New Roman" w:hAnsi="Times New Roman" w:cs="Times New Roman"/>
          <w:sz w:val="24"/>
          <w:szCs w:val="24"/>
        </w:rPr>
        <w:t>apto</w:t>
      </w:r>
      <w:r w:rsidR="00173F0F">
        <w:rPr>
          <w:rFonts w:ascii="Times New Roman" w:hAnsi="Times New Roman" w:cs="Times New Roman"/>
          <w:sz w:val="24"/>
          <w:szCs w:val="24"/>
        </w:rPr>
        <w:t>s para a vida em sociedade (CRMG, 2020).</w:t>
      </w:r>
    </w:p>
    <w:p w14:paraId="1A3F57B5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479D9" w14:textId="77972DDD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METODOLOGIA</w:t>
      </w:r>
    </w:p>
    <w:p w14:paraId="2B932B10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373E" w14:textId="3DC6C472" w:rsidR="002D2825" w:rsidRDefault="0091177F" w:rsidP="0091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7F">
        <w:rPr>
          <w:rFonts w:ascii="Times New Roman" w:hAnsi="Times New Roman" w:cs="Times New Roman"/>
          <w:sz w:val="24"/>
          <w:szCs w:val="24"/>
        </w:rPr>
        <w:t xml:space="preserve">Na construção do artigo foi realizada uma revisão bibliográfica, para embasar os principais conceitos necessários na construção do artigo. A pesquisa </w:t>
      </w:r>
      <w:r w:rsidR="002D2825">
        <w:rPr>
          <w:rFonts w:ascii="Times New Roman" w:hAnsi="Times New Roman" w:cs="Times New Roman"/>
          <w:sz w:val="24"/>
          <w:szCs w:val="24"/>
        </w:rPr>
        <w:t xml:space="preserve">pode ser caracterizada como </w:t>
      </w:r>
      <w:r w:rsidRPr="0091177F">
        <w:rPr>
          <w:rFonts w:ascii="Times New Roman" w:hAnsi="Times New Roman" w:cs="Times New Roman"/>
          <w:sz w:val="24"/>
          <w:szCs w:val="24"/>
        </w:rPr>
        <w:t xml:space="preserve">empírica </w:t>
      </w:r>
      <w:r w:rsidR="002D2825">
        <w:rPr>
          <w:rFonts w:ascii="Times New Roman" w:hAnsi="Times New Roman" w:cs="Times New Roman"/>
          <w:sz w:val="24"/>
          <w:szCs w:val="24"/>
        </w:rPr>
        <w:t>e</w:t>
      </w:r>
      <w:r w:rsidRPr="0091177F">
        <w:rPr>
          <w:rFonts w:ascii="Times New Roman" w:hAnsi="Times New Roman" w:cs="Times New Roman"/>
          <w:sz w:val="24"/>
          <w:szCs w:val="24"/>
        </w:rPr>
        <w:t xml:space="preserve"> exploratória quanto aos objetivos e utiliza-se do survey como </w:t>
      </w:r>
      <w:r w:rsidR="00315B09" w:rsidRPr="0091177F">
        <w:rPr>
          <w:rFonts w:ascii="Times New Roman" w:hAnsi="Times New Roman" w:cs="Times New Roman"/>
          <w:sz w:val="24"/>
          <w:szCs w:val="24"/>
        </w:rPr>
        <w:t>método</w:t>
      </w:r>
      <w:r w:rsidRPr="0091177F">
        <w:rPr>
          <w:rFonts w:ascii="Times New Roman" w:hAnsi="Times New Roman" w:cs="Times New Roman"/>
          <w:sz w:val="24"/>
          <w:szCs w:val="24"/>
        </w:rPr>
        <w:t xml:space="preserve"> técnico. </w:t>
      </w:r>
    </w:p>
    <w:p w14:paraId="7D537634" w14:textId="0D6B2DE5" w:rsidR="0091177F" w:rsidRPr="0091177F" w:rsidRDefault="0091177F" w:rsidP="0091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7F">
        <w:rPr>
          <w:rFonts w:ascii="Times New Roman" w:hAnsi="Times New Roman" w:cs="Times New Roman"/>
          <w:sz w:val="24"/>
          <w:szCs w:val="24"/>
        </w:rPr>
        <w:t xml:space="preserve">Para a construção desse artigo a coleta de dados foi feita por meio de entrevistas com </w:t>
      </w:r>
      <w:r w:rsidR="002D2825">
        <w:rPr>
          <w:rFonts w:ascii="Times New Roman" w:hAnsi="Times New Roman" w:cs="Times New Roman"/>
          <w:sz w:val="24"/>
          <w:szCs w:val="24"/>
        </w:rPr>
        <w:t xml:space="preserve">um </w:t>
      </w:r>
      <w:r w:rsidRPr="0091177F">
        <w:rPr>
          <w:rFonts w:ascii="Times New Roman" w:hAnsi="Times New Roman" w:cs="Times New Roman"/>
          <w:sz w:val="24"/>
          <w:szCs w:val="24"/>
        </w:rPr>
        <w:t xml:space="preserve">questionário semiestruturado com 89 estudantes do 7° e 8° ano de uma escola pública da rede municipal da cidade de Belo Horizonte – MG. As entrevistas foram realizadas entre os dias 09 e 10 de dezembro de 2019, usando questionário impresso, </w:t>
      </w:r>
      <w:r w:rsidR="002D2825">
        <w:rPr>
          <w:rFonts w:ascii="Times New Roman" w:hAnsi="Times New Roman" w:cs="Times New Roman"/>
          <w:sz w:val="24"/>
          <w:szCs w:val="24"/>
        </w:rPr>
        <w:t xml:space="preserve">distribuído </w:t>
      </w:r>
      <w:r w:rsidRPr="0091177F">
        <w:rPr>
          <w:rFonts w:ascii="Times New Roman" w:hAnsi="Times New Roman" w:cs="Times New Roman"/>
          <w:sz w:val="24"/>
          <w:szCs w:val="24"/>
        </w:rPr>
        <w:t xml:space="preserve">em sala de aula. Por meio das entrevistas foi possível coletar </w:t>
      </w:r>
      <w:r w:rsidR="00AE1499" w:rsidRPr="0091177F">
        <w:rPr>
          <w:rFonts w:ascii="Times New Roman" w:hAnsi="Times New Roman" w:cs="Times New Roman"/>
          <w:sz w:val="24"/>
          <w:szCs w:val="24"/>
        </w:rPr>
        <w:t>dados</w:t>
      </w:r>
      <w:r w:rsidRPr="0091177F">
        <w:rPr>
          <w:rFonts w:ascii="Times New Roman" w:hAnsi="Times New Roman" w:cs="Times New Roman"/>
          <w:sz w:val="24"/>
          <w:szCs w:val="24"/>
        </w:rPr>
        <w:t xml:space="preserve"> relevantes que permitiram perceber a relação dos estudantes com as finanças domésticas e a relação que eles possuem com a educação financeira, bem como compreender qual o impacto de aulas passadas a respeito da temática.</w:t>
      </w:r>
    </w:p>
    <w:p w14:paraId="17AD80BA" w14:textId="58820C4B" w:rsidR="0091177F" w:rsidRPr="0091177F" w:rsidRDefault="0091177F" w:rsidP="0091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7F">
        <w:rPr>
          <w:rFonts w:ascii="Times New Roman" w:hAnsi="Times New Roman" w:cs="Times New Roman"/>
          <w:sz w:val="24"/>
          <w:szCs w:val="24"/>
        </w:rPr>
        <w:t xml:space="preserve">Na fase de análise dos dados, as perguntas foram tabuladas e serão apresentadas em forma de gráficos. Como todos os alunos são estudantes de uma mesma escola e se concentram em apenas dois anos escolares, 7° e 8°, tendo idade entre 12 e 13 anos, e moram nas </w:t>
      </w:r>
      <w:r w:rsidR="00315B09">
        <w:rPr>
          <w:rFonts w:ascii="Times New Roman" w:hAnsi="Times New Roman" w:cs="Times New Roman"/>
          <w:sz w:val="24"/>
          <w:szCs w:val="24"/>
        </w:rPr>
        <w:t xml:space="preserve">proximidades </w:t>
      </w:r>
      <w:r w:rsidRPr="0091177F">
        <w:rPr>
          <w:rFonts w:ascii="Times New Roman" w:hAnsi="Times New Roman" w:cs="Times New Roman"/>
          <w:sz w:val="24"/>
          <w:szCs w:val="24"/>
        </w:rPr>
        <w:t xml:space="preserve">da escola, não </w:t>
      </w:r>
      <w:r w:rsidR="002D2825">
        <w:rPr>
          <w:rFonts w:ascii="Times New Roman" w:hAnsi="Times New Roman" w:cs="Times New Roman"/>
          <w:sz w:val="24"/>
          <w:szCs w:val="24"/>
        </w:rPr>
        <w:t>foram feitas</w:t>
      </w:r>
      <w:r w:rsidRPr="0091177F">
        <w:rPr>
          <w:rFonts w:ascii="Times New Roman" w:hAnsi="Times New Roman" w:cs="Times New Roman"/>
          <w:sz w:val="24"/>
          <w:szCs w:val="24"/>
        </w:rPr>
        <w:t xml:space="preserve"> perguntas de caracterização </w:t>
      </w:r>
      <w:r w:rsidR="00315B09">
        <w:rPr>
          <w:rFonts w:ascii="Times New Roman" w:hAnsi="Times New Roman" w:cs="Times New Roman"/>
          <w:sz w:val="24"/>
          <w:szCs w:val="24"/>
        </w:rPr>
        <w:t>dos alunos.</w:t>
      </w:r>
      <w:r w:rsidRPr="00911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169F3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A8AD5" w14:textId="30AA6CD0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RESULTADOS E DISCUSSÃO</w:t>
      </w:r>
    </w:p>
    <w:p w14:paraId="2CCCFB73" w14:textId="77777777" w:rsidR="00900B34" w:rsidRPr="004A4F98" w:rsidRDefault="00900B34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D7DD2" w14:textId="7D4B6C7A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 xml:space="preserve">A Figura 1 apresenta os dados </w:t>
      </w:r>
      <w:r w:rsidR="00315B09" w:rsidRPr="000D4987">
        <w:rPr>
          <w:rFonts w:ascii="Times New Roman" w:hAnsi="Times New Roman" w:cs="Times New Roman"/>
          <w:sz w:val="24"/>
          <w:szCs w:val="24"/>
        </w:rPr>
        <w:t>resumidos</w:t>
      </w:r>
      <w:r w:rsidRPr="000D4987">
        <w:rPr>
          <w:rFonts w:ascii="Times New Roman" w:hAnsi="Times New Roman" w:cs="Times New Roman"/>
          <w:sz w:val="24"/>
          <w:szCs w:val="24"/>
        </w:rPr>
        <w:t xml:space="preserve"> dos questionamentos realizados aos estudantes.</w:t>
      </w:r>
    </w:p>
    <w:p w14:paraId="6F60A193" w14:textId="77777777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8F111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3C4CE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15F90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4CB12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4EBD1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EA299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8769B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CBD9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51B22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867C0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C3BE6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26CDE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31157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E8F8C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75322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9229D" w14:textId="77777777" w:rsidR="00FB542C" w:rsidRDefault="00FB542C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F40F3" w14:textId="77777777" w:rsidR="00315B09" w:rsidRDefault="00315B09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787E0" w14:textId="77777777" w:rsidR="00315B09" w:rsidRDefault="00315B09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6B8D4" w14:textId="77777777" w:rsidR="00315B09" w:rsidRDefault="00315B09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37EC2" w14:textId="36E48247" w:rsidR="000D4987" w:rsidRPr="000D4987" w:rsidRDefault="000D4987" w:rsidP="00645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Figura 1: </w:t>
      </w:r>
      <w:r w:rsidRPr="000D4987">
        <w:rPr>
          <w:rFonts w:ascii="Times New Roman" w:hAnsi="Times New Roman" w:cs="Times New Roman"/>
          <w:sz w:val="24"/>
          <w:szCs w:val="24"/>
        </w:rPr>
        <w:t>Resultados da entrevista</w:t>
      </w:r>
    </w:p>
    <w:p w14:paraId="11C2CA25" w14:textId="77777777" w:rsidR="000D4987" w:rsidRPr="00A35606" w:rsidRDefault="000D4987" w:rsidP="006451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76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C2FD4B" wp14:editId="7D96D79C">
            <wp:extent cx="3629025" cy="3651289"/>
            <wp:effectExtent l="0" t="0" r="0" b="6350"/>
            <wp:docPr id="2" name="Imagem 2" descr="C:\Users\Natalia\Dropbox\Casal\2021.2\Nathalia Santos\Artigo\D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ropbox\Casal\2021.2\Nathalia Santos\Artigo\D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 r="40299" b="3568"/>
                    <a:stretch/>
                  </pic:blipFill>
                  <pic:spPr bwMode="auto">
                    <a:xfrm>
                      <a:off x="0" y="0"/>
                      <a:ext cx="3631785" cy="36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1B5F8" w14:textId="77777777" w:rsidR="000D4987" w:rsidRPr="000D4987" w:rsidRDefault="000D4987" w:rsidP="006451E9">
      <w:pPr>
        <w:spacing w:after="0" w:line="240" w:lineRule="auto"/>
        <w:ind w:left="1415" w:firstLine="1"/>
        <w:jc w:val="both"/>
        <w:rPr>
          <w:rFonts w:ascii="Times New Roman" w:hAnsi="Times New Roman" w:cs="Times New Roman"/>
          <w:sz w:val="20"/>
          <w:szCs w:val="20"/>
        </w:rPr>
      </w:pPr>
      <w:r w:rsidRPr="000D4987">
        <w:rPr>
          <w:rFonts w:ascii="Times New Roman" w:hAnsi="Times New Roman" w:cs="Times New Roman"/>
          <w:b/>
          <w:sz w:val="20"/>
          <w:szCs w:val="20"/>
        </w:rPr>
        <w:t xml:space="preserve">    Fonte: </w:t>
      </w:r>
      <w:r w:rsidRPr="000D4987">
        <w:rPr>
          <w:rFonts w:ascii="Times New Roman" w:hAnsi="Times New Roman" w:cs="Times New Roman"/>
          <w:sz w:val="20"/>
          <w:szCs w:val="20"/>
        </w:rPr>
        <w:t>autora (2021)</w:t>
      </w:r>
    </w:p>
    <w:p w14:paraId="203EE4B4" w14:textId="77777777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89FBD" w14:textId="2AECB1CB" w:rsidR="000D4987" w:rsidRPr="000D4987" w:rsidRDefault="00AE1499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0D4987" w:rsidRPr="000D4987">
        <w:rPr>
          <w:rFonts w:ascii="Times New Roman" w:hAnsi="Times New Roman" w:cs="Times New Roman"/>
          <w:sz w:val="24"/>
          <w:szCs w:val="24"/>
        </w:rPr>
        <w:t xml:space="preserve"> primeiro questionamento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4987" w:rsidRPr="000D4987">
        <w:rPr>
          <w:rFonts w:ascii="Times New Roman" w:hAnsi="Times New Roman" w:cs="Times New Roman"/>
          <w:sz w:val="24"/>
          <w:szCs w:val="24"/>
        </w:rPr>
        <w:t xml:space="preserve"> sobre o recebimento de mesada, 82% disse </w:t>
      </w:r>
      <w:r>
        <w:rPr>
          <w:rFonts w:ascii="Times New Roman" w:hAnsi="Times New Roman" w:cs="Times New Roman"/>
          <w:sz w:val="24"/>
          <w:szCs w:val="24"/>
        </w:rPr>
        <w:t>não recebe</w:t>
      </w:r>
      <w:r w:rsidR="00315B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Na sequência foram</w:t>
      </w:r>
      <w:r w:rsidR="000D4987" w:rsidRPr="000D4987">
        <w:rPr>
          <w:rFonts w:ascii="Times New Roman" w:hAnsi="Times New Roman" w:cs="Times New Roman"/>
          <w:sz w:val="24"/>
          <w:szCs w:val="24"/>
        </w:rPr>
        <w:t xml:space="preserve"> perguntados se realizam alguma atividade para obter recursos financeiros </w:t>
      </w:r>
      <w:r w:rsidR="00315B09">
        <w:rPr>
          <w:rFonts w:ascii="Times New Roman" w:hAnsi="Times New Roman" w:cs="Times New Roman"/>
          <w:sz w:val="24"/>
          <w:szCs w:val="24"/>
        </w:rPr>
        <w:t>e</w:t>
      </w:r>
      <w:r w:rsidR="000D4987" w:rsidRPr="000D4987">
        <w:rPr>
          <w:rFonts w:ascii="Times New Roman" w:hAnsi="Times New Roman" w:cs="Times New Roman"/>
          <w:sz w:val="24"/>
          <w:szCs w:val="24"/>
        </w:rPr>
        <w:t xml:space="preserve"> 38% disseram que </w:t>
      </w:r>
      <w:r>
        <w:rPr>
          <w:rFonts w:ascii="Times New Roman" w:hAnsi="Times New Roman" w:cs="Times New Roman"/>
          <w:sz w:val="24"/>
          <w:szCs w:val="24"/>
        </w:rPr>
        <w:t xml:space="preserve">sim. </w:t>
      </w:r>
      <w:r w:rsidRPr="000D4987">
        <w:rPr>
          <w:rFonts w:ascii="Times New Roman" w:hAnsi="Times New Roman" w:cs="Times New Roman"/>
          <w:sz w:val="24"/>
          <w:szCs w:val="24"/>
        </w:rPr>
        <w:t>O</w:t>
      </w:r>
      <w:r w:rsidR="000D4987" w:rsidRPr="000D4987">
        <w:rPr>
          <w:rFonts w:ascii="Times New Roman" w:hAnsi="Times New Roman" w:cs="Times New Roman"/>
          <w:sz w:val="24"/>
          <w:szCs w:val="24"/>
        </w:rPr>
        <w:t xml:space="preserve"> Quadro 1 apresenta as atividades citadas. </w:t>
      </w:r>
    </w:p>
    <w:p w14:paraId="3C74E10A" w14:textId="77777777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A0C21" w14:textId="77777777" w:rsidR="000D4987" w:rsidRPr="000D4987" w:rsidRDefault="000D4987" w:rsidP="000D4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b/>
          <w:sz w:val="24"/>
          <w:szCs w:val="24"/>
        </w:rPr>
        <w:t xml:space="preserve">Quadro 1: </w:t>
      </w:r>
      <w:r w:rsidRPr="000D4987">
        <w:rPr>
          <w:rFonts w:ascii="Times New Roman" w:hAnsi="Times New Roman" w:cs="Times New Roman"/>
          <w:sz w:val="24"/>
          <w:szCs w:val="24"/>
        </w:rPr>
        <w:t>Atividades realizadas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3130"/>
      </w:tblGrid>
      <w:tr w:rsidR="000D4987" w:rsidRPr="000D4987" w14:paraId="38E5F7FB" w14:textId="77777777" w:rsidTr="00C60E7F">
        <w:trPr>
          <w:jc w:val="center"/>
        </w:trPr>
        <w:tc>
          <w:tcPr>
            <w:tcW w:w="2759" w:type="dxa"/>
          </w:tcPr>
          <w:p w14:paraId="2FE0437A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987">
              <w:rPr>
                <w:rFonts w:ascii="Times New Roman" w:hAnsi="Times New Roman" w:cs="Times New Roman"/>
                <w:b/>
              </w:rPr>
              <w:t>Quantidade de estudantes</w:t>
            </w:r>
          </w:p>
        </w:tc>
        <w:tc>
          <w:tcPr>
            <w:tcW w:w="3130" w:type="dxa"/>
          </w:tcPr>
          <w:p w14:paraId="498971F7" w14:textId="2F207D1F" w:rsidR="000D4987" w:rsidRPr="000D4987" w:rsidRDefault="00315B09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 realizada</w:t>
            </w:r>
          </w:p>
        </w:tc>
      </w:tr>
      <w:tr w:rsidR="000D4987" w:rsidRPr="000D4987" w14:paraId="0E9EF4C0" w14:textId="77777777" w:rsidTr="00C60E7F">
        <w:trPr>
          <w:jc w:val="center"/>
        </w:trPr>
        <w:tc>
          <w:tcPr>
            <w:tcW w:w="2759" w:type="dxa"/>
          </w:tcPr>
          <w:p w14:paraId="69673D8F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0" w:type="dxa"/>
          </w:tcPr>
          <w:p w14:paraId="38B18DF0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Babá (criança ou pet)</w:t>
            </w:r>
          </w:p>
        </w:tc>
      </w:tr>
      <w:tr w:rsidR="000D4987" w:rsidRPr="000D4987" w14:paraId="4E39EC27" w14:textId="77777777" w:rsidTr="00C60E7F">
        <w:trPr>
          <w:jc w:val="center"/>
        </w:trPr>
        <w:tc>
          <w:tcPr>
            <w:tcW w:w="2759" w:type="dxa"/>
          </w:tcPr>
          <w:p w14:paraId="032024F3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0" w:type="dxa"/>
          </w:tcPr>
          <w:p w14:paraId="03361E6D" w14:textId="74F074F1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Ajuda</w:t>
            </w:r>
            <w:r w:rsidR="000D4987" w:rsidRPr="000D4987">
              <w:rPr>
                <w:rFonts w:ascii="Times New Roman" w:hAnsi="Times New Roman" w:cs="Times New Roman"/>
              </w:rPr>
              <w:t xml:space="preserve"> em casa</w:t>
            </w:r>
          </w:p>
        </w:tc>
      </w:tr>
      <w:tr w:rsidR="000D4987" w:rsidRPr="000D4987" w14:paraId="47AA92E7" w14:textId="77777777" w:rsidTr="00C60E7F">
        <w:trPr>
          <w:jc w:val="center"/>
        </w:trPr>
        <w:tc>
          <w:tcPr>
            <w:tcW w:w="2759" w:type="dxa"/>
          </w:tcPr>
          <w:p w14:paraId="1F25799E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0" w:type="dxa"/>
          </w:tcPr>
          <w:p w14:paraId="7BB77258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Comércio da família</w:t>
            </w:r>
          </w:p>
        </w:tc>
      </w:tr>
      <w:tr w:rsidR="000D4987" w:rsidRPr="000D4987" w14:paraId="43DB0EB9" w14:textId="77777777" w:rsidTr="00C60E7F">
        <w:trPr>
          <w:jc w:val="center"/>
        </w:trPr>
        <w:tc>
          <w:tcPr>
            <w:tcW w:w="2759" w:type="dxa"/>
          </w:tcPr>
          <w:p w14:paraId="75D28859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0" w:type="dxa"/>
          </w:tcPr>
          <w:p w14:paraId="28C5B5C5" w14:textId="7AF8ADB7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Venda de</w:t>
            </w:r>
            <w:r w:rsidR="000D4987" w:rsidRPr="000D4987">
              <w:rPr>
                <w:rFonts w:ascii="Times New Roman" w:hAnsi="Times New Roman" w:cs="Times New Roman"/>
              </w:rPr>
              <w:t xml:space="preserve"> doces</w:t>
            </w:r>
          </w:p>
        </w:tc>
      </w:tr>
      <w:tr w:rsidR="000D4987" w:rsidRPr="000D4987" w14:paraId="66242DC7" w14:textId="77777777" w:rsidTr="00C60E7F">
        <w:trPr>
          <w:jc w:val="center"/>
        </w:trPr>
        <w:tc>
          <w:tcPr>
            <w:tcW w:w="2759" w:type="dxa"/>
          </w:tcPr>
          <w:p w14:paraId="45D0A5F9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14:paraId="707C2855" w14:textId="0AB8D214" w:rsidR="000D4987" w:rsidRPr="000D4987" w:rsidRDefault="00AE1499" w:rsidP="00AE14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</w:t>
            </w:r>
            <w:r w:rsidR="000D4987" w:rsidRPr="000D4987">
              <w:rPr>
                <w:rFonts w:ascii="Times New Roman" w:hAnsi="Times New Roman" w:cs="Times New Roman"/>
              </w:rPr>
              <w:t xml:space="preserve"> serviços elétricos</w:t>
            </w:r>
          </w:p>
        </w:tc>
      </w:tr>
      <w:tr w:rsidR="000D4987" w:rsidRPr="000D4987" w14:paraId="15748DF4" w14:textId="77777777" w:rsidTr="00C60E7F">
        <w:trPr>
          <w:jc w:val="center"/>
        </w:trPr>
        <w:tc>
          <w:tcPr>
            <w:tcW w:w="2759" w:type="dxa"/>
          </w:tcPr>
          <w:p w14:paraId="14FD1086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14:paraId="4B6FA75E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 xml:space="preserve">Serviços </w:t>
            </w:r>
            <w:r w:rsidRPr="000D4987">
              <w:rPr>
                <w:rFonts w:ascii="Times New Roman" w:hAnsi="Times New Roman" w:cs="Times New Roman"/>
                <w:i/>
              </w:rPr>
              <w:t>on-line</w:t>
            </w:r>
          </w:p>
        </w:tc>
      </w:tr>
      <w:tr w:rsidR="000D4987" w:rsidRPr="000D4987" w14:paraId="37326743" w14:textId="77777777" w:rsidTr="00C60E7F">
        <w:trPr>
          <w:jc w:val="center"/>
        </w:trPr>
        <w:tc>
          <w:tcPr>
            <w:tcW w:w="2759" w:type="dxa"/>
          </w:tcPr>
          <w:p w14:paraId="33768416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14:paraId="64B60D8B" w14:textId="116D47F7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Conserta </w:t>
            </w:r>
            <w:r w:rsidR="000D4987" w:rsidRPr="000D4987">
              <w:rPr>
                <w:rFonts w:ascii="Times New Roman" w:hAnsi="Times New Roman" w:cs="Times New Roman"/>
              </w:rPr>
              <w:t>celular</w:t>
            </w:r>
          </w:p>
        </w:tc>
      </w:tr>
      <w:tr w:rsidR="000D4987" w:rsidRPr="000D4987" w14:paraId="7B7A2013" w14:textId="77777777" w:rsidTr="00C60E7F">
        <w:trPr>
          <w:jc w:val="center"/>
        </w:trPr>
        <w:tc>
          <w:tcPr>
            <w:tcW w:w="2759" w:type="dxa"/>
          </w:tcPr>
          <w:p w14:paraId="23B0400C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14:paraId="3B95C382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Cabelereira</w:t>
            </w:r>
          </w:p>
        </w:tc>
      </w:tr>
    </w:tbl>
    <w:p w14:paraId="172D6E8B" w14:textId="148EE08E" w:rsidR="000D4987" w:rsidRPr="000D4987" w:rsidRDefault="000D4987" w:rsidP="000D4987">
      <w:pPr>
        <w:spacing w:after="0" w:line="360" w:lineRule="auto"/>
        <w:ind w:left="707" w:firstLine="2"/>
        <w:jc w:val="both"/>
        <w:rPr>
          <w:rFonts w:ascii="Times New Roman" w:hAnsi="Times New Roman" w:cs="Times New Roman"/>
          <w:sz w:val="20"/>
          <w:szCs w:val="20"/>
        </w:rPr>
      </w:pPr>
      <w:r w:rsidRPr="000D4987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0614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0D4987">
        <w:rPr>
          <w:rFonts w:ascii="Times New Roman" w:hAnsi="Times New Roman" w:cs="Times New Roman"/>
          <w:b/>
          <w:sz w:val="20"/>
          <w:szCs w:val="20"/>
        </w:rPr>
        <w:t xml:space="preserve">Fonte: </w:t>
      </w:r>
      <w:r w:rsidRPr="000D4987">
        <w:rPr>
          <w:rFonts w:ascii="Times New Roman" w:hAnsi="Times New Roman" w:cs="Times New Roman"/>
          <w:sz w:val="20"/>
          <w:szCs w:val="20"/>
        </w:rPr>
        <w:t>autora (2021)</w:t>
      </w:r>
    </w:p>
    <w:p w14:paraId="4053FF3B" w14:textId="09F45781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lastRenderedPageBreak/>
        <w:t xml:space="preserve">A terceira pergunta feita foi se existe diálogo sobre finança em casa, </w:t>
      </w:r>
      <w:r w:rsidR="00AE1499">
        <w:rPr>
          <w:rFonts w:ascii="Times New Roman" w:hAnsi="Times New Roman" w:cs="Times New Roman"/>
          <w:sz w:val="24"/>
          <w:szCs w:val="24"/>
        </w:rPr>
        <w:t>e</w:t>
      </w:r>
      <w:r w:rsidRPr="000D4987">
        <w:rPr>
          <w:rFonts w:ascii="Times New Roman" w:hAnsi="Times New Roman" w:cs="Times New Roman"/>
          <w:sz w:val="24"/>
          <w:szCs w:val="24"/>
        </w:rPr>
        <w:t xml:space="preserve"> 42% disse que não existe e alguns afirmaram que os pais </w:t>
      </w:r>
      <w:r w:rsidR="00315B09">
        <w:rPr>
          <w:rFonts w:ascii="Times New Roman" w:hAnsi="Times New Roman" w:cs="Times New Roman"/>
          <w:sz w:val="24"/>
          <w:szCs w:val="24"/>
        </w:rPr>
        <w:t>evitam</w:t>
      </w:r>
      <w:r w:rsidRPr="000D4987">
        <w:rPr>
          <w:rFonts w:ascii="Times New Roman" w:hAnsi="Times New Roman" w:cs="Times New Roman"/>
          <w:sz w:val="24"/>
          <w:szCs w:val="24"/>
        </w:rPr>
        <w:t xml:space="preserve"> falar sobre </w:t>
      </w:r>
      <w:r w:rsidR="00AE1499">
        <w:rPr>
          <w:rFonts w:ascii="Times New Roman" w:hAnsi="Times New Roman" w:cs="Times New Roman"/>
          <w:sz w:val="24"/>
          <w:szCs w:val="24"/>
        </w:rPr>
        <w:t>o tema</w:t>
      </w:r>
      <w:r w:rsidRPr="000D4987">
        <w:rPr>
          <w:rFonts w:ascii="Times New Roman" w:hAnsi="Times New Roman" w:cs="Times New Roman"/>
          <w:sz w:val="24"/>
          <w:szCs w:val="24"/>
        </w:rPr>
        <w:t xml:space="preserve"> quando eles estão perto. Sobre participar das escolhas de compra em casa (como destino de viagem, troca de veí</w:t>
      </w:r>
      <w:r w:rsidR="00AE1499">
        <w:rPr>
          <w:rFonts w:ascii="Times New Roman" w:hAnsi="Times New Roman" w:cs="Times New Roman"/>
          <w:sz w:val="24"/>
          <w:szCs w:val="24"/>
        </w:rPr>
        <w:t>culo, compra de eletrodomésticos, etc.</w:t>
      </w:r>
      <w:r w:rsidRPr="000D4987">
        <w:rPr>
          <w:rFonts w:ascii="Times New Roman" w:hAnsi="Times New Roman" w:cs="Times New Roman"/>
          <w:sz w:val="24"/>
          <w:szCs w:val="24"/>
        </w:rPr>
        <w:t>) 57% dos estudantes disseram que possuem alguma participação.</w:t>
      </w:r>
      <w:r w:rsidR="00224998">
        <w:rPr>
          <w:rFonts w:ascii="Times New Roman" w:hAnsi="Times New Roman" w:cs="Times New Roman"/>
          <w:sz w:val="24"/>
          <w:szCs w:val="24"/>
        </w:rPr>
        <w:t xml:space="preserve"> </w:t>
      </w:r>
      <w:r w:rsidR="00224998" w:rsidRPr="00224998">
        <w:rPr>
          <w:rFonts w:ascii="Times New Roman" w:hAnsi="Times New Roman" w:cs="Times New Roman"/>
          <w:sz w:val="24"/>
          <w:szCs w:val="24"/>
        </w:rPr>
        <w:t xml:space="preserve">Campos, Teixeira e Coutinho (2015) discutem que pessoas bem-educadas financeiramente conseguem entender e aplicar um planejamento e orçamento pessoal e familiar, além de conseguirem </w:t>
      </w:r>
      <w:r w:rsidR="00315B09" w:rsidRPr="00224998">
        <w:rPr>
          <w:rFonts w:ascii="Times New Roman" w:hAnsi="Times New Roman" w:cs="Times New Roman"/>
          <w:sz w:val="24"/>
          <w:szCs w:val="24"/>
        </w:rPr>
        <w:t>difundir</w:t>
      </w:r>
      <w:r w:rsidR="00224998" w:rsidRPr="00224998">
        <w:rPr>
          <w:rFonts w:ascii="Times New Roman" w:hAnsi="Times New Roman" w:cs="Times New Roman"/>
          <w:sz w:val="24"/>
          <w:szCs w:val="24"/>
        </w:rPr>
        <w:t xml:space="preserve"> boas práticas financeiras em seu grupo familiar.</w:t>
      </w:r>
    </w:p>
    <w:p w14:paraId="71735851" w14:textId="37484537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>A última pergunta feita foi para os estudantes que possuem mesada ou realizam atividade para auferir ganhos finance</w:t>
      </w:r>
      <w:r w:rsidR="00315B09">
        <w:rPr>
          <w:rFonts w:ascii="Times New Roman" w:hAnsi="Times New Roman" w:cs="Times New Roman"/>
          <w:sz w:val="24"/>
          <w:szCs w:val="24"/>
        </w:rPr>
        <w:t>iros, como gastam esse dinheiro.</w:t>
      </w:r>
      <w:r w:rsidRPr="000D4987">
        <w:rPr>
          <w:rFonts w:ascii="Times New Roman" w:hAnsi="Times New Roman" w:cs="Times New Roman"/>
          <w:sz w:val="24"/>
          <w:szCs w:val="24"/>
        </w:rPr>
        <w:t xml:space="preserve"> </w:t>
      </w:r>
      <w:r w:rsidR="00315B09" w:rsidRPr="000D4987">
        <w:rPr>
          <w:rFonts w:ascii="Times New Roman" w:hAnsi="Times New Roman" w:cs="Times New Roman"/>
          <w:sz w:val="24"/>
          <w:szCs w:val="24"/>
        </w:rPr>
        <w:t>Como</w:t>
      </w:r>
      <w:r w:rsidRPr="000D4987">
        <w:rPr>
          <w:rFonts w:ascii="Times New Roman" w:hAnsi="Times New Roman" w:cs="Times New Roman"/>
          <w:sz w:val="24"/>
          <w:szCs w:val="24"/>
        </w:rPr>
        <w:t xml:space="preserve"> eram respostas abertas, são apresentadas no Quadro 2.</w:t>
      </w:r>
    </w:p>
    <w:p w14:paraId="71100C1E" w14:textId="77777777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ADBBEF" w14:textId="77777777" w:rsidR="000D4987" w:rsidRPr="000D4987" w:rsidRDefault="000D4987" w:rsidP="000D49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b/>
          <w:sz w:val="24"/>
          <w:szCs w:val="24"/>
        </w:rPr>
        <w:t xml:space="preserve">Quadro 2: </w:t>
      </w:r>
      <w:r w:rsidRPr="000D4987">
        <w:rPr>
          <w:rFonts w:ascii="Times New Roman" w:hAnsi="Times New Roman" w:cs="Times New Roman"/>
          <w:sz w:val="24"/>
          <w:szCs w:val="24"/>
        </w:rPr>
        <w:t>Formas de gasto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2935"/>
      </w:tblGrid>
      <w:tr w:rsidR="000D4987" w14:paraId="5870E8A6" w14:textId="77777777" w:rsidTr="00294E4D">
        <w:trPr>
          <w:jc w:val="center"/>
        </w:trPr>
        <w:tc>
          <w:tcPr>
            <w:tcW w:w="2759" w:type="dxa"/>
          </w:tcPr>
          <w:p w14:paraId="170F7BFF" w14:textId="44732721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Número</w:t>
            </w:r>
            <w:r w:rsidR="000D4987" w:rsidRPr="000D4987">
              <w:rPr>
                <w:rFonts w:ascii="Times New Roman" w:hAnsi="Times New Roman" w:cs="Times New Roman"/>
                <w:b/>
              </w:rPr>
              <w:t xml:space="preserve"> de estudantes</w:t>
            </w:r>
          </w:p>
        </w:tc>
        <w:tc>
          <w:tcPr>
            <w:tcW w:w="2935" w:type="dxa"/>
          </w:tcPr>
          <w:p w14:paraId="481493A4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4987">
              <w:rPr>
                <w:rFonts w:ascii="Times New Roman" w:hAnsi="Times New Roman" w:cs="Times New Roman"/>
                <w:b/>
              </w:rPr>
              <w:t>Forma de gastar</w:t>
            </w:r>
          </w:p>
        </w:tc>
      </w:tr>
      <w:tr w:rsidR="000D4987" w14:paraId="49029083" w14:textId="77777777" w:rsidTr="00294E4D">
        <w:trPr>
          <w:jc w:val="center"/>
        </w:trPr>
        <w:tc>
          <w:tcPr>
            <w:tcW w:w="2759" w:type="dxa"/>
          </w:tcPr>
          <w:p w14:paraId="7E99FB9F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35" w:type="dxa"/>
          </w:tcPr>
          <w:p w14:paraId="7457025D" w14:textId="471CC8A5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0D4987" w:rsidRPr="000D4987">
              <w:rPr>
                <w:rFonts w:ascii="Times New Roman" w:hAnsi="Times New Roman" w:cs="Times New Roman"/>
              </w:rPr>
              <w:t>ualquer coisa / nem sei</w:t>
            </w:r>
          </w:p>
        </w:tc>
      </w:tr>
      <w:tr w:rsidR="000D4987" w14:paraId="5C7B1A7E" w14:textId="77777777" w:rsidTr="00294E4D">
        <w:trPr>
          <w:jc w:val="center"/>
        </w:trPr>
        <w:tc>
          <w:tcPr>
            <w:tcW w:w="2759" w:type="dxa"/>
          </w:tcPr>
          <w:p w14:paraId="026ECCA2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5" w:type="dxa"/>
          </w:tcPr>
          <w:p w14:paraId="6FAD0A90" w14:textId="3E90CDB5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D4987" w:rsidRPr="000D4987">
              <w:rPr>
                <w:rFonts w:ascii="Times New Roman" w:hAnsi="Times New Roman" w:cs="Times New Roman"/>
              </w:rPr>
              <w:t>omida</w:t>
            </w:r>
          </w:p>
        </w:tc>
      </w:tr>
      <w:tr w:rsidR="000D4987" w14:paraId="72EC3CED" w14:textId="77777777" w:rsidTr="00294E4D">
        <w:trPr>
          <w:jc w:val="center"/>
        </w:trPr>
        <w:tc>
          <w:tcPr>
            <w:tcW w:w="2759" w:type="dxa"/>
          </w:tcPr>
          <w:p w14:paraId="79B43EFE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14:paraId="12E193B5" w14:textId="28D4D030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D4987" w:rsidRPr="000D4987">
              <w:rPr>
                <w:rFonts w:ascii="Times New Roman" w:hAnsi="Times New Roman" w:cs="Times New Roman"/>
              </w:rPr>
              <w:t>oupas</w:t>
            </w:r>
          </w:p>
        </w:tc>
      </w:tr>
      <w:tr w:rsidR="000D4987" w14:paraId="5BAA7DDE" w14:textId="77777777" w:rsidTr="00294E4D">
        <w:trPr>
          <w:jc w:val="center"/>
        </w:trPr>
        <w:tc>
          <w:tcPr>
            <w:tcW w:w="2759" w:type="dxa"/>
          </w:tcPr>
          <w:p w14:paraId="6BEA3673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5" w:type="dxa"/>
          </w:tcPr>
          <w:p w14:paraId="1337B86A" w14:textId="388D4056" w:rsidR="000D4987" w:rsidRPr="000D4987" w:rsidRDefault="00AE149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D4987" w:rsidRPr="000D4987">
              <w:rPr>
                <w:rFonts w:ascii="Times New Roman" w:hAnsi="Times New Roman" w:cs="Times New Roman"/>
              </w:rPr>
              <w:t>cessórios</w:t>
            </w:r>
          </w:p>
        </w:tc>
      </w:tr>
      <w:tr w:rsidR="000D4987" w14:paraId="7854AC81" w14:textId="77777777" w:rsidTr="00294E4D">
        <w:trPr>
          <w:jc w:val="center"/>
        </w:trPr>
        <w:tc>
          <w:tcPr>
            <w:tcW w:w="2759" w:type="dxa"/>
          </w:tcPr>
          <w:p w14:paraId="36AB92CD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5" w:type="dxa"/>
          </w:tcPr>
          <w:p w14:paraId="6F2BA48D" w14:textId="77777777" w:rsidR="000D4987" w:rsidRPr="000D4987" w:rsidRDefault="000D4987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4987">
              <w:rPr>
                <w:rFonts w:ascii="Times New Roman" w:hAnsi="Times New Roman" w:cs="Times New Roman"/>
              </w:rPr>
              <w:t>Guardo</w:t>
            </w:r>
          </w:p>
        </w:tc>
      </w:tr>
    </w:tbl>
    <w:p w14:paraId="636AD7A8" w14:textId="1EA85087" w:rsidR="000D4987" w:rsidRPr="000D4987" w:rsidRDefault="00294E4D" w:rsidP="000D498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D4987" w:rsidRPr="000D4987">
        <w:rPr>
          <w:rFonts w:ascii="Times New Roman" w:hAnsi="Times New Roman" w:cs="Times New Roman"/>
          <w:b/>
          <w:sz w:val="20"/>
          <w:szCs w:val="20"/>
        </w:rPr>
        <w:t xml:space="preserve">Fonte: </w:t>
      </w:r>
      <w:r w:rsidR="000D4987" w:rsidRPr="000D4987">
        <w:rPr>
          <w:rFonts w:ascii="Times New Roman" w:hAnsi="Times New Roman" w:cs="Times New Roman"/>
          <w:sz w:val="20"/>
          <w:szCs w:val="20"/>
        </w:rPr>
        <w:t>autora (2021)</w:t>
      </w:r>
    </w:p>
    <w:p w14:paraId="14E03F8B" w14:textId="77777777" w:rsidR="000D4987" w:rsidRDefault="000D4987" w:rsidP="000D49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F28678" w14:textId="3FD01EB5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>Os dados indicam que a maior parte dos estudantes não recebem mesada dos pais, isso é um reflexo da comunidade onde a escola está inserida, um bairro periférico de Belo Horizonte. Como a maior parte dos estudantes não recebe mesada, um grande percentual acaba fazendo algum tipo de atividade para conseguir dinheiro para suprir seus interesses consumeristas.</w:t>
      </w:r>
    </w:p>
    <w:p w14:paraId="681D94AA" w14:textId="30E72161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 xml:space="preserve">As atividades realizadas são diversas, sendo preciso salientar que se trata de jovens entre 12 e 13 anos de idade, faixa etária em que segundo a lei não poderia trabalhar </w:t>
      </w:r>
      <w:r w:rsidR="002D2825">
        <w:rPr>
          <w:rFonts w:ascii="Times New Roman" w:hAnsi="Times New Roman" w:cs="Times New Roman"/>
          <w:sz w:val="24"/>
          <w:szCs w:val="24"/>
        </w:rPr>
        <w:t>mesmo</w:t>
      </w:r>
      <w:r w:rsidRPr="000D4987">
        <w:rPr>
          <w:rFonts w:ascii="Times New Roman" w:hAnsi="Times New Roman" w:cs="Times New Roman"/>
          <w:sz w:val="24"/>
          <w:szCs w:val="24"/>
        </w:rPr>
        <w:t xml:space="preserve"> sob o regime de jovem aprendiz (BRASIL, 2000). Com isso, as atividades realizadas estão todas dentro da informalidade ou voltadas para à ajuda da atividade remunerada da família.</w:t>
      </w:r>
    </w:p>
    <w:p w14:paraId="51DD2D53" w14:textId="68CA0148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>Mesmo com o alto percentual de adolescentes que já possuem seu próprio rendimento, em 42% das residências ainda não existe diálogo sobre finanças, o que deixa para a escola essa função. Confirmando a f</w:t>
      </w:r>
      <w:r w:rsidR="007F1BBC">
        <w:rPr>
          <w:rFonts w:ascii="Times New Roman" w:hAnsi="Times New Roman" w:cs="Times New Roman"/>
          <w:sz w:val="24"/>
          <w:szCs w:val="24"/>
        </w:rPr>
        <w:t>alta de diálogo que existe nessas famílias</w:t>
      </w:r>
      <w:r w:rsidRPr="000D4987">
        <w:rPr>
          <w:rFonts w:ascii="Times New Roman" w:hAnsi="Times New Roman" w:cs="Times New Roman"/>
          <w:sz w:val="24"/>
          <w:szCs w:val="24"/>
        </w:rPr>
        <w:t xml:space="preserve">, em 38% das residências, os adolescentes não possuem participação nas escolhas de compras, com isso eles não conseguem aprender na prática sobre finanças domésticas e sobre planejamento financeiro. </w:t>
      </w:r>
    </w:p>
    <w:p w14:paraId="2D20B4C0" w14:textId="54672219" w:rsidR="000D4987" w:rsidRPr="000D4987" w:rsidRDefault="000D4987" w:rsidP="000D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987">
        <w:rPr>
          <w:rFonts w:ascii="Times New Roman" w:hAnsi="Times New Roman" w:cs="Times New Roman"/>
          <w:sz w:val="24"/>
          <w:szCs w:val="24"/>
        </w:rPr>
        <w:t>Em relação à forma como os adolescentes gastam o dinheiro que recebem, mais d</w:t>
      </w:r>
      <w:r w:rsidR="007F1BBC">
        <w:rPr>
          <w:rFonts w:ascii="Times New Roman" w:hAnsi="Times New Roman" w:cs="Times New Roman"/>
          <w:sz w:val="24"/>
          <w:szCs w:val="24"/>
        </w:rPr>
        <w:t>e</w:t>
      </w:r>
      <w:r w:rsidRPr="000D4987">
        <w:rPr>
          <w:rFonts w:ascii="Times New Roman" w:hAnsi="Times New Roman" w:cs="Times New Roman"/>
          <w:sz w:val="24"/>
          <w:szCs w:val="24"/>
        </w:rPr>
        <w:t xml:space="preserve"> </w:t>
      </w:r>
      <w:r w:rsidR="007F1BBC">
        <w:rPr>
          <w:rFonts w:ascii="Times New Roman" w:hAnsi="Times New Roman" w:cs="Times New Roman"/>
          <w:sz w:val="24"/>
          <w:szCs w:val="24"/>
        </w:rPr>
        <w:t>50%</w:t>
      </w:r>
      <w:r w:rsidRPr="000D4987">
        <w:rPr>
          <w:rFonts w:ascii="Times New Roman" w:hAnsi="Times New Roman" w:cs="Times New Roman"/>
          <w:sz w:val="24"/>
          <w:szCs w:val="24"/>
        </w:rPr>
        <w:t xml:space="preserve"> afirmaram que não sabem com o que gastam e gastam tudo praticamente de modo imediato. Onde estudantes disseram gastar com comida, o que indica que os pais se preocupam em fornecer comida para subsistência, enquanto os jovens desejam comprar fast-food e outros alimentos não essenciais.</w:t>
      </w:r>
      <w:r w:rsidR="00614BD3">
        <w:rPr>
          <w:rFonts w:ascii="Times New Roman" w:hAnsi="Times New Roman" w:cs="Times New Roman"/>
          <w:sz w:val="24"/>
          <w:szCs w:val="24"/>
        </w:rPr>
        <w:t xml:space="preserve"> </w:t>
      </w:r>
      <w:r w:rsidR="00614BD3" w:rsidRPr="00614BD3">
        <w:rPr>
          <w:rFonts w:ascii="Times New Roman" w:hAnsi="Times New Roman" w:cs="Times New Roman"/>
          <w:sz w:val="24"/>
          <w:szCs w:val="24"/>
        </w:rPr>
        <w:t xml:space="preserve">Uma das questões de urgência social que são apontadas por Alves </w:t>
      </w:r>
      <w:r w:rsidR="00614BD3" w:rsidRPr="00614BD3">
        <w:rPr>
          <w:rFonts w:ascii="Times New Roman" w:hAnsi="Times New Roman" w:cs="Times New Roman"/>
          <w:sz w:val="24"/>
          <w:szCs w:val="24"/>
        </w:rPr>
        <w:lastRenderedPageBreak/>
        <w:t>(2014) é o “consumo”, pois ele é entendido pelos indivíduos como uma forma e um objetivo de vida.</w:t>
      </w:r>
    </w:p>
    <w:p w14:paraId="25186E51" w14:textId="77777777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CD957" w14:textId="1A9FA130" w:rsidR="00900B34" w:rsidRPr="004A4F98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CONSIDERAÇÕES</w:t>
      </w:r>
    </w:p>
    <w:p w14:paraId="603AB61F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F4EA6" w14:textId="77777777" w:rsidR="007613CC" w:rsidRPr="007613CC" w:rsidRDefault="007613CC" w:rsidP="00761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3CC">
        <w:rPr>
          <w:rFonts w:ascii="Times New Roman" w:hAnsi="Times New Roman" w:cs="Times New Roman"/>
          <w:sz w:val="24"/>
          <w:szCs w:val="24"/>
        </w:rPr>
        <w:t>Com a homologação da BNCC fica evidente que o ensino formal regular deve incluir a educação financeira desde os primeiros anos de formação da criança, visando melhorar a formação desta enquanto cidadão. Além disso, com uma ampliação de ensino sobre finanças, espera-se que o índice de endividamento das famílias brasileiras apresente uma redução, quando analisado a longo prazo.</w:t>
      </w:r>
    </w:p>
    <w:p w14:paraId="164B0D7A" w14:textId="3FCBDA9C" w:rsidR="002323DF" w:rsidRPr="002323DF" w:rsidRDefault="002323DF" w:rsidP="002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F">
        <w:rPr>
          <w:rFonts w:ascii="Times New Roman" w:hAnsi="Times New Roman" w:cs="Times New Roman"/>
          <w:sz w:val="24"/>
          <w:szCs w:val="24"/>
        </w:rPr>
        <w:t>Não se espera que crianças e adolescentes tenham poder de veto ou de decisão nas escolhas de compra de uma família, mas ao incluí-las no planejamento financeiro desde cedo é possível educá-las e criar adultos que sejam mais conscientes em relação as finanças.</w:t>
      </w:r>
      <w:r w:rsidR="00971649">
        <w:rPr>
          <w:rFonts w:ascii="Times New Roman" w:hAnsi="Times New Roman" w:cs="Times New Roman"/>
          <w:sz w:val="24"/>
          <w:szCs w:val="24"/>
        </w:rPr>
        <w:t xml:space="preserve"> Além disso, quando os estudantes são criados em um ambiente que existe educação financeira favorece a atuação da escola, que pode usar exemplos trazidos pelos próprios estudantes, além de preencher lacunas no conhecimento, ao invés de fornecer todas as informações sobre o assunto.</w:t>
      </w:r>
      <w:r w:rsidR="00FC0F6E">
        <w:rPr>
          <w:rFonts w:ascii="Times New Roman" w:hAnsi="Times New Roman" w:cs="Times New Roman"/>
          <w:sz w:val="24"/>
          <w:szCs w:val="24"/>
        </w:rPr>
        <w:t xml:space="preserve"> Assim, quanto mais existe diálogo sobre finanças </w:t>
      </w:r>
      <w:r w:rsidR="007F1BBC">
        <w:rPr>
          <w:rFonts w:ascii="Times New Roman" w:hAnsi="Times New Roman" w:cs="Times New Roman"/>
          <w:sz w:val="24"/>
          <w:szCs w:val="24"/>
        </w:rPr>
        <w:t>nos lares, mais rico</w:t>
      </w:r>
      <w:r w:rsidR="00FC0F6E">
        <w:rPr>
          <w:rFonts w:ascii="Times New Roman" w:hAnsi="Times New Roman" w:cs="Times New Roman"/>
          <w:sz w:val="24"/>
          <w:szCs w:val="24"/>
        </w:rPr>
        <w:t xml:space="preserve"> fica o debate sobre o tema em sala de aula.</w:t>
      </w:r>
    </w:p>
    <w:p w14:paraId="5850AFA0" w14:textId="4DB67C1B" w:rsidR="002323DF" w:rsidRPr="002323DF" w:rsidRDefault="002323DF" w:rsidP="002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DF">
        <w:rPr>
          <w:rFonts w:ascii="Times New Roman" w:hAnsi="Times New Roman" w:cs="Times New Roman"/>
          <w:sz w:val="24"/>
          <w:szCs w:val="24"/>
        </w:rPr>
        <w:t xml:space="preserve">Trabalhos futuros podem ser </w:t>
      </w:r>
      <w:r w:rsidR="007F1BBC">
        <w:rPr>
          <w:rFonts w:ascii="Times New Roman" w:hAnsi="Times New Roman" w:cs="Times New Roman"/>
          <w:sz w:val="24"/>
          <w:szCs w:val="24"/>
        </w:rPr>
        <w:t>elaborados</w:t>
      </w:r>
      <w:r w:rsidRPr="002323DF">
        <w:rPr>
          <w:rFonts w:ascii="Times New Roman" w:hAnsi="Times New Roman" w:cs="Times New Roman"/>
          <w:sz w:val="24"/>
          <w:szCs w:val="24"/>
        </w:rPr>
        <w:t xml:space="preserve"> mostrando como foi desenvolvida a temática educação financeira com esses mesmos alunos nos anos seguintes, avaliando se houve mudança no comportamento e no pensamento deles. Além disso, a mesma ideia pode ser desenvolvida com outras turmas, acompanhando </w:t>
      </w:r>
      <w:r w:rsidR="007E230B">
        <w:rPr>
          <w:rFonts w:ascii="Times New Roman" w:hAnsi="Times New Roman" w:cs="Times New Roman"/>
          <w:sz w:val="24"/>
          <w:szCs w:val="24"/>
        </w:rPr>
        <w:t>em outras classes e</w:t>
      </w:r>
      <w:r w:rsidRPr="002323DF">
        <w:rPr>
          <w:rFonts w:ascii="Times New Roman" w:hAnsi="Times New Roman" w:cs="Times New Roman"/>
          <w:sz w:val="24"/>
          <w:szCs w:val="24"/>
        </w:rPr>
        <w:t xml:space="preserve"> em outros anos, qual o entendimento que elas possuem sobre a educação financeira e as finanças domésticas.</w:t>
      </w:r>
    </w:p>
    <w:p w14:paraId="48373FDE" w14:textId="0A99F0B5" w:rsidR="00900B34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9BDA0" w14:textId="564F8610" w:rsidR="00900B34" w:rsidRDefault="00900B34" w:rsidP="00900B34">
      <w:pPr>
        <w:pStyle w:val="Ttulo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</w:p>
    <w:p w14:paraId="43D702EE" w14:textId="2A984C9D" w:rsidR="005778D1" w:rsidRPr="005778D1" w:rsidRDefault="005778D1" w:rsidP="005778D1">
      <w:pPr>
        <w:rPr>
          <w:rFonts w:ascii="Times New Roman" w:hAnsi="Times New Roman" w:cs="Times New Roman"/>
        </w:rPr>
      </w:pPr>
    </w:p>
    <w:p w14:paraId="70585172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ALVES, Gelindo Martineli. </w:t>
      </w:r>
      <w:r w:rsidRPr="005778D1">
        <w:rPr>
          <w:rFonts w:ascii="Times New Roman" w:hAnsi="Times New Roman" w:cs="Times New Roman"/>
          <w:i/>
          <w:sz w:val="24"/>
          <w:szCs w:val="24"/>
        </w:rPr>
        <w:t xml:space="preserve">As contribuições da etnomatemática e da perspectiva sociocultural da história da matemática para a formação da cidadania dos alunos de uma turma do 8° ano do ensino fundamental por meio do ensino e aprendizagem de conteúdos da educação financeira. </w:t>
      </w:r>
      <w:r w:rsidRPr="005778D1">
        <w:rPr>
          <w:rFonts w:ascii="Times New Roman" w:hAnsi="Times New Roman" w:cs="Times New Roman"/>
          <w:sz w:val="24"/>
          <w:szCs w:val="24"/>
        </w:rPr>
        <w:t xml:space="preserve">2014. 358 f. Dissertação (Mestrado) – Curso de Educação Matemática, Universidade Federal de Ouro Preto, Ouro Preto, 2014. </w:t>
      </w:r>
    </w:p>
    <w:p w14:paraId="073971D6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0D61D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AMBIMA - Associação Brasileira das Entidades dos Mercados Financeiros e de Capitais. </w:t>
      </w:r>
      <w:r w:rsidRPr="005778D1">
        <w:rPr>
          <w:rFonts w:ascii="Times New Roman" w:hAnsi="Times New Roman" w:cs="Times New Roman"/>
          <w:i/>
          <w:sz w:val="24"/>
          <w:szCs w:val="24"/>
        </w:rPr>
        <w:t>A relação do brasileiro com o dinheiro.</w:t>
      </w:r>
      <w:r w:rsidRPr="0057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D1">
        <w:rPr>
          <w:rFonts w:ascii="Times New Roman" w:hAnsi="Times New Roman" w:cs="Times New Roman"/>
          <w:sz w:val="24"/>
          <w:szCs w:val="24"/>
        </w:rPr>
        <w:t xml:space="preserve">São Paulo, 2021. Disponível em: https://www.anbima.com.br/pt_br/especial/relacao-do-brasileiro-com-o-dinheiro.htm. Acesso em 21 jul. 2021. </w:t>
      </w:r>
    </w:p>
    <w:p w14:paraId="03B2F94B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27529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ASSÉ, Ralph. </w:t>
      </w:r>
      <w:r w:rsidRPr="005778D1">
        <w:rPr>
          <w:rFonts w:ascii="Times New Roman" w:hAnsi="Times New Roman" w:cs="Times New Roman"/>
          <w:i/>
          <w:sz w:val="24"/>
          <w:szCs w:val="24"/>
        </w:rPr>
        <w:t>Endividamento das famílias brasileiras bate recorde em abril, diz pesquisa.</w:t>
      </w:r>
      <w:r w:rsidRPr="0057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8D1">
        <w:rPr>
          <w:rFonts w:ascii="Times New Roman" w:hAnsi="Times New Roman" w:cs="Times New Roman"/>
          <w:sz w:val="24"/>
          <w:szCs w:val="24"/>
        </w:rPr>
        <w:t>Belo Horizonte: Jornal Estado de Minas, 2021. Disponível em: https://www.em.com.br/app/noticia/economia/2021/05/04/internas_economia,1263265/endivi</w:t>
      </w:r>
      <w:r w:rsidRPr="005778D1">
        <w:rPr>
          <w:rFonts w:ascii="Times New Roman" w:hAnsi="Times New Roman" w:cs="Times New Roman"/>
          <w:sz w:val="24"/>
          <w:szCs w:val="24"/>
        </w:rPr>
        <w:lastRenderedPageBreak/>
        <w:t>damento-das-familias-brasileiras-bate-recorde-em-abril-diz-pesquisa.shtml. Acesso em 21 jul. 2021.</w:t>
      </w:r>
    </w:p>
    <w:p w14:paraId="5325613D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417C0" w14:textId="2FCAB5F6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BRASIL, 2000. Lei Federal 10.097. </w:t>
      </w:r>
      <w:r w:rsidRPr="005778D1">
        <w:rPr>
          <w:rFonts w:ascii="Times New Roman" w:hAnsi="Times New Roman" w:cs="Times New Roman"/>
          <w:i/>
          <w:sz w:val="24"/>
          <w:szCs w:val="24"/>
        </w:rPr>
        <w:t>Altera dispositivos da Consolidação das Leis do Trabalho – CLT, aprovada pelo Decreto-Lei no 5.452, de 1</w:t>
      </w:r>
      <w:r>
        <w:rPr>
          <w:rFonts w:ascii="Times New Roman" w:hAnsi="Times New Roman" w:cs="Times New Roman"/>
          <w:i/>
          <w:sz w:val="24"/>
          <w:szCs w:val="24"/>
        </w:rPr>
        <w:t>°</w:t>
      </w:r>
      <w:r w:rsidRPr="005778D1">
        <w:rPr>
          <w:rFonts w:ascii="Times New Roman" w:hAnsi="Times New Roman" w:cs="Times New Roman"/>
          <w:i/>
          <w:sz w:val="24"/>
          <w:szCs w:val="24"/>
        </w:rPr>
        <w:t> de maio de 1943.</w:t>
      </w:r>
      <w:r w:rsidRPr="005778D1">
        <w:rPr>
          <w:rFonts w:ascii="Times New Roman" w:hAnsi="Times New Roman" w:cs="Times New Roman"/>
          <w:sz w:val="24"/>
          <w:szCs w:val="24"/>
        </w:rPr>
        <w:t xml:space="preserve"> 19 de dezembro de 2000.</w:t>
      </w:r>
    </w:p>
    <w:p w14:paraId="041FD414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F1053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CAMPOS, Celso Ribeiro; TEIXEIRA, James; COUTINHO, Cileda de Queiroz e Silva. </w:t>
      </w:r>
      <w:r w:rsidRPr="005778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Reflexões sobre a educação financeira e suas interfaces com a educação matemática e a educação crítica</w:t>
      </w:r>
      <w:r w:rsidRPr="005778D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778D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Educ. Matem. Pesq</w:t>
      </w:r>
      <w:r w:rsidRPr="005778D1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.</w:t>
      </w:r>
      <w:r w:rsidRPr="005778D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5778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São</w:t>
      </w:r>
      <w:r w:rsidRPr="00577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Paulo, v. 17, n. 3, p. 556-577, jan. 2015.</w:t>
      </w:r>
    </w:p>
    <w:p w14:paraId="53B2394F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4D80E2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CRMG – </w:t>
      </w:r>
      <w:r w:rsidRPr="005778D1">
        <w:rPr>
          <w:rFonts w:ascii="Times New Roman" w:hAnsi="Times New Roman" w:cs="Times New Roman"/>
          <w:i/>
          <w:sz w:val="24"/>
          <w:szCs w:val="24"/>
        </w:rPr>
        <w:t>Currículo Referência de Minas Gerais</w:t>
      </w:r>
      <w:r w:rsidRPr="005778D1">
        <w:rPr>
          <w:rFonts w:ascii="Times New Roman" w:hAnsi="Times New Roman" w:cs="Times New Roman"/>
          <w:sz w:val="24"/>
          <w:szCs w:val="24"/>
        </w:rPr>
        <w:t>. Disponível em: https://curriculoreferencia.educacao.mg.gov.br/index.php/banco-de-noticias/9-banco-de-noticias/132-curriculo-referencia-de-minas-gerais-o-que-muda-nas-escolas-mineiras-3. Acesso em 21 jul. 2021.</w:t>
      </w:r>
    </w:p>
    <w:p w14:paraId="73566199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B15CE" w14:textId="77777777" w:rsidR="005778D1" w:rsidRPr="005778D1" w:rsidRDefault="005778D1" w:rsidP="00577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8D1">
        <w:rPr>
          <w:rFonts w:ascii="Times New Roman" w:hAnsi="Times New Roman" w:cs="Times New Roman"/>
          <w:sz w:val="24"/>
          <w:szCs w:val="24"/>
        </w:rPr>
        <w:t xml:space="preserve">G1. </w:t>
      </w:r>
      <w:r w:rsidRPr="005778D1">
        <w:rPr>
          <w:rFonts w:ascii="Times New Roman" w:hAnsi="Times New Roman" w:cs="Times New Roman"/>
          <w:i/>
          <w:sz w:val="24"/>
          <w:szCs w:val="24"/>
        </w:rPr>
        <w:t>Percentual de famílias com dívidas chega a 70% e Brasil atinge o maior nível em 11 anos, aponta CNC.</w:t>
      </w:r>
      <w:r w:rsidRPr="005778D1">
        <w:rPr>
          <w:rFonts w:ascii="Times New Roman" w:hAnsi="Times New Roman" w:cs="Times New Roman"/>
          <w:sz w:val="24"/>
          <w:szCs w:val="24"/>
        </w:rPr>
        <w:t xml:space="preserve"> Rio de Janeiro: Portal G1 Economia, 2021. Disponível em: https://g1.globo.com/economia/noticia/2021/07/01/percentual-de-familias-com-dividas-chega-a-70percent-e-brasil-atinge-o-maior-nivel-em-11-anos-aponta-cnc.ghtml. Acesso em 21 jul. 2021.</w:t>
      </w:r>
    </w:p>
    <w:p w14:paraId="2FBFE8F2" w14:textId="77777777" w:rsidR="005778D1" w:rsidRPr="005778D1" w:rsidRDefault="005778D1" w:rsidP="005778D1">
      <w:bookmarkStart w:id="0" w:name="_GoBack"/>
      <w:bookmarkEnd w:id="0"/>
    </w:p>
    <w:p w14:paraId="180C5E19" w14:textId="77777777" w:rsidR="00900B34" w:rsidRPr="004A4F98" w:rsidRDefault="00900B34" w:rsidP="00900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8C75" w14:textId="77777777" w:rsidR="00900B34" w:rsidRPr="004A4F98" w:rsidRDefault="00900B34" w:rsidP="0090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0D7BA" w14:textId="77777777" w:rsidR="004A4F98" w:rsidRPr="001C450D" w:rsidRDefault="004A4F98" w:rsidP="001C4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4F98" w:rsidRPr="001C450D" w:rsidSect="00FB54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41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A80B" w14:textId="77777777" w:rsidR="00AD540D" w:rsidRDefault="00AD540D" w:rsidP="0028095F">
      <w:pPr>
        <w:spacing w:after="0" w:line="240" w:lineRule="auto"/>
      </w:pPr>
      <w:r>
        <w:separator/>
      </w:r>
    </w:p>
  </w:endnote>
  <w:endnote w:type="continuationSeparator" w:id="0">
    <w:p w14:paraId="7DFBD892" w14:textId="77777777" w:rsidR="00AD540D" w:rsidRDefault="00AD540D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87FC" w14:textId="77777777" w:rsidR="00AD540D" w:rsidRDefault="00AD540D" w:rsidP="0028095F">
      <w:pPr>
        <w:spacing w:after="0" w:line="240" w:lineRule="auto"/>
      </w:pPr>
      <w:r>
        <w:separator/>
      </w:r>
    </w:p>
  </w:footnote>
  <w:footnote w:type="continuationSeparator" w:id="0">
    <w:p w14:paraId="0830FD59" w14:textId="77777777" w:rsidR="00AD540D" w:rsidRDefault="00AD540D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042A7A"/>
    <w:rsid w:val="00052F51"/>
    <w:rsid w:val="000624AA"/>
    <w:rsid w:val="000D4987"/>
    <w:rsid w:val="00101ACB"/>
    <w:rsid w:val="00106140"/>
    <w:rsid w:val="00173F0F"/>
    <w:rsid w:val="00185317"/>
    <w:rsid w:val="001A7641"/>
    <w:rsid w:val="001C450D"/>
    <w:rsid w:val="00224998"/>
    <w:rsid w:val="002323DF"/>
    <w:rsid w:val="0028095F"/>
    <w:rsid w:val="00294E4D"/>
    <w:rsid w:val="002D2825"/>
    <w:rsid w:val="002F2D2E"/>
    <w:rsid w:val="00315B09"/>
    <w:rsid w:val="003444E9"/>
    <w:rsid w:val="003B3DCA"/>
    <w:rsid w:val="003C4114"/>
    <w:rsid w:val="004612FD"/>
    <w:rsid w:val="004806F2"/>
    <w:rsid w:val="004A4F98"/>
    <w:rsid w:val="004C2F53"/>
    <w:rsid w:val="004E4EF9"/>
    <w:rsid w:val="0052254C"/>
    <w:rsid w:val="005348B9"/>
    <w:rsid w:val="005778D1"/>
    <w:rsid w:val="005F43F0"/>
    <w:rsid w:val="00614BD3"/>
    <w:rsid w:val="006451E9"/>
    <w:rsid w:val="0075705B"/>
    <w:rsid w:val="007613CC"/>
    <w:rsid w:val="007C7CEA"/>
    <w:rsid w:val="007D5926"/>
    <w:rsid w:val="007E230B"/>
    <w:rsid w:val="007F1BBC"/>
    <w:rsid w:val="008812BC"/>
    <w:rsid w:val="008D231C"/>
    <w:rsid w:val="008F7870"/>
    <w:rsid w:val="00900B34"/>
    <w:rsid w:val="0091177F"/>
    <w:rsid w:val="00967E52"/>
    <w:rsid w:val="00971649"/>
    <w:rsid w:val="00A170D6"/>
    <w:rsid w:val="00A37206"/>
    <w:rsid w:val="00A404AD"/>
    <w:rsid w:val="00A90677"/>
    <w:rsid w:val="00AD540D"/>
    <w:rsid w:val="00AD71CF"/>
    <w:rsid w:val="00AE1499"/>
    <w:rsid w:val="00B82AB0"/>
    <w:rsid w:val="00C430AA"/>
    <w:rsid w:val="00C60E7F"/>
    <w:rsid w:val="00D07157"/>
    <w:rsid w:val="00D078EF"/>
    <w:rsid w:val="00D14F71"/>
    <w:rsid w:val="00D42938"/>
    <w:rsid w:val="00D45A34"/>
    <w:rsid w:val="00D84C6C"/>
    <w:rsid w:val="00DA4AA3"/>
    <w:rsid w:val="00DF4251"/>
    <w:rsid w:val="00E022E4"/>
    <w:rsid w:val="00EC0785"/>
    <w:rsid w:val="00FA005A"/>
    <w:rsid w:val="00FB542C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4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Ttulo1Char">
    <w:name w:val="Título 1 Char"/>
    <w:basedOn w:val="Fontepargpadro"/>
    <w:link w:val="Ttulo1"/>
    <w:uiPriority w:val="9"/>
    <w:rsid w:val="004A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0D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11F6-9DC4-4ADC-8555-97688DF3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Natalia</cp:lastModifiedBy>
  <cp:revision>37</cp:revision>
  <dcterms:created xsi:type="dcterms:W3CDTF">2021-08-03T19:58:00Z</dcterms:created>
  <dcterms:modified xsi:type="dcterms:W3CDTF">2021-08-10T20:46:00Z</dcterms:modified>
</cp:coreProperties>
</file>