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ind w:left="1" w:hanging="3"/>
        <w:jc w:val="center"/>
        <w:rPr>
          <w:rFonts w:ascii="Arial" w:cs="Arial" w:eastAsia="Arial" w:hAnsi="Arial"/>
          <w:b w:val="1"/>
          <w:sz w:val="28"/>
          <w:szCs w:val="28"/>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spacing w:after="0" w:line="360" w:lineRule="auto"/>
        <w:ind w:left="1" w:hanging="3"/>
        <w:jc w:val="center"/>
        <w:rPr>
          <w:rFonts w:ascii="Arial" w:cs="Arial" w:eastAsia="Arial" w:hAnsi="Arial"/>
          <w:sz w:val="28"/>
          <w:szCs w:val="28"/>
        </w:rPr>
      </w:pPr>
      <w:r w:rsidDel="00000000" w:rsidR="00000000" w:rsidRPr="00000000">
        <w:rPr>
          <w:rFonts w:ascii="Arial" w:cs="Arial" w:eastAsia="Arial" w:hAnsi="Arial"/>
          <w:b w:val="1"/>
          <w:sz w:val="28"/>
          <w:szCs w:val="28"/>
          <w:rtl w:val="0"/>
        </w:rPr>
        <w:t xml:space="preserve">COINFO, BIBLIOTECONOMIA E CIÊNCIA NO MAST: a experiência da Biblioteca Henrique Morize no programa "Futuras Cientistas"</w:t>
      </w:r>
      <w:r w:rsidDel="00000000" w:rsidR="00000000" w:rsidRPr="00000000">
        <w:rPr>
          <w:rtl w:val="0"/>
        </w:rPr>
      </w:r>
    </w:p>
    <w:p w:rsidR="00000000" w:rsidDel="00000000" w:rsidP="00000000" w:rsidRDefault="00000000" w:rsidRPr="00000000" w14:paraId="00000003">
      <w:pPr>
        <w:spacing w:after="0" w:line="360" w:lineRule="auto"/>
        <w:ind w:left="1" w:hanging="3"/>
        <w:jc w:val="center"/>
        <w:rPr>
          <w:rFonts w:ascii="Arial" w:cs="Arial" w:eastAsia="Arial" w:hAnsi="Arial"/>
          <w:sz w:val="28"/>
          <w:szCs w:val="28"/>
        </w:rPr>
      </w:pPr>
      <w:r w:rsidDel="00000000" w:rsidR="00000000" w:rsidRPr="00000000">
        <w:rPr>
          <w:rFonts w:ascii="Arial" w:cs="Arial" w:eastAsia="Arial" w:hAnsi="Arial"/>
          <w:b w:val="1"/>
          <w:sz w:val="28"/>
          <w:szCs w:val="28"/>
          <w:rtl w:val="0"/>
        </w:rPr>
        <w:t xml:space="preserve">COINFO, LIBRARIANSHIP, AND SCIENCE AT MAST: the experience of the Henrique Morize Library in the 'future Scientists' program</w:t>
      </w:r>
      <w:r w:rsidDel="00000000" w:rsidR="00000000" w:rsidRPr="00000000">
        <w:rPr>
          <w:rtl w:val="0"/>
        </w:rPr>
      </w:r>
    </w:p>
    <w:p w:rsidR="00000000" w:rsidDel="00000000" w:rsidP="00000000" w:rsidRDefault="00000000" w:rsidRPr="00000000" w14:paraId="00000004">
      <w:pPr>
        <w:spacing w:after="0" w:line="360"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after="0" w:line="276" w:lineRule="auto"/>
        <w:ind w:firstLine="0"/>
        <w:jc w:val="right"/>
        <w:rPr>
          <w:rFonts w:ascii="Arial" w:cs="Arial" w:eastAsia="Arial" w:hAnsi="Arial"/>
        </w:rPr>
      </w:pPr>
      <w:r w:rsidDel="00000000" w:rsidR="00000000" w:rsidRPr="00000000">
        <w:rPr>
          <w:rFonts w:ascii="Arial" w:cs="Arial" w:eastAsia="Arial" w:hAnsi="Arial"/>
          <w:i w:val="1"/>
          <w:sz w:val="24"/>
          <w:szCs w:val="24"/>
          <w:rtl w:val="0"/>
        </w:rPr>
        <w:t xml:space="preserve">Thaylane Cristina Lopes da Costa, Museu de Astronomia e Ciências Afins, thaylanecristina@mast.br</w:t>
      </w:r>
      <w:r w:rsidDel="00000000" w:rsidR="00000000" w:rsidRPr="00000000">
        <w:rPr>
          <w:rtl w:val="0"/>
        </w:rPr>
      </w:r>
    </w:p>
    <w:p w:rsidR="00000000" w:rsidDel="00000000" w:rsidP="00000000" w:rsidRDefault="00000000" w:rsidRPr="00000000" w14:paraId="00000006">
      <w:pPr>
        <w:spacing w:after="0" w:line="276" w:lineRule="auto"/>
        <w:ind w:firstLine="0"/>
        <w:jc w:val="right"/>
        <w:rPr>
          <w:rFonts w:ascii="Arial" w:cs="Arial" w:eastAsia="Arial" w:hAnsi="Arial"/>
        </w:rPr>
      </w:pPr>
      <w:r w:rsidDel="00000000" w:rsidR="00000000" w:rsidRPr="00000000">
        <w:rPr>
          <w:rFonts w:ascii="Arial" w:cs="Arial" w:eastAsia="Arial" w:hAnsi="Arial"/>
          <w:i w:val="1"/>
          <w:sz w:val="24"/>
          <w:szCs w:val="24"/>
          <w:rtl w:val="0"/>
        </w:rPr>
        <w:t xml:space="preserve">Cristiane Teixeira de Oliveira, Museu de Astronomia e Ciências Afins, cristianeoliveira@mast.br</w:t>
      </w:r>
      <w:r w:rsidDel="00000000" w:rsidR="00000000" w:rsidRPr="00000000">
        <w:rPr>
          <w:rtl w:val="0"/>
        </w:rPr>
      </w:r>
    </w:p>
    <w:p w:rsidR="00000000" w:rsidDel="00000000" w:rsidP="00000000" w:rsidRDefault="00000000" w:rsidRPr="00000000" w14:paraId="00000007">
      <w:pPr>
        <w:spacing w:after="0" w:line="360"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0" w:line="360"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09">
      <w:pPr>
        <w:spacing w:after="0" w:before="0" w:line="240" w:lineRule="auto"/>
        <w:ind w:left="0" w:hanging="2"/>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Resumo</w:t>
      </w:r>
    </w:p>
    <w:p w:rsidR="00000000" w:rsidDel="00000000" w:rsidP="00000000" w:rsidRDefault="00000000" w:rsidRPr="00000000" w14:paraId="0000000A">
      <w:pPr>
        <w:spacing w:after="0" w:before="0" w:line="240" w:lineRule="auto"/>
        <w:ind w:firstLine="0"/>
        <w:jc w:val="both"/>
        <w:rPr>
          <w:rFonts w:ascii="Arial" w:cs="Arial" w:eastAsia="Arial" w:hAnsi="Arial"/>
        </w:rPr>
      </w:pPr>
      <w:r w:rsidDel="00000000" w:rsidR="00000000" w:rsidRPr="00000000">
        <w:rPr>
          <w:rFonts w:ascii="Arial" w:cs="Arial" w:eastAsia="Arial" w:hAnsi="Arial"/>
          <w:rtl w:val="0"/>
        </w:rPr>
        <w:t xml:space="preserve">Este relato de experiência tem por objetivo descrever a concepção, implementação da oficina “CoInfo, Biblioteconomia e Ciência no MAST”, realizada em janeiro de 2025 com alunas do ensino médio da cidade do Rio de Janeiro participantes do programa “Futuras Cientistas”. O programa “Futuras Cientistas” aproxima alunas do ensino médio da pesquisa científica por meio de vivências práticas, orientação de mentoria e ações de formação cidadã. A atividade foi desenvolvida na Biblioteca Henrique Morize do Museu de Astronomia e Ciências Afins (MAST) e teve como objetivo promover reflexões sobre negacionismo científico e invisibilidade histórica das mulheres na ciência, bem como o desenvolvimento da Competência em Informação (CoInfo) de alunas da rede pública. A CoInfo pode ser descrita como um processo de desenvolvimento e aprimoramento das relações humanas com o ecossistema informacional, fomentando uma visão crítica e consciente sobre a realidade no qual estão inseridas. A metodologia utilizada foi qualitativa e exploratória, onde integrou observação participante, entrevistas semiestruturadas pré e pós-oficina para avaliação do nível de competência informacional das participantes. Ao longo da Oficina em Competência em Informação (CoInfo) foram aplicadas dinâmicas de análise de fontes digitais e discussões reflexivas sobre desinformação. Após a realização da Oficina, as participantes afirmaram que as práticas promovidas ampliaram seu pensamento crítico e passaram a reconhecer a importância de bibliotecas especializadas como espaços de empoderamento. Conclui-se que a oficina contribui para democratizar o acesso à informação de qualidade, estreitar vínculos entre biblioteca e comunidade e ampliar o debate sobre as barreiras à inserção das mulheres em carreiras científicas, além de buscar promoção da equidade de gênero e combate ao negacionismo científico.</w:t>
      </w:r>
      <w:r w:rsidDel="00000000" w:rsidR="00000000" w:rsidRPr="00000000">
        <w:rPr>
          <w:rFonts w:ascii="Arial" w:cs="Arial" w:eastAsia="Arial" w:hAnsi="Arial"/>
          <w:rtl w:val="0"/>
        </w:rPr>
        <w:t xml:space="preserve"> </w:t>
      </w:r>
    </w:p>
    <w:p w:rsidR="00000000" w:rsidDel="00000000" w:rsidP="00000000" w:rsidRDefault="00000000" w:rsidRPr="00000000" w14:paraId="0000000B">
      <w:pPr>
        <w:spacing w:after="0" w:line="240"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0C">
      <w:p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Palavras-chave: Competência em Informação; </w:t>
      </w:r>
      <w:r w:rsidDel="00000000" w:rsidR="00000000" w:rsidRPr="00000000">
        <w:rPr>
          <w:rFonts w:ascii="Arial" w:cs="Arial" w:eastAsia="Arial" w:hAnsi="Arial"/>
          <w:rtl w:val="0"/>
        </w:rPr>
        <w:t xml:space="preserve">negacionismo científico; equidade de gênero</w:t>
      </w:r>
      <w:r w:rsidDel="00000000" w:rsidR="00000000" w:rsidRPr="00000000">
        <w:rPr>
          <w:rFonts w:ascii="Arial" w:cs="Arial" w:eastAsia="Arial" w:hAnsi="Arial"/>
          <w:rtl w:val="0"/>
        </w:rPr>
        <w:t xml:space="preserve">; Biblioteca Henrique Morize.</w:t>
      </w:r>
    </w:p>
    <w:p w:rsidR="00000000" w:rsidDel="00000000" w:rsidP="00000000" w:rsidRDefault="00000000" w:rsidRPr="00000000" w14:paraId="0000000D">
      <w:pPr>
        <w:spacing w:after="0" w:line="240"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0E">
      <w:pPr>
        <w:spacing w:after="0" w:line="240" w:lineRule="auto"/>
        <w:ind w:left="0" w:hanging="2"/>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Abstract</w:t>
      </w:r>
    </w:p>
    <w:p w:rsidR="00000000" w:rsidDel="00000000" w:rsidP="00000000" w:rsidRDefault="00000000" w:rsidRPr="00000000" w14:paraId="0000000F">
      <w:pPr>
        <w:spacing w:after="0" w:line="240" w:lineRule="auto"/>
        <w:ind w:left="0" w:hanging="2"/>
        <w:jc w:val="both"/>
        <w:rPr>
          <w:rFonts w:ascii="Arial" w:cs="Arial" w:eastAsia="Arial" w:hAnsi="Arial"/>
        </w:rPr>
      </w:pPr>
      <w:r w:rsidDel="00000000" w:rsidR="00000000" w:rsidRPr="00000000">
        <w:rPr>
          <w:rFonts w:ascii="Arial" w:cs="Arial" w:eastAsia="Arial" w:hAnsi="Arial"/>
          <w:rtl w:val="0"/>
        </w:rPr>
        <w:t xml:space="preserve">This experience describes the design and implementation of the workshop “CoInfo, Librarianship and Science at MAST,” which took place in January 2025 with high school students from Rio de Janeiro participating in the Futuras Cientistas program. The Futuras Cientistas program connects students to scientific research through hands-on activities, mentorship, and civic education. Hosted at the Biblioteca Henrique Morize at the Museu de Astronomia e Ciências Afins (MAST), the workshop aimed to encourage reflection on scientific denialism and the historical invisibility of women in science, while also promoting Information Literacy (IL) among public school students. IL can be described as a process of developing and improving human relationships with the information ecosystem, fostering a critical and conscious view of the reality in which they are inserted. The workshop utilized a qualitative and exploratory methodology, combining participant observation with semi-structured interviews conducted before and after the event to assess changes in participants’ information literacy. During the Information Literacy Workshop (CoInfo), students engaged in digital source analysis activities and reflective discussions on misinformation. Upon completion, participants reported improved critical thinking skills and a heightened appreciation for specialized libraries as empowering spaces.The findings suggest that the workshop contributed to democratizing access to quality information, strengthening the relationship between the library and the community, expanding the discussion on barriers faced by women in scientific careers, and advancing both gender equity and the fight against scientific denialism </w:t>
      </w:r>
    </w:p>
    <w:p w:rsidR="00000000" w:rsidDel="00000000" w:rsidP="00000000" w:rsidRDefault="00000000" w:rsidRPr="00000000" w14:paraId="00000010">
      <w:pPr>
        <w:spacing w:after="0" w:line="240"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11">
      <w:pPr>
        <w:spacing w:after="0" w:line="240" w:lineRule="auto"/>
        <w:ind w:left="0" w:hanging="2"/>
        <w:jc w:val="both"/>
        <w:rPr>
          <w:rFonts w:ascii="Arial" w:cs="Arial" w:eastAsia="Arial" w:hAnsi="Arial"/>
          <w:sz w:val="24"/>
          <w:szCs w:val="24"/>
        </w:rPr>
      </w:pPr>
      <w:r w:rsidDel="00000000" w:rsidR="00000000" w:rsidRPr="00000000">
        <w:rPr>
          <w:rFonts w:ascii="Arial" w:cs="Arial" w:eastAsia="Arial" w:hAnsi="Arial"/>
          <w:rtl w:val="0"/>
        </w:rPr>
        <w:t xml:space="preserve">Keywords: Information Literacy; </w:t>
      </w:r>
      <w:r w:rsidDel="00000000" w:rsidR="00000000" w:rsidRPr="00000000">
        <w:rPr>
          <w:rFonts w:ascii="Roboto" w:cs="Roboto" w:eastAsia="Roboto" w:hAnsi="Roboto"/>
          <w:color w:val="1c1c1c"/>
          <w:sz w:val="21"/>
          <w:szCs w:val="21"/>
          <w:highlight w:val="white"/>
          <w:rtl w:val="0"/>
        </w:rPr>
        <w:t xml:space="preserve">scientific denialism</w:t>
      </w:r>
      <w:r w:rsidDel="00000000" w:rsidR="00000000" w:rsidRPr="00000000">
        <w:rPr>
          <w:rFonts w:ascii="Arial" w:cs="Arial" w:eastAsia="Arial" w:hAnsi="Arial"/>
          <w:rtl w:val="0"/>
        </w:rPr>
        <w:t xml:space="preserve">; </w:t>
      </w:r>
      <w:r w:rsidDel="00000000" w:rsidR="00000000" w:rsidRPr="00000000">
        <w:rPr>
          <w:rFonts w:ascii="Roboto" w:cs="Roboto" w:eastAsia="Roboto" w:hAnsi="Roboto"/>
          <w:color w:val="1c1c1c"/>
          <w:sz w:val="21"/>
          <w:szCs w:val="21"/>
          <w:highlight w:val="white"/>
          <w:rtl w:val="0"/>
        </w:rPr>
        <w:t xml:space="preserve">gender equity; </w:t>
      </w:r>
      <w:r w:rsidDel="00000000" w:rsidR="00000000" w:rsidRPr="00000000">
        <w:rPr>
          <w:rFonts w:ascii="Arial" w:cs="Arial" w:eastAsia="Arial" w:hAnsi="Arial"/>
          <w:rtl w:val="0"/>
        </w:rPr>
        <w:t xml:space="preserve">Henrique Morize Library.</w:t>
      </w:r>
      <w:r w:rsidDel="00000000" w:rsidR="00000000" w:rsidRPr="00000000">
        <w:rPr>
          <w:rtl w:val="0"/>
        </w:rPr>
      </w:r>
    </w:p>
    <w:p w:rsidR="00000000" w:rsidDel="00000000" w:rsidP="00000000" w:rsidRDefault="00000000" w:rsidRPr="00000000" w14:paraId="00000012">
      <w:pPr>
        <w:spacing w:after="0" w:line="360" w:lineRule="auto"/>
        <w:ind w:left="0" w:hanging="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spacing w:after="0" w:line="240" w:lineRule="auto"/>
        <w:ind w:left="0" w:hanging="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 INTRODUÇÃO</w:t>
      </w:r>
    </w:p>
    <w:p w:rsidR="00000000" w:rsidDel="00000000" w:rsidP="00000000" w:rsidRDefault="00000000" w:rsidRPr="00000000" w14:paraId="00000014">
      <w:pPr>
        <w:spacing w:after="0" w:line="240" w:lineRule="auto"/>
        <w:ind w:left="0" w:hanging="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spacing w:after="0" w:line="240" w:lineRule="auto"/>
        <w:ind w:left="0" w:hanging="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spacing w:after="0" w:line="360" w:lineRule="auto"/>
        <w:ind w:firstLine="850.393700787401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Este artigo descreve a oficina “CoInfo, Biblioteconomia e Ciência no MAST”, realizada na Biblioteca Henrique Morize (BHM) do Museu de Astronomia e Ciências Afins (MAST), no âmbito do Projeto Futuras Cientistas. A atividade promoveu reflexões sobre o negacionismo científico e a invisibilidade histórica das mulheres na ciência. Com mais de quarenta anos de atuação, a BHM buscou, por meio dessa iniciativa, estreitar vínculos com a comunidade local e ampliar a inclusão e o acesso à informação de qualidade.</w:t>
      </w:r>
    </w:p>
    <w:p w:rsidR="00000000" w:rsidDel="00000000" w:rsidP="00000000" w:rsidRDefault="00000000" w:rsidRPr="00000000" w14:paraId="00000017">
      <w:pPr>
        <w:spacing w:after="0" w:line="360" w:lineRule="auto"/>
        <w:ind w:firstLine="850.393700787401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Num país que se vê cada vez mais desafiado pelo negacionismo, como podemos falar sobre o futuro das mulheres na ciência? Como uma sociedade pode funcionar com apenas uma parcela de seus recursos destinados ao campo científico? Sabe-se que as mulheres representam mais da metade da população mundial. No entanto, ainda ocupam poucos espaços no mercado de trabalho e enfrentam diversas barreiras econômicas e sociais. Inúmeros obstáculos sistêmicos e estruturantes são levantados para impedir o pleno acesso e permanência das mulheres nesses ambientes. </w:t>
      </w:r>
    </w:p>
    <w:p w:rsidR="00000000" w:rsidDel="00000000" w:rsidP="00000000" w:rsidRDefault="00000000" w:rsidRPr="00000000" w14:paraId="00000018">
      <w:pPr>
        <w:spacing w:after="0" w:line="360" w:lineRule="auto"/>
        <w:ind w:firstLine="850.393700787401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que se refere à desigualdade de gêneros, infelizmente, apesar das mulheres </w:t>
      </w:r>
      <w:r w:rsidDel="00000000" w:rsidR="00000000" w:rsidRPr="00000000">
        <w:rPr>
          <w:rFonts w:ascii="Arial" w:cs="Arial" w:eastAsia="Arial" w:hAnsi="Arial"/>
          <w:sz w:val="24"/>
          <w:szCs w:val="24"/>
          <w:rtl w:val="0"/>
        </w:rPr>
        <w:t xml:space="preserve">corresponderem</w:t>
      </w:r>
      <w:r w:rsidDel="00000000" w:rsidR="00000000" w:rsidRPr="00000000">
        <w:rPr>
          <w:rFonts w:ascii="Arial" w:cs="Arial" w:eastAsia="Arial" w:hAnsi="Arial"/>
          <w:sz w:val="24"/>
          <w:szCs w:val="24"/>
          <w:rtl w:val="0"/>
        </w:rPr>
        <w:t xml:space="preserve"> a 21,3% do total de alunas dos cursos de graduação e 54,56% de pós-graduação, elas representam apenas 35,6% do total das modalidades de bolsas de pesquisa do CNPq (Rosa, 2024). A igualdade de gênero e a autonomia das mulheres é um compromisso firmado pela Organização das Nações Unidas (ONU) com 189 países signatários (ONU, [s. d.]). </w:t>
      </w:r>
    </w:p>
    <w:p w:rsidR="00000000" w:rsidDel="00000000" w:rsidP="00000000" w:rsidRDefault="00000000" w:rsidRPr="00000000" w14:paraId="00000019">
      <w:pPr>
        <w:spacing w:after="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Projeto Futuras Cientistas foi instituído em 2012 pelo Centro de Tecnologias Estratégicas do Nordeste (CETENE), unidade de pesquisa vinculada ao Ministério da Ciência, Tecnologia e Inovação (MCTI) e hoje está consolidado como política pública. O MAST, também subordinado ao MCTI, por meio do programa busca democratizar o acesso ao conhecimento e fomentar o interesse de estudantes da rede pública em atividades de pesquisa científica em todo o território nacional. </w:t>
      </w:r>
    </w:p>
    <w:p w:rsidR="00000000" w:rsidDel="00000000" w:rsidP="00000000" w:rsidRDefault="00000000" w:rsidRPr="00000000" w14:paraId="0000001A">
      <w:pPr>
        <w:spacing w:after="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Dados indicam que, entre as participantes do programa aprovadas em processos seletivos de ensino superior, cerca de 80% optam por ingressar em cursos das áreas de ciência e tecnologia (FIOCRUZ, 2024). Nesse sentido, o programa contribui para incentivar o ingresso das mulheres nas áreas de ciência e tecnologia, ao passo que busca aproximá-las aos centros tecnológicos e instituições de pesquisa. </w:t>
      </w:r>
    </w:p>
    <w:p w:rsidR="00000000" w:rsidDel="00000000" w:rsidP="00000000" w:rsidRDefault="00000000" w:rsidRPr="00000000" w14:paraId="0000001B">
      <w:pPr>
        <w:spacing w:after="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Nesse sentido, esperou-se que as participantes analisassem a informação de forma racional e prática, mas também ampliar o senso crítico para pensarem e refletirem sobre o que observam, aprimorando a capacidade intelectual para debaterem questões que possam contribuir para o respeito e a justiça quanto às diferenças de gênero, fortalecendo o lugar das mulheres na sociedade.</w:t>
      </w:r>
    </w:p>
    <w:p w:rsidR="00000000" w:rsidDel="00000000" w:rsidP="00000000" w:rsidRDefault="00000000" w:rsidRPr="00000000" w14:paraId="0000001C">
      <w:pPr>
        <w:spacing w:after="0" w:line="360" w:lineRule="auto"/>
        <w:ind w:left="0" w:hanging="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spacing w:after="0" w:line="360" w:lineRule="auto"/>
        <w:ind w:left="0" w:hanging="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 DESENVOLVIMENTO</w:t>
      </w:r>
    </w:p>
    <w:p w:rsidR="00000000" w:rsidDel="00000000" w:rsidP="00000000" w:rsidRDefault="00000000" w:rsidRPr="00000000" w14:paraId="0000001E">
      <w:pPr>
        <w:spacing w:after="0" w:line="360" w:lineRule="auto"/>
        <w:ind w:left="0" w:hanging="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spacing w:after="0" w:line="360" w:lineRule="auto"/>
        <w:ind w:left="0" w:firstLine="850.393700787401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oficina integrou práticas de Competência em Informação (CoInfo) – que capacitam à localização, avaliação e uso crítico de informações, sobretudo digitais – para promover reflexões sobre equidade de gênero na ciência e destacar o protagonismo das mulheres cientistas, frequentemente negligenciado pela historiografia. Simultaneamente, evidenciou o bibliotecário em museus como mediador do saber e fomentador do pensamento crítico.</w:t>
      </w:r>
    </w:p>
    <w:p w:rsidR="00000000" w:rsidDel="00000000" w:rsidP="00000000" w:rsidRDefault="00000000" w:rsidRPr="00000000" w14:paraId="00000020">
      <w:pPr>
        <w:spacing w:after="0" w:line="360" w:lineRule="auto"/>
        <w:ind w:left="0" w:firstLine="850.393700787401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CoInfo denomina o conjunto de habilidades e atitudes para definir uma necessidade informacional, buscar a informação, avaliá-la e usá-la de forma crítica, ética e consciente. E, levando em conta o contexto informacional atual em que há um aumento constante na produção e disponibilização da informação, a habilidade para lidar de forma adequada com essa informação é fator determinante para o processo de aprendizagem. Nesse sentido, a implementação de ações para desenvolver a CoInfo deve ser uma constante nas atividades das bibliotecas.</w:t>
      </w:r>
    </w:p>
    <w:p w:rsidR="00000000" w:rsidDel="00000000" w:rsidP="00000000" w:rsidRDefault="00000000" w:rsidRPr="00000000" w14:paraId="00000021">
      <w:pPr>
        <w:spacing w:after="0" w:line="360" w:lineRule="auto"/>
        <w:ind w:left="0" w:firstLine="850.393700787401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Ainda se reportando à competência em informação vale destacar o novo documento da Association of College &amp; Research Libraries (ACRL), que a definiu como: </w:t>
      </w:r>
    </w:p>
    <w:p w:rsidR="00000000" w:rsidDel="00000000" w:rsidP="00000000" w:rsidRDefault="00000000" w:rsidRPr="00000000" w14:paraId="00000022">
      <w:pPr>
        <w:spacing w:after="0" w:line="240" w:lineRule="auto"/>
        <w:ind w:left="0" w:firstLine="850.393700787401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3">
      <w:pPr>
        <w:spacing w:after="0" w:line="240" w:lineRule="auto"/>
        <w:ind w:left="2267.71653543307" w:firstLine="0"/>
        <w:jc w:val="both"/>
        <w:rPr>
          <w:rFonts w:ascii="Arial" w:cs="Arial" w:eastAsia="Arial" w:hAnsi="Arial"/>
        </w:rPr>
      </w:pPr>
      <w:r w:rsidDel="00000000" w:rsidR="00000000" w:rsidRPr="00000000">
        <w:rPr>
          <w:rFonts w:ascii="Arial" w:cs="Arial" w:eastAsia="Arial" w:hAnsi="Arial"/>
          <w:rtl w:val="0"/>
        </w:rPr>
        <w:t xml:space="preserve">[...] conjunto de habilidades integradas que abrange a descoberta reflexiva de informação, a compreensão de como a informação é produzida e valorizada, o uso de informação na criação de novos conhecimentos e a participação ética nas comunidades de aprendizagem. (ACRL, 2016, p. 3, tradução nossa). </w:t>
      </w:r>
    </w:p>
    <w:p w:rsidR="00000000" w:rsidDel="00000000" w:rsidP="00000000" w:rsidRDefault="00000000" w:rsidRPr="00000000" w14:paraId="00000024">
      <w:pPr>
        <w:spacing w:after="0" w:line="360" w:lineRule="auto"/>
        <w:ind w:left="0" w:firstLine="850.393700787401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5">
      <w:pPr>
        <w:spacing w:after="0" w:line="360" w:lineRule="auto"/>
        <w:ind w:left="0" w:firstLine="850.393700787401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Nesse conceito pode-se observar que há uma integração de diferentes habilidades para se alcançar a competência em informação, envolvendo a reflexão, a compreensão e a ética em relação à busca, uso e compartilhamento da informação. </w:t>
      </w:r>
    </w:p>
    <w:p w:rsidR="00000000" w:rsidDel="00000000" w:rsidP="00000000" w:rsidRDefault="00000000" w:rsidRPr="00000000" w14:paraId="00000026">
      <w:pPr>
        <w:spacing w:after="0" w:line="360" w:lineRule="auto"/>
        <w:ind w:left="0" w:firstLine="850.393700787401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Atualmente, é possível perceber uma mudança no comportamento informacional dos usuários. A forma como a informação é consumida, os canais onde se busca informação e a questão da autoridade em informação modificaram-se ao longo dos anos. Hoje, recebem a informação e a modificam, acrescentam e compartilham, a fim de agilizar os processos de utilização da mesma e isso impacta em seus processos de uso. </w:t>
      </w:r>
    </w:p>
    <w:p w:rsidR="00000000" w:rsidDel="00000000" w:rsidP="00000000" w:rsidRDefault="00000000" w:rsidRPr="00000000" w14:paraId="00000027">
      <w:pPr>
        <w:spacing w:after="0" w:line="360" w:lineRule="auto"/>
        <w:ind w:left="0" w:firstLine="850.393700787401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Além disso, a diversidade de recursos informacionais e as variadas formas de acessá-los também requerem mais habilidades e mais complexas. Cabe assim, ao bibliotecário oportunizar situações para que os usuários desenvolvam habilidades e possam lidar com a informação em meio a esse novo ambiente informacional.</w:t>
      </w:r>
    </w:p>
    <w:p w:rsidR="00000000" w:rsidDel="00000000" w:rsidP="00000000" w:rsidRDefault="00000000" w:rsidRPr="00000000" w14:paraId="00000028">
      <w:pPr>
        <w:spacing w:after="0" w:line="360" w:lineRule="auto"/>
        <w:ind w:left="0" w:firstLine="850.393700787401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modo mais geral, Dudziak (2008) destaca que a competência em informação engloba habilidades que permitem localizar, criar, avaliar e aplicar adequadamente a informação. Este conjunto de habilidades é requerido ao indivíduo para reconhecer quando a informação é necessária, sendo que Lau (2007, p. 4) enfatiza que “as habilidades em informação são fatores chave na aprendizagem ao longo da vida e o primeiro passo [...] a qualquer aprendiz”. </w:t>
      </w:r>
    </w:p>
    <w:p w:rsidR="00000000" w:rsidDel="00000000" w:rsidP="00000000" w:rsidRDefault="00000000" w:rsidRPr="00000000" w14:paraId="00000029">
      <w:pPr>
        <w:spacing w:after="0" w:line="360" w:lineRule="auto"/>
        <w:ind w:left="0" w:firstLine="850.393700787401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Assim, a competência em informação não é apenas crucial para o aprendizado contínuo, mas também é um ponto de partida fundamental para qualquer processo de aprendizagem. Deve-se ser explorada como um meio para fomentar o pensamento crítico, capacitando o indivíduo a lidar de forma analítica e perspicaz com a informação em seu dia a dia e em diversas situações.</w:t>
      </w:r>
    </w:p>
    <w:p w:rsidR="00000000" w:rsidDel="00000000" w:rsidP="00000000" w:rsidRDefault="00000000" w:rsidRPr="00000000" w14:paraId="0000002A">
      <w:pPr>
        <w:spacing w:after="0" w:line="36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B">
      <w:pPr>
        <w:spacing w:after="0" w:line="360" w:lineRule="auto"/>
        <w:ind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2.1 METODOLOGIA</w:t>
      </w:r>
    </w:p>
    <w:p w:rsidR="00000000" w:rsidDel="00000000" w:rsidP="00000000" w:rsidRDefault="00000000" w:rsidRPr="00000000" w14:paraId="0000002C">
      <w:pPr>
        <w:spacing w:after="0" w:line="36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D">
      <w:pPr>
        <w:spacing w:after="0" w:line="360" w:lineRule="auto"/>
        <w:ind w:firstLine="850.393700787401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oficina integrou a programação do programa Futuras Cientistas do MAST, na qual as participantes foram estimuladas a desenvolver habilidades críticas no uso de conteúdos digitais como fontes de informação primárias. Além disso, foram abordadas estratégias para identificar informações falsas, promovendo a autonomia intelectual, o senso crítico e a criatividade em uma sociedade cada vez mais pautada pelo fluxo massivo de dados. A prática da CoInfo revelou-se, assim, uma ferramenta essencial para empoderar as participantes no enfrentamento das desigualdades de gênero e no combate à desinformação.</w:t>
      </w:r>
    </w:p>
    <w:p w:rsidR="00000000" w:rsidDel="00000000" w:rsidP="00000000" w:rsidRDefault="00000000" w:rsidRPr="00000000" w14:paraId="0000002E">
      <w:pPr>
        <w:spacing w:after="0" w:line="360" w:lineRule="auto"/>
        <w:ind w:firstLine="850.393700787401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pesquisa adotou abordagem qualitativa exploratória, com análise descritiva-exploratória do impacto das práticas de CoInfo na reflexão das participantes acerca do papel das mulheres na ciência e na promoção da competência informacional. Seu objetivo principal foi compreender como as alunas se envolvem com a equidade de gênero e com o uso crítico da informação em uma biblioteca especializada. </w:t>
      </w:r>
    </w:p>
    <w:p w:rsidR="00000000" w:rsidDel="00000000" w:rsidP="00000000" w:rsidRDefault="00000000" w:rsidRPr="00000000" w14:paraId="0000002F">
      <w:pPr>
        <w:spacing w:after="0" w:line="360" w:lineRule="auto"/>
        <w:ind w:firstLine="850.393700787401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método empregado foi qualitativo, utilizando-se de observação participante e entrevistas semi-estruturadas, onde buscou-se compreender as percepções, atitudes e conhecimentos adquiridos pelas participantes ao longo da oficina. Essas abordagens permitiram uma análise aprofundada das reações e aprendizagens, bem como dos impactos da atividade na formação de um pensamento crítico em relação à ciência e à informação.</w:t>
      </w:r>
    </w:p>
    <w:p w:rsidR="00000000" w:rsidDel="00000000" w:rsidP="00000000" w:rsidRDefault="00000000" w:rsidRPr="00000000" w14:paraId="00000030">
      <w:pPr>
        <w:spacing w:after="0" w:line="360" w:lineRule="auto"/>
        <w:ind w:firstLine="850.393700787401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técnica de coleta de dados utilizada foi a observação participante. Por meio da observação participante, foi possível fazer um acompanhamento ativo do desenvolvimento da oficina, com anotações sobre as interações e respostas das participantes aos conteúdos abordados.</w:t>
      </w:r>
    </w:p>
    <w:p w:rsidR="00000000" w:rsidDel="00000000" w:rsidP="00000000" w:rsidRDefault="00000000" w:rsidRPr="00000000" w14:paraId="00000031">
      <w:pPr>
        <w:spacing w:after="0" w:line="360" w:lineRule="auto"/>
        <w:ind w:firstLine="850.393700787401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 técnicas de análise foram essencialmente qualitativas, baseadas na análise de conteúdo, visando identificar padrões nas respostas dos participantes e nas observações feitas durante a atividade. As categorias de análise incluíram o ‘reconhecimento do papel das mulheres na ciência’, a ‘habilidade de identificar fake news’, a ‘avaliação crítica das fontes de informação’ e o ‘impacto do exercício na mudança de percepção sobre gênero na ciência’.</w:t>
      </w:r>
    </w:p>
    <w:p w:rsidR="00000000" w:rsidDel="00000000" w:rsidP="00000000" w:rsidRDefault="00000000" w:rsidRPr="00000000" w14:paraId="00000032">
      <w:pPr>
        <w:spacing w:after="0" w:line="360" w:lineRule="auto"/>
        <w:ind w:firstLine="850.393700787401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oficina também abordou, de forma interativa, o uso de fontes digitais como instrumentos para a promoção do pensamento crítico e a identificação de informações falsas. A análise dos resultados indicou que as participantes se sentiram mais capacitadas para questionar informações científicas e sociais, além de adquirirem uma melhor compreensão sobre a importância das mulheres cientistas ao longo da história.</w:t>
      </w:r>
    </w:p>
    <w:p w:rsidR="00000000" w:rsidDel="00000000" w:rsidP="00000000" w:rsidRDefault="00000000" w:rsidRPr="00000000" w14:paraId="00000033">
      <w:pPr>
        <w:spacing w:after="0" w:line="360" w:lineRule="auto"/>
        <w:ind w:left="0" w:hanging="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4">
      <w:pPr>
        <w:spacing w:after="0" w:line="360" w:lineRule="auto"/>
        <w:ind w:left="0" w:hanging="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 CONSIDERAÇÕES FINAIS</w:t>
      </w:r>
    </w:p>
    <w:p w:rsidR="00000000" w:rsidDel="00000000" w:rsidP="00000000" w:rsidRDefault="00000000" w:rsidRPr="00000000" w14:paraId="00000035">
      <w:pPr>
        <w:spacing w:after="0" w:line="360" w:lineRule="auto"/>
        <w:ind w:left="0" w:firstLine="30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6">
      <w:pPr>
        <w:spacing w:after="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oficina “CoInfo, Biblioteconomia e Ciência no MAST” mostrou-se uma valiosa ação promotora estratégica de desenvolvimento de competências informacionais e reflexões sobre equidade de gênero, valendo-se de abordagem qualitativa (observação participante e entrevistas semi estruturadas) para avaliar seu impacto no pensamento crítico das participantes. As dinâmicas de CoInfo foram fundamentais para estimular autonomia intelectual, combater o negacionismo científico e evidenciar o protagonismo das mulheres na ciência, oferecendo um modelo inspirador para iniciativas inclusivas em bibliotecas especializadas.</w:t>
      </w:r>
    </w:p>
    <w:p w:rsidR="00000000" w:rsidDel="00000000" w:rsidP="00000000" w:rsidRDefault="00000000" w:rsidRPr="00000000" w14:paraId="00000037">
      <w:pPr>
        <w:spacing w:after="0" w:line="360" w:lineRule="auto"/>
        <w:ind w:firstLine="850.393700787401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Como desdobramento desta experiência, recomenda-se que pesquisas futuras avaliem o impacto de ações de Competência em Informação em variados contextos socioculturais e educacionais, por meio de estudos longitudinais sobre mudanças no comportamento informacional e comparativos entre públicos diversos. Sugere-se ainda desenvolver instrumentos de mensuração da CoInfo com recorte de gênero e investigar o papel das bibliotecas de museus como agentes de educação não formal, de modo a aprofundar estratégias para garantir acesso equitativo à informação e promover uma ciência mais inclusiva e plural.</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360" w:lineRule="auto"/>
        <w:ind w:left="0" w:hanging="2"/>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360" w:lineRule="auto"/>
        <w:ind w:left="0" w:hanging="2"/>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REFERÊNCIAS</w:t>
      </w:r>
    </w:p>
    <w:p w:rsidR="00000000" w:rsidDel="00000000" w:rsidP="00000000" w:rsidRDefault="00000000" w:rsidRPr="00000000" w14:paraId="0000003A">
      <w:pPr>
        <w:spacing w:after="0" w:line="240" w:lineRule="auto"/>
        <w:ind w:left="0" w:hang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B">
      <w:pPr>
        <w:spacing w:after="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ASSOCIATION OF COLLEGE AND RESEARCH LIBRARY (ACRL). </w:t>
      </w:r>
      <w:r w:rsidDel="00000000" w:rsidR="00000000" w:rsidRPr="00000000">
        <w:rPr>
          <w:rFonts w:ascii="Arial" w:cs="Arial" w:eastAsia="Arial" w:hAnsi="Arial"/>
          <w:b w:val="1"/>
          <w:sz w:val="24"/>
          <w:szCs w:val="24"/>
          <w:rtl w:val="0"/>
        </w:rPr>
        <w:t xml:space="preserve">Framework for information literacy for higher education</w:t>
      </w:r>
      <w:r w:rsidDel="00000000" w:rsidR="00000000" w:rsidRPr="00000000">
        <w:rPr>
          <w:rFonts w:ascii="Arial" w:cs="Arial" w:eastAsia="Arial" w:hAnsi="Arial"/>
          <w:sz w:val="24"/>
          <w:szCs w:val="24"/>
          <w:rtl w:val="0"/>
        </w:rPr>
        <w:t xml:space="preserve">. Chicago: ALA, 2016. Disponível em: </w:t>
      </w:r>
      <w:hyperlink r:id="rId7">
        <w:r w:rsidDel="00000000" w:rsidR="00000000" w:rsidRPr="00000000">
          <w:rPr>
            <w:rFonts w:ascii="Arial" w:cs="Arial" w:eastAsia="Arial" w:hAnsi="Arial"/>
            <w:color w:val="1155cc"/>
            <w:sz w:val="24"/>
            <w:szCs w:val="24"/>
            <w:u w:val="single"/>
            <w:rtl w:val="0"/>
          </w:rPr>
          <w:t xml:space="preserve">http://www.ala.org/acrl/standards/ilframework</w:t>
        </w:r>
      </w:hyperlink>
      <w:r w:rsidDel="00000000" w:rsidR="00000000" w:rsidRPr="00000000">
        <w:rPr>
          <w:rFonts w:ascii="Arial" w:cs="Arial" w:eastAsia="Arial" w:hAnsi="Arial"/>
          <w:sz w:val="24"/>
          <w:szCs w:val="24"/>
          <w:rtl w:val="0"/>
        </w:rPr>
        <w:t xml:space="preserve">. Acesso em: 24 mar. 2025.</w:t>
      </w:r>
    </w:p>
    <w:p w:rsidR="00000000" w:rsidDel="00000000" w:rsidP="00000000" w:rsidRDefault="00000000" w:rsidRPr="00000000" w14:paraId="0000003C">
      <w:pPr>
        <w:spacing w:after="0" w:lineRule="auto"/>
        <w:ind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D">
      <w:pPr>
        <w:spacing w:after="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BRASIL. OBSERVATÓRIO NACIONAL. </w:t>
      </w:r>
      <w:r w:rsidDel="00000000" w:rsidR="00000000" w:rsidRPr="00000000">
        <w:rPr>
          <w:rFonts w:ascii="Arial" w:cs="Arial" w:eastAsia="Arial" w:hAnsi="Arial"/>
          <w:b w:val="1"/>
          <w:sz w:val="24"/>
          <w:szCs w:val="24"/>
          <w:rtl w:val="0"/>
        </w:rPr>
        <w:t xml:space="preserve">Observatório Nacional celebra 110 anos da Hora Legal Brasileira com evento especial</w:t>
      </w:r>
      <w:r w:rsidDel="00000000" w:rsidR="00000000" w:rsidRPr="00000000">
        <w:rPr>
          <w:rFonts w:ascii="Arial" w:cs="Arial" w:eastAsia="Arial" w:hAnsi="Arial"/>
          <w:sz w:val="24"/>
          <w:szCs w:val="24"/>
          <w:rtl w:val="0"/>
        </w:rPr>
        <w:t xml:space="preserve">. 16 nov. 2023. Disponível em: </w:t>
      </w:r>
      <w:hyperlink r:id="rId8">
        <w:r w:rsidDel="00000000" w:rsidR="00000000" w:rsidRPr="00000000">
          <w:rPr>
            <w:rFonts w:ascii="Arial" w:cs="Arial" w:eastAsia="Arial" w:hAnsi="Arial"/>
            <w:color w:val="0000ff"/>
            <w:sz w:val="24"/>
            <w:szCs w:val="24"/>
            <w:u w:val="single"/>
            <w:rtl w:val="0"/>
          </w:rPr>
          <w:t xml:space="preserve">https://www.gov.br/observatorio/pt-br/assuntos/noticias/observatorio-nacional-celebra-110-anos-da-hora-legal-brasileira-com-evento-especial</w:t>
        </w:r>
      </w:hyperlink>
      <w:r w:rsidDel="00000000" w:rsidR="00000000" w:rsidRPr="00000000">
        <w:rPr>
          <w:rFonts w:ascii="Arial" w:cs="Arial" w:eastAsia="Arial" w:hAnsi="Arial"/>
          <w:sz w:val="24"/>
          <w:szCs w:val="24"/>
          <w:rtl w:val="0"/>
        </w:rPr>
        <w:t xml:space="preserve">. Acesso em: 13 jan. 2025.</w:t>
      </w:r>
    </w:p>
    <w:p w:rsidR="00000000" w:rsidDel="00000000" w:rsidP="00000000" w:rsidRDefault="00000000" w:rsidRPr="00000000" w14:paraId="0000003E">
      <w:pPr>
        <w:spacing w:after="0" w:lineRule="auto"/>
        <w:ind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F">
      <w:pPr>
        <w:spacing w:after="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DUDZIAK, Elisabeth Adriana. Os faróis da sociedade de informação: uma análise crítica sobre a situação da competência em informação no Brasil. </w:t>
      </w:r>
      <w:r w:rsidDel="00000000" w:rsidR="00000000" w:rsidRPr="00000000">
        <w:rPr>
          <w:rFonts w:ascii="Arial" w:cs="Arial" w:eastAsia="Arial" w:hAnsi="Arial"/>
          <w:b w:val="1"/>
          <w:sz w:val="24"/>
          <w:szCs w:val="24"/>
          <w:rtl w:val="0"/>
        </w:rPr>
        <w:t xml:space="preserve">Informação &amp; Sociedade</w:t>
      </w:r>
      <w:r w:rsidDel="00000000" w:rsidR="00000000" w:rsidRPr="00000000">
        <w:rPr>
          <w:rFonts w:ascii="Arial" w:cs="Arial" w:eastAsia="Arial" w:hAnsi="Arial"/>
          <w:sz w:val="24"/>
          <w:szCs w:val="24"/>
          <w:rtl w:val="0"/>
        </w:rPr>
        <w:t xml:space="preserve">: estudos, João Pessoa, v. 18, n.2, p. 41-53, maio/ago. 2008. Disponível em: </w:t>
      </w:r>
      <w:hyperlink r:id="rId9">
        <w:r w:rsidDel="00000000" w:rsidR="00000000" w:rsidRPr="00000000">
          <w:rPr>
            <w:rFonts w:ascii="Arial" w:cs="Arial" w:eastAsia="Arial" w:hAnsi="Arial"/>
            <w:color w:val="0000ff"/>
            <w:sz w:val="24"/>
            <w:szCs w:val="24"/>
            <w:u w:val="single"/>
            <w:rtl w:val="0"/>
          </w:rPr>
          <w:t xml:space="preserve">http://www.periodicos.ufpb.br/ojs/index.php/ies/article/view/1704</w:t>
        </w:r>
      </w:hyperlink>
      <w:r w:rsidDel="00000000" w:rsidR="00000000" w:rsidRPr="00000000">
        <w:rPr>
          <w:rFonts w:ascii="Arial" w:cs="Arial" w:eastAsia="Arial" w:hAnsi="Arial"/>
          <w:sz w:val="24"/>
          <w:szCs w:val="24"/>
          <w:rtl w:val="0"/>
        </w:rPr>
        <w:t xml:space="preserve">. Acesso em: 27 dez. 2024. Disponível em: 12 jul. 2025.</w:t>
      </w:r>
    </w:p>
    <w:p w:rsidR="00000000" w:rsidDel="00000000" w:rsidP="00000000" w:rsidRDefault="00000000" w:rsidRPr="00000000" w14:paraId="00000040">
      <w:pPr>
        <w:spacing w:after="0" w:lineRule="auto"/>
        <w:ind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1">
      <w:pPr>
        <w:spacing w:after="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FIOCRUZ. </w:t>
      </w:r>
      <w:r w:rsidDel="00000000" w:rsidR="00000000" w:rsidRPr="00000000">
        <w:rPr>
          <w:rFonts w:ascii="Arial" w:cs="Arial" w:eastAsia="Arial" w:hAnsi="Arial"/>
          <w:b w:val="1"/>
          <w:sz w:val="24"/>
          <w:szCs w:val="24"/>
          <w:rtl w:val="0"/>
        </w:rPr>
        <w:t xml:space="preserve">Futuras Cientistas</w:t>
      </w:r>
      <w:r w:rsidDel="00000000" w:rsidR="00000000" w:rsidRPr="00000000">
        <w:rPr>
          <w:rFonts w:ascii="Arial" w:cs="Arial" w:eastAsia="Arial" w:hAnsi="Arial"/>
          <w:sz w:val="24"/>
          <w:szCs w:val="24"/>
          <w:rtl w:val="0"/>
        </w:rPr>
        <w:t xml:space="preserve">: inscrições para Imersão Científica 2025 estão abertas até 30/8.  24 ago. 2024. Disponível em: </w:t>
      </w:r>
      <w:hyperlink r:id="rId10">
        <w:r w:rsidDel="00000000" w:rsidR="00000000" w:rsidRPr="00000000">
          <w:rPr>
            <w:rFonts w:ascii="Arial" w:cs="Arial" w:eastAsia="Arial" w:hAnsi="Arial"/>
            <w:color w:val="0000ff"/>
            <w:sz w:val="24"/>
            <w:szCs w:val="24"/>
            <w:u w:val="single"/>
            <w:rtl w:val="0"/>
          </w:rPr>
          <w:t xml:space="preserve">https://campusvirtual.fiocruz.br/portal/?q=noticia/80517</w:t>
        </w:r>
      </w:hyperlink>
      <w:r w:rsidDel="00000000" w:rsidR="00000000" w:rsidRPr="00000000">
        <w:rPr>
          <w:rFonts w:ascii="Arial" w:cs="Arial" w:eastAsia="Arial" w:hAnsi="Arial"/>
          <w:sz w:val="24"/>
          <w:szCs w:val="24"/>
          <w:rtl w:val="0"/>
        </w:rPr>
        <w:t xml:space="preserve">. Acesso em: 10 ago. 2025.</w:t>
      </w:r>
    </w:p>
    <w:p w:rsidR="00000000" w:rsidDel="00000000" w:rsidP="00000000" w:rsidRDefault="00000000" w:rsidRPr="00000000" w14:paraId="00000042">
      <w:pPr>
        <w:spacing w:after="0" w:lineRule="auto"/>
        <w:ind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3">
      <w:pPr>
        <w:spacing w:after="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LAU, Jesús. </w:t>
      </w:r>
      <w:r w:rsidDel="00000000" w:rsidR="00000000" w:rsidRPr="00000000">
        <w:rPr>
          <w:rFonts w:ascii="Arial" w:cs="Arial" w:eastAsia="Arial" w:hAnsi="Arial"/>
          <w:b w:val="1"/>
          <w:sz w:val="24"/>
          <w:szCs w:val="24"/>
          <w:rtl w:val="0"/>
        </w:rPr>
        <w:t xml:space="preserve">Diretrizes sobre desenvolvimento de habilidades em informação para a aprendizagem permanente</w:t>
      </w:r>
      <w:r w:rsidDel="00000000" w:rsidR="00000000" w:rsidRPr="00000000">
        <w:rPr>
          <w:rFonts w:ascii="Arial" w:cs="Arial" w:eastAsia="Arial" w:hAnsi="Arial"/>
          <w:sz w:val="24"/>
          <w:szCs w:val="24"/>
          <w:rtl w:val="0"/>
        </w:rPr>
        <w:t xml:space="preserve">. Boca Del Rio: IFLA, 2007. Disponível em: </w:t>
      </w:r>
      <w:hyperlink r:id="rId11">
        <w:r w:rsidDel="00000000" w:rsidR="00000000" w:rsidRPr="00000000">
          <w:rPr>
            <w:rFonts w:ascii="Arial" w:cs="Arial" w:eastAsia="Arial" w:hAnsi="Arial"/>
            <w:color w:val="0000ff"/>
            <w:sz w:val="24"/>
            <w:szCs w:val="24"/>
            <w:u w:val="single"/>
            <w:rtl w:val="0"/>
          </w:rPr>
          <w:t xml:space="preserve">https://www.ifla.org/files/assets/informationliteracy/publications/ifla-guidelines-pt.pdf</w:t>
        </w:r>
      </w:hyperlink>
      <w:r w:rsidDel="00000000" w:rsidR="00000000" w:rsidRPr="00000000">
        <w:rPr>
          <w:rFonts w:ascii="Arial" w:cs="Arial" w:eastAsia="Arial" w:hAnsi="Arial"/>
          <w:sz w:val="24"/>
          <w:szCs w:val="24"/>
          <w:rtl w:val="0"/>
        </w:rPr>
        <w:t xml:space="preserve">. Acesso em: 26 dez. 2024.</w:t>
      </w:r>
    </w:p>
    <w:p w:rsidR="00000000" w:rsidDel="00000000" w:rsidP="00000000" w:rsidRDefault="00000000" w:rsidRPr="00000000" w14:paraId="00000044">
      <w:pPr>
        <w:spacing w:after="0" w:lineRule="auto"/>
        <w:ind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5">
      <w:pPr>
        <w:spacing w:after="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ORGANIZAÇÃO DAS NAÇÕES UNIDAS (ONU). </w:t>
      </w:r>
      <w:r w:rsidDel="00000000" w:rsidR="00000000" w:rsidRPr="00000000">
        <w:rPr>
          <w:rFonts w:ascii="Arial" w:cs="Arial" w:eastAsia="Arial" w:hAnsi="Arial"/>
          <w:b w:val="1"/>
          <w:sz w:val="24"/>
          <w:szCs w:val="24"/>
          <w:rtl w:val="0"/>
        </w:rPr>
        <w:t xml:space="preserve">Os Objetivos de Desenvolvimento Sustentável no Brasil - Igualdade de gênero</w:t>
      </w:r>
      <w:r w:rsidDel="00000000" w:rsidR="00000000" w:rsidRPr="00000000">
        <w:rPr>
          <w:rFonts w:ascii="Arial" w:cs="Arial" w:eastAsia="Arial" w:hAnsi="Arial"/>
          <w:sz w:val="24"/>
          <w:szCs w:val="24"/>
          <w:rtl w:val="0"/>
        </w:rPr>
        <w:t xml:space="preserve">: Objetivo 5: alcançar a igualdade de gênero e empoderar todas as mulheres e meninas. Disponível em: </w:t>
      </w:r>
      <w:hyperlink r:id="rId12">
        <w:r w:rsidDel="00000000" w:rsidR="00000000" w:rsidRPr="00000000">
          <w:rPr>
            <w:rFonts w:ascii="Arial" w:cs="Arial" w:eastAsia="Arial" w:hAnsi="Arial"/>
            <w:color w:val="0000ff"/>
            <w:sz w:val="24"/>
            <w:szCs w:val="24"/>
            <w:u w:val="single"/>
            <w:rtl w:val="0"/>
          </w:rPr>
          <w:t xml:space="preserve">https://brasil.un.org/pt-br/sdgs/5</w:t>
        </w:r>
      </w:hyperlink>
      <w:r w:rsidDel="00000000" w:rsidR="00000000" w:rsidRPr="00000000">
        <w:rPr>
          <w:rFonts w:ascii="Arial" w:cs="Arial" w:eastAsia="Arial" w:hAnsi="Arial"/>
          <w:sz w:val="24"/>
          <w:szCs w:val="24"/>
          <w:rtl w:val="0"/>
        </w:rPr>
        <w:t xml:space="preserve">. Acesso em: 07 jan. 2025.</w:t>
      </w:r>
    </w:p>
    <w:p w:rsidR="00000000" w:rsidDel="00000000" w:rsidP="00000000" w:rsidRDefault="00000000" w:rsidRPr="00000000" w14:paraId="00000046">
      <w:pPr>
        <w:spacing w:after="0" w:lineRule="auto"/>
        <w:ind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7">
      <w:pPr>
        <w:spacing w:after="0" w:lineRule="auto"/>
        <w:ind w:firstLine="0"/>
        <w:rPr>
          <w:rFonts w:ascii="Arial" w:cs="Arial" w:eastAsia="Arial" w:hAnsi="Arial"/>
          <w:sz w:val="26"/>
          <w:szCs w:val="26"/>
        </w:rPr>
      </w:pPr>
      <w:r w:rsidDel="00000000" w:rsidR="00000000" w:rsidRPr="00000000">
        <w:rPr>
          <w:rFonts w:ascii="Arial" w:cs="Arial" w:eastAsia="Arial" w:hAnsi="Arial"/>
          <w:sz w:val="24"/>
          <w:szCs w:val="24"/>
          <w:rtl w:val="0"/>
        </w:rPr>
        <w:t xml:space="preserve">ROSA, Karoline. </w:t>
      </w:r>
      <w:r w:rsidDel="00000000" w:rsidR="00000000" w:rsidRPr="00000000">
        <w:rPr>
          <w:rFonts w:ascii="Arial" w:cs="Arial" w:eastAsia="Arial" w:hAnsi="Arial"/>
          <w:b w:val="1"/>
          <w:sz w:val="24"/>
          <w:szCs w:val="24"/>
          <w:rtl w:val="0"/>
        </w:rPr>
        <w:t xml:space="preserve">Mulheres são apenas 35,6% de bolsistas de produtividade do CNPq</w:t>
      </w:r>
      <w:r w:rsidDel="00000000" w:rsidR="00000000" w:rsidRPr="00000000">
        <w:rPr>
          <w:rFonts w:ascii="Arial" w:cs="Arial" w:eastAsia="Arial" w:hAnsi="Arial"/>
          <w:sz w:val="24"/>
          <w:szCs w:val="24"/>
          <w:rtl w:val="0"/>
        </w:rPr>
        <w:t xml:space="preserve">. SEDUFSM. 12 jan. 2024. Disponível em: </w:t>
      </w:r>
      <w:hyperlink r:id="rId13">
        <w:r w:rsidDel="00000000" w:rsidR="00000000" w:rsidRPr="00000000">
          <w:rPr>
            <w:rFonts w:ascii="Arial" w:cs="Arial" w:eastAsia="Arial" w:hAnsi="Arial"/>
            <w:color w:val="0000ff"/>
            <w:sz w:val="24"/>
            <w:szCs w:val="24"/>
            <w:u w:val="single"/>
            <w:rtl w:val="0"/>
          </w:rPr>
          <w:t xml:space="preserve">https://www.sedufsm.org.br/noticia/8043-mulheres-sao-apenas-356-de-bolsistas-de-produtividade-do-cnpq</w:t>
        </w:r>
      </w:hyperlink>
      <w:r w:rsidDel="00000000" w:rsidR="00000000" w:rsidRPr="00000000">
        <w:rPr>
          <w:rFonts w:ascii="Arial" w:cs="Arial" w:eastAsia="Arial" w:hAnsi="Arial"/>
          <w:sz w:val="24"/>
          <w:szCs w:val="24"/>
          <w:rtl w:val="0"/>
        </w:rPr>
        <w:t xml:space="preserve">.  Acesso em: 07 jan. 2025.</w:t>
      </w:r>
      <w:r w:rsidDel="00000000" w:rsidR="00000000" w:rsidRPr="00000000">
        <w:rPr>
          <w:rtl w:val="0"/>
        </w:rPr>
      </w:r>
    </w:p>
    <w:sectPr>
      <w:headerReference r:id="rId14" w:type="default"/>
      <w:headerReference r:id="rId15" w:type="first"/>
      <w:headerReference r:id="rId16" w:type="even"/>
      <w:footerReference r:id="rId17" w:type="default"/>
      <w:footerReference r:id="rId18" w:type="first"/>
      <w:footerReference r:id="rId19" w:type="even"/>
      <w:pgSz w:h="16838" w:w="11906" w:orient="portrait"/>
      <w:pgMar w:bottom="1133" w:top="1700" w:left="1700" w:right="1133"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imes New Roman"/>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leader="none" w:pos="4252"/>
        <w:tab w:val="right" w:leader="none" w:pos="8504"/>
      </w:tabs>
      <w:ind w:left="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leader="none" w:pos="4252"/>
        <w:tab w:val="right" w:leader="none" w:pos="8504"/>
      </w:tabs>
      <w:ind w:left="0" w:hanging="2"/>
      <w:jc w:val="right"/>
      <w:rPr>
        <w:color w:val="000000"/>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252"/>
        <w:tab w:val="right" w:leader="none" w:pos="8504"/>
      </w:tabs>
      <w:ind w:left="0"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252"/>
        <w:tab w:val="right" w:leader="none" w:pos="8504"/>
      </w:tabs>
      <w:ind w:left="0"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252"/>
        <w:tab w:val="right" w:leader="none" w:pos="8504"/>
      </w:tabs>
      <w:ind w:left="0"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252"/>
        <w:tab w:val="right" w:leader="none" w:pos="8504"/>
      </w:tabs>
      <w:ind w:left="0" w:hanging="2"/>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tabs>
        <w:tab w:val="center" w:leader="none" w:pos="4252"/>
        <w:tab w:val="right" w:leader="none" w:pos="8504"/>
      </w:tabs>
      <w:ind w:left="0" w:hanging="2"/>
      <w:jc w:val="center"/>
      <w:rPr>
        <w:color w:val="000000"/>
      </w:rPr>
    </w:pPr>
    <w:r w:rsidDel="00000000" w:rsidR="00000000" w:rsidRPr="00000000">
      <w:rPr/>
      <w:drawing>
        <wp:inline distB="0" distT="0" distL="0" distR="0">
          <wp:extent cx="4602953" cy="1941208"/>
          <wp:effectExtent b="0" l="0" r="0" t="0"/>
          <wp:docPr descr="Placa vermelha com letras brancas em fundo preto&#10;&#10;O conteúdo gerado por IA pode estar incorreto." id="1850071209" name="image1.png"/>
          <a:graphic>
            <a:graphicData uri="http://schemas.openxmlformats.org/drawingml/2006/picture">
              <pic:pic>
                <pic:nvPicPr>
                  <pic:cNvPr descr="Placa vermelha com letras brancas em fundo preto&#10;&#10;O conteúdo gerado por IA pode estar incorreto." id="0" name="image1.png"/>
                  <pic:cNvPicPr preferRelativeResize="0"/>
                </pic:nvPicPr>
                <pic:blipFill>
                  <a:blip r:embed="rId1"/>
                  <a:srcRect b="5578" l="0" r="0" t="9939"/>
                  <a:stretch>
                    <a:fillRect/>
                  </a:stretch>
                </pic:blipFill>
                <pic:spPr>
                  <a:xfrm>
                    <a:off x="0" y="0"/>
                    <a:ext cx="4602953" cy="194120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200" w:line="276" w:lineRule="auto"/>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240" w:lineRule="auto"/>
      <w:ind w:left="0" w:hanging="1"/>
    </w:pPr>
    <w:rPr>
      <w:rFonts w:ascii="Cambria" w:cs="Cambria" w:eastAsia="Cambria" w:hAnsi="Cambria"/>
      <w:b w:val="1"/>
      <w:sz w:val="32"/>
      <w:szCs w:val="32"/>
    </w:rPr>
  </w:style>
  <w:style w:type="paragraph" w:styleId="Heading2">
    <w:name w:val="heading 2"/>
    <w:basedOn w:val="Normal"/>
    <w:next w:val="Normal"/>
    <w:pPr>
      <w:keepNext w:val="1"/>
      <w:spacing w:after="60" w:before="240" w:line="240" w:lineRule="auto"/>
      <w:ind w:left="0" w:hanging="1"/>
    </w:pPr>
    <w:rPr>
      <w:rFonts w:ascii="Cambria" w:cs="Cambria" w:eastAsia="Cambria" w:hAnsi="Cambria"/>
      <w:b w:val="1"/>
      <w:i w:val="1"/>
      <w:sz w:val="28"/>
      <w:szCs w:val="28"/>
    </w:rPr>
  </w:style>
  <w:style w:type="paragraph" w:styleId="Heading3">
    <w:name w:val="heading 3"/>
    <w:basedOn w:val="Normal"/>
    <w:next w:val="Normal"/>
    <w:pPr>
      <w:keepNext w:val="1"/>
      <w:spacing w:after="60" w:before="240" w:line="240" w:lineRule="auto"/>
      <w:ind w:left="0" w:hanging="1"/>
    </w:pPr>
    <w:rPr>
      <w:rFonts w:ascii="Cambria" w:cs="Cambria" w:eastAsia="Cambria" w:hAnsi="Cambria"/>
      <w:b w:val="1"/>
      <w:sz w:val="26"/>
      <w:szCs w:val="26"/>
    </w:rPr>
  </w:style>
  <w:style w:type="paragraph" w:styleId="Heading4">
    <w:name w:val="heading 4"/>
    <w:basedOn w:val="Normal"/>
    <w:next w:val="Normal"/>
    <w:pPr>
      <w:keepNext w:val="1"/>
      <w:spacing w:after="60" w:before="240" w:line="240" w:lineRule="auto"/>
      <w:ind w:left="0" w:hanging="1"/>
    </w:pPr>
    <w:rPr>
      <w:b w:val="1"/>
      <w:sz w:val="28"/>
      <w:szCs w:val="28"/>
    </w:rPr>
  </w:style>
  <w:style w:type="paragraph" w:styleId="Heading5">
    <w:name w:val="heading 5"/>
    <w:basedOn w:val="Normal"/>
    <w:next w:val="Normal"/>
    <w:pPr>
      <w:spacing w:after="60" w:before="240" w:line="240" w:lineRule="auto"/>
      <w:ind w:left="0" w:hanging="1"/>
    </w:pPr>
    <w:rPr>
      <w:b w:val="1"/>
      <w:i w:val="1"/>
      <w:sz w:val="26"/>
      <w:szCs w:val="26"/>
    </w:rPr>
  </w:style>
  <w:style w:type="paragraph" w:styleId="Heading6">
    <w:name w:val="heading 6"/>
    <w:basedOn w:val="Normal"/>
    <w:next w:val="Normal"/>
    <w:pPr>
      <w:spacing w:after="60" w:before="240" w:line="240" w:lineRule="auto"/>
      <w:ind w:left="0" w:hanging="1"/>
    </w:pPr>
    <w:rPr>
      <w:rFonts w:ascii="Times New Roman" w:cs="Times New Roman" w:eastAsia="Times New Roman" w:hAnsi="Times New Roman"/>
      <w:b w:val="1"/>
    </w:rPr>
  </w:style>
  <w:style w:type="paragraph" w:styleId="Title">
    <w:name w:val="Title"/>
    <w:basedOn w:val="Normal"/>
    <w:next w:val="Normal"/>
    <w:pPr>
      <w:keepNext w:val="1"/>
      <w:keepLines w:val="1"/>
      <w:spacing w:after="120" w:before="480" w:lineRule="auto"/>
    </w:pPr>
    <w:rPr>
      <w:b w:val="1"/>
      <w:sz w:val="72"/>
      <w:szCs w:val="72"/>
    </w:rPr>
  </w:style>
  <w:style w:type="paragraph" w:styleId="Ttulo7">
    <w:name w:val="heading 7"/>
    <w:basedOn w:val="Normal"/>
    <w:next w:val="Normal"/>
    <w:qFormat w:val="1"/>
    <w:pPr>
      <w:numPr>
        <w:ilvl w:val="6"/>
        <w:numId w:val="1"/>
      </w:numPr>
      <w:spacing w:after="60" w:before="240" w:line="240" w:lineRule="auto"/>
      <w:ind w:left="-1" w:hanging="1"/>
      <w:outlineLvl w:val="6"/>
    </w:pPr>
    <w:rPr>
      <w:sz w:val="24"/>
      <w:szCs w:val="24"/>
      <w:lang w:eastAsia="en-US" w:val="en-US"/>
    </w:rPr>
  </w:style>
  <w:style w:type="paragraph" w:styleId="Ttulo8">
    <w:name w:val="heading 8"/>
    <w:basedOn w:val="Normal"/>
    <w:next w:val="Normal"/>
    <w:qFormat w:val="1"/>
    <w:pPr>
      <w:numPr>
        <w:ilvl w:val="7"/>
        <w:numId w:val="1"/>
      </w:numPr>
      <w:spacing w:after="60" w:before="240" w:line="240" w:lineRule="auto"/>
      <w:ind w:left="-1" w:hanging="1"/>
      <w:outlineLvl w:val="7"/>
    </w:pPr>
    <w:rPr>
      <w:i w:val="1"/>
      <w:iCs w:val="1"/>
      <w:sz w:val="24"/>
      <w:szCs w:val="24"/>
      <w:lang w:eastAsia="en-US" w:val="en-US"/>
    </w:rPr>
  </w:style>
  <w:style w:type="paragraph" w:styleId="Ttulo9">
    <w:name w:val="heading 9"/>
    <w:basedOn w:val="Normal"/>
    <w:next w:val="Normal"/>
    <w:qFormat w:val="1"/>
    <w:pPr>
      <w:numPr>
        <w:ilvl w:val="8"/>
        <w:numId w:val="1"/>
      </w:numPr>
      <w:spacing w:after="60" w:before="240" w:line="240" w:lineRule="auto"/>
      <w:ind w:left="-1" w:hanging="1"/>
      <w:outlineLvl w:val="8"/>
    </w:pPr>
    <w:rPr>
      <w:rFonts w:ascii="Cambria" w:eastAsia="Times New Roman" w:hAnsi="Cambria"/>
      <w:lang w:eastAsia="en-US" w:val="en-US"/>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Remissivo6">
    <w:name w:val="index 6"/>
    <w:basedOn w:val="Normal"/>
    <w:qFormat w:val="1"/>
    <w:pPr>
      <w:spacing w:after="100" w:afterAutospacing="1" w:before="100" w:beforeAutospacing="1" w:line="240" w:lineRule="auto"/>
    </w:pPr>
    <w:rPr>
      <w:rFonts w:ascii="Times New Roman" w:cs="Times New Roman" w:eastAsia="Times New Roman" w:hAnsi="Times New Roman"/>
      <w:sz w:val="24"/>
      <w:szCs w:val="24"/>
    </w:rPr>
  </w:style>
  <w:style w:type="character" w:styleId="apple-converted-space" w:customStyle="1">
    <w:name w:val="apple-converted-space"/>
    <w:basedOn w:val="Fontepargpadro"/>
    <w:rPr>
      <w:w w:val="100"/>
      <w:position w:val="-1"/>
      <w:effect w:val="none"/>
      <w:vertAlign w:val="baseline"/>
      <w:cs w:val="0"/>
      <w:em w:val="none"/>
    </w:rPr>
  </w:style>
  <w:style w:type="character" w:styleId="Remissivo81" w:customStyle="1">
    <w:name w:val="Remissivo 81"/>
    <w:rPr>
      <w:b w:val="1"/>
      <w:bCs w:val="1"/>
      <w:w w:val="100"/>
      <w:position w:val="-1"/>
      <w:effect w:val="none"/>
      <w:vertAlign w:val="baseline"/>
      <w:cs w:val="0"/>
      <w:em w:val="none"/>
    </w:rPr>
  </w:style>
  <w:style w:type="paragraph" w:styleId="Remissivo9">
    <w:name w:val="index 9"/>
    <w:basedOn w:val="Normal"/>
    <w:qFormat w:val="1"/>
    <w:pPr>
      <w:spacing w:line="240" w:lineRule="auto"/>
    </w:pPr>
    <w:rPr>
      <w:sz w:val="20"/>
      <w:szCs w:val="20"/>
    </w:rPr>
  </w:style>
  <w:style w:type="character" w:styleId="CommentTextChar" w:customStyle="1">
    <w:name w:val="Comment Text Char"/>
    <w:rPr>
      <w:w w:val="100"/>
      <w:position w:val="-1"/>
      <w:sz w:val="20"/>
      <w:szCs w:val="20"/>
      <w:effect w:val="none"/>
      <w:vertAlign w:val="baseline"/>
      <w:cs w:val="0"/>
      <w:em w:val="none"/>
    </w:rPr>
  </w:style>
  <w:style w:type="paragraph" w:styleId="Sumrio2">
    <w:name w:val="toc 2"/>
    <w:pPr>
      <w:suppressAutoHyphens w:val="1"/>
      <w:spacing w:line="1" w:lineRule="atLeast"/>
      <w:ind w:left="-1" w:leftChars="-1" w:hangingChars="1"/>
      <w:textDirection w:val="btLr"/>
      <w:textAlignment w:val="top"/>
      <w:outlineLvl w:val="0"/>
    </w:pPr>
    <w:rPr>
      <w:position w:val="-1"/>
    </w:rPr>
  </w:style>
  <w:style w:type="paragraph" w:styleId="Sumrio3">
    <w:name w:val="toc 3"/>
    <w:basedOn w:val="Normal"/>
    <w:qFormat w:val="1"/>
    <w:pPr>
      <w:spacing w:after="0" w:line="240" w:lineRule="auto"/>
    </w:pPr>
    <w:rPr>
      <w:rFonts w:ascii="Segoe UI" w:cs="Segoe UI" w:hAnsi="Segoe UI"/>
      <w:sz w:val="18"/>
      <w:szCs w:val="18"/>
    </w:rPr>
  </w:style>
  <w:style w:type="character" w:styleId="BalloonTextChar" w:customStyle="1">
    <w:name w:val="Balloon Text Char"/>
    <w:rPr>
      <w:rFonts w:ascii="Segoe UI" w:cs="Segoe UI" w:hAnsi="Segoe UI"/>
      <w:w w:val="100"/>
      <w:position w:val="-1"/>
      <w:sz w:val="18"/>
      <w:szCs w:val="18"/>
      <w:effect w:val="none"/>
      <w:vertAlign w:val="baseline"/>
      <w:cs w:val="0"/>
      <w:em w:val="none"/>
    </w:rPr>
  </w:style>
  <w:style w:type="paragraph" w:styleId="Cabealho">
    <w:name w:val="header"/>
    <w:basedOn w:val="Normal"/>
    <w:qFormat w:val="1"/>
    <w:pPr>
      <w:tabs>
        <w:tab w:val="center" w:pos="4252"/>
        <w:tab w:val="right" w:pos="8504"/>
      </w:tabs>
    </w:pPr>
  </w:style>
  <w:style w:type="character" w:styleId="CabealhoChar" w:customStyle="1">
    <w:name w:val="Cabeçalho Char"/>
    <w:rPr>
      <w:w w:val="100"/>
      <w:position w:val="-1"/>
      <w:sz w:val="22"/>
      <w:szCs w:val="22"/>
      <w:effect w:val="none"/>
      <w:vertAlign w:val="baseline"/>
      <w:cs w:val="0"/>
      <w:em w:val="none"/>
    </w:rPr>
  </w:style>
  <w:style w:type="paragraph" w:styleId="Rodap">
    <w:name w:val="footer"/>
    <w:basedOn w:val="Normal"/>
    <w:qFormat w:val="1"/>
    <w:pPr>
      <w:tabs>
        <w:tab w:val="center" w:pos="4252"/>
        <w:tab w:val="right" w:pos="8504"/>
      </w:tabs>
    </w:pPr>
  </w:style>
  <w:style w:type="character" w:styleId="RodapChar" w:customStyle="1">
    <w:name w:val="Rodapé Char"/>
    <w:rPr>
      <w:w w:val="100"/>
      <w:position w:val="-1"/>
      <w:sz w:val="22"/>
      <w:szCs w:val="22"/>
      <w:effect w:val="none"/>
      <w:vertAlign w:val="baseline"/>
      <w:cs w:val="0"/>
      <w:em w:val="none"/>
    </w:rPr>
  </w:style>
  <w:style w:type="character" w:styleId="Ttulo1Char" w:customStyle="1">
    <w:name w:val="Título 1 Char"/>
    <w:rPr>
      <w:rFonts w:ascii="Cambria" w:eastAsia="Times New Roman" w:hAnsi="Cambria"/>
      <w:b w:val="1"/>
      <w:bCs w:val="1"/>
      <w:w w:val="100"/>
      <w:kern w:val="32"/>
      <w:position w:val="-1"/>
      <w:sz w:val="32"/>
      <w:szCs w:val="32"/>
      <w:effect w:val="none"/>
      <w:vertAlign w:val="baseline"/>
      <w:cs w:val="0"/>
      <w:em w:val="none"/>
      <w:lang w:eastAsia="en-US" w:val="en-US"/>
    </w:rPr>
  </w:style>
  <w:style w:type="character" w:styleId="Ttulo2Char" w:customStyle="1">
    <w:name w:val="Título 2 Char"/>
    <w:rPr>
      <w:rFonts w:ascii="Cambria" w:eastAsia="Times New Roman" w:hAnsi="Cambria"/>
      <w:b w:val="1"/>
      <w:bCs w:val="1"/>
      <w:i w:val="1"/>
      <w:iCs w:val="1"/>
      <w:w w:val="100"/>
      <w:position w:val="-1"/>
      <w:sz w:val="28"/>
      <w:szCs w:val="28"/>
      <w:effect w:val="none"/>
      <w:vertAlign w:val="baseline"/>
      <w:cs w:val="0"/>
      <w:em w:val="none"/>
      <w:lang w:eastAsia="en-US" w:val="en-US"/>
    </w:rPr>
  </w:style>
  <w:style w:type="character" w:styleId="Ttulo3Char" w:customStyle="1">
    <w:name w:val="Título 3 Char"/>
    <w:rPr>
      <w:rFonts w:ascii="Cambria" w:eastAsia="Times New Roman" w:hAnsi="Cambria"/>
      <w:b w:val="1"/>
      <w:bCs w:val="1"/>
      <w:w w:val="100"/>
      <w:position w:val="-1"/>
      <w:sz w:val="26"/>
      <w:szCs w:val="26"/>
      <w:effect w:val="none"/>
      <w:vertAlign w:val="baseline"/>
      <w:cs w:val="0"/>
      <w:em w:val="none"/>
      <w:lang w:eastAsia="en-US" w:val="en-US"/>
    </w:rPr>
  </w:style>
  <w:style w:type="character" w:styleId="Ttulo4Char" w:customStyle="1">
    <w:name w:val="Título 4 Char"/>
    <w:rPr>
      <w:b w:val="1"/>
      <w:bCs w:val="1"/>
      <w:w w:val="100"/>
      <w:position w:val="-1"/>
      <w:sz w:val="28"/>
      <w:szCs w:val="28"/>
      <w:effect w:val="none"/>
      <w:vertAlign w:val="baseline"/>
      <w:cs w:val="0"/>
      <w:em w:val="none"/>
      <w:lang w:eastAsia="en-US" w:val="en-US"/>
    </w:rPr>
  </w:style>
  <w:style w:type="character" w:styleId="Ttulo5Char" w:customStyle="1">
    <w:name w:val="Título 5 Char"/>
    <w:rPr>
      <w:b w:val="1"/>
      <w:bCs w:val="1"/>
      <w:i w:val="1"/>
      <w:iCs w:val="1"/>
      <w:w w:val="100"/>
      <w:position w:val="-1"/>
      <w:sz w:val="26"/>
      <w:szCs w:val="26"/>
      <w:effect w:val="none"/>
      <w:vertAlign w:val="baseline"/>
      <w:cs w:val="0"/>
      <w:em w:val="none"/>
      <w:lang w:eastAsia="en-US" w:val="en-US"/>
    </w:rPr>
  </w:style>
  <w:style w:type="character" w:styleId="Ttulo6Char" w:customStyle="1">
    <w:name w:val="Título 6 Char"/>
    <w:rPr>
      <w:rFonts w:ascii="Times New Roman" w:eastAsia="Times New Roman" w:hAnsi="Times New Roman"/>
      <w:b w:val="1"/>
      <w:bCs w:val="1"/>
      <w:w w:val="100"/>
      <w:position w:val="-1"/>
      <w:sz w:val="22"/>
      <w:szCs w:val="22"/>
      <w:effect w:val="none"/>
      <w:vertAlign w:val="baseline"/>
      <w:cs w:val="0"/>
      <w:em w:val="none"/>
      <w:lang w:eastAsia="en-US" w:val="en-US"/>
    </w:rPr>
  </w:style>
  <w:style w:type="character" w:styleId="Ttulo7Char" w:customStyle="1">
    <w:name w:val="Título 7 Char"/>
    <w:rPr>
      <w:w w:val="100"/>
      <w:position w:val="-1"/>
      <w:sz w:val="24"/>
      <w:szCs w:val="24"/>
      <w:effect w:val="none"/>
      <w:vertAlign w:val="baseline"/>
      <w:cs w:val="0"/>
      <w:em w:val="none"/>
      <w:lang w:eastAsia="en-US" w:val="en-US"/>
    </w:rPr>
  </w:style>
  <w:style w:type="character" w:styleId="Ttulo8Char" w:customStyle="1">
    <w:name w:val="Título 8 Char"/>
    <w:rPr>
      <w:i w:val="1"/>
      <w:iCs w:val="1"/>
      <w:w w:val="100"/>
      <w:position w:val="-1"/>
      <w:sz w:val="24"/>
      <w:szCs w:val="24"/>
      <w:effect w:val="none"/>
      <w:vertAlign w:val="baseline"/>
      <w:cs w:val="0"/>
      <w:em w:val="none"/>
      <w:lang w:eastAsia="en-US" w:val="en-US"/>
    </w:rPr>
  </w:style>
  <w:style w:type="character" w:styleId="Ttulo9Char" w:customStyle="1">
    <w:name w:val="Título 9 Char"/>
    <w:rPr>
      <w:rFonts w:ascii="Cambria" w:eastAsia="Times New Roman" w:hAnsi="Cambria"/>
      <w:w w:val="100"/>
      <w:position w:val="-1"/>
      <w:sz w:val="22"/>
      <w:szCs w:val="22"/>
      <w:effect w:val="none"/>
      <w:vertAlign w:val="baseline"/>
      <w:cs w:val="0"/>
      <w:em w:val="none"/>
      <w:lang w:eastAsia="en-US" w:val="en-US"/>
    </w:rPr>
  </w:style>
  <w:style w:type="paragraph" w:styleId="Default" w:customStyle="1">
    <w:name w:val="Default"/>
    <w:pPr>
      <w:suppressAutoHyphens w:val="1"/>
      <w:autoSpaceDE w:val="0"/>
      <w:autoSpaceDN w:val="0"/>
      <w:adjustRightInd w:val="0"/>
      <w:spacing w:line="1" w:lineRule="atLeast"/>
      <w:ind w:left="-1" w:leftChars="-1" w:hangingChars="1"/>
      <w:textDirection w:val="btLr"/>
      <w:textAlignment w:val="top"/>
      <w:outlineLvl w:val="0"/>
    </w:pPr>
    <w:rPr>
      <w:rFonts w:ascii="Times New Roman" w:eastAsia="Times New Roman" w:hAnsi="Times New Roman"/>
      <w:color w:val="000000"/>
      <w:position w:val="-1"/>
      <w:sz w:val="24"/>
      <w:szCs w:val="24"/>
      <w:lang w:eastAsia="en-US"/>
    </w:rPr>
  </w:style>
  <w:style w:type="paragraph" w:styleId="Textodebalo">
    <w:name w:val="Balloon Text"/>
    <w:basedOn w:val="Normal"/>
    <w:qFormat w:val="1"/>
    <w:pPr>
      <w:spacing w:after="0" w:line="240" w:lineRule="auto"/>
    </w:pPr>
    <w:rPr>
      <w:rFonts w:ascii="Tahoma" w:cs="Tahoma" w:eastAsia="Times New Roman" w:hAnsi="Tahoma"/>
      <w:sz w:val="16"/>
      <w:szCs w:val="16"/>
      <w:lang w:eastAsia="en-US" w:val="en-US"/>
    </w:rPr>
  </w:style>
  <w:style w:type="character" w:styleId="TextodebaloChar" w:customStyle="1">
    <w:name w:val="Texto de balão Char"/>
    <w:rPr>
      <w:rFonts w:ascii="Tahoma" w:cs="Tahoma" w:eastAsia="Times New Roman" w:hAnsi="Tahoma"/>
      <w:w w:val="100"/>
      <w:position w:val="-1"/>
      <w:sz w:val="16"/>
      <w:szCs w:val="16"/>
      <w:effect w:val="none"/>
      <w:vertAlign w:val="baseline"/>
      <w:cs w:val="0"/>
      <w:em w:val="none"/>
      <w:lang w:eastAsia="en-US" w:val="en-US"/>
    </w:rPr>
  </w:style>
  <w:style w:type="character" w:styleId="Hyperlink">
    <w:name w:val="Hyperlink"/>
    <w:qFormat w:val="1"/>
    <w:rPr>
      <w:color w:val="0000ff"/>
      <w:w w:val="100"/>
      <w:position w:val="-1"/>
      <w:u w:val="single"/>
      <w:effect w:val="none"/>
      <w:vertAlign w:val="baseline"/>
      <w:cs w:val="0"/>
      <w:em w:val="none"/>
    </w:rPr>
  </w:style>
  <w:style w:type="character" w:styleId="s1ppyq" w:customStyle="1">
    <w:name w:val="s1ppyq"/>
    <w:basedOn w:val="Fontepargpadro"/>
    <w:rsid w:val="00C34395"/>
  </w:style>
  <w:style w:type="paragraph" w:styleId="NormalWeb">
    <w:name w:val="Normal (Web)"/>
    <w:basedOn w:val="Normal"/>
    <w:uiPriority w:val="99"/>
    <w:semiHidden w:val="1"/>
    <w:unhideWhenUsed w:val="1"/>
    <w:rsid w:val="008956E4"/>
    <w:pPr>
      <w:suppressAutoHyphens w:val="0"/>
      <w:spacing w:after="100" w:afterAutospacing="1" w:before="100" w:beforeAutospacing="1" w:line="240" w:lineRule="auto"/>
      <w:ind w:left="0" w:leftChars="0" w:firstLine="0" w:firstLineChars="0"/>
      <w:textDirection w:val="lrTb"/>
      <w:textAlignment w:val="auto"/>
      <w:outlineLvl w:val="9"/>
    </w:pPr>
    <w:rPr>
      <w:rFonts w:ascii="Times New Roman" w:cs="Times New Roman" w:eastAsia="Times New Roman" w:hAnsi="Times New Roman"/>
      <w:position w:val="0"/>
      <w:sz w:val="24"/>
      <w:szCs w:val="24"/>
    </w:rPr>
  </w:style>
  <w:style w:type="paragraph" w:styleId="PargrafodaLista">
    <w:name w:val="List Paragraph"/>
    <w:basedOn w:val="Normal"/>
    <w:uiPriority w:val="34"/>
    <w:qFormat w:val="1"/>
    <w:rsid w:val="0070089F"/>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ifla.org/files/assets/informationliteracy/publications/ifla-guidelines-pt.pdf" TargetMode="External"/><Relationship Id="rId10" Type="http://schemas.openxmlformats.org/officeDocument/2006/relationships/hyperlink" Target="https://campusvirtual.fiocruz.br/portal/?q=noticia/80517" TargetMode="External"/><Relationship Id="rId13" Type="http://schemas.openxmlformats.org/officeDocument/2006/relationships/hyperlink" Target="https://www.sedufsm.org.br/noticia/8043-mulheres-sao-apenas-356-de-bolsistas-de-produtividade-do-cnpq" TargetMode="External"/><Relationship Id="rId12" Type="http://schemas.openxmlformats.org/officeDocument/2006/relationships/hyperlink" Target="https://brasil.un.org/pt-br/sdgs/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periodicos.ufpb.br/ojs/index.php/ies/article/view/1704" TargetMode="External"/><Relationship Id="rId15" Type="http://schemas.openxmlformats.org/officeDocument/2006/relationships/header" Target="header3.xml"/><Relationship Id="rId14" Type="http://schemas.openxmlformats.org/officeDocument/2006/relationships/header" Target="header2.xml"/><Relationship Id="rId17" Type="http://schemas.openxmlformats.org/officeDocument/2006/relationships/footer" Target="footer2.xml"/><Relationship Id="rId16" Type="http://schemas.openxmlformats.org/officeDocument/2006/relationships/header" Target="header1.xm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footer" Target="footer3.xml"/><Relationship Id="rId7" Type="http://schemas.openxmlformats.org/officeDocument/2006/relationships/hyperlink" Target="http://www.ala.org/acrl/standards/ilframework" TargetMode="External"/><Relationship Id="rId8" Type="http://schemas.openxmlformats.org/officeDocument/2006/relationships/hyperlink" Target="https://www.gov.br/observatorio/pt-br/assuntos/noticias/observatorio-nacional-celebra-110-anos-da-hora-legal-brasileira-com-evento-especia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DpFNO6q6LgIMo7YaMzSVuWjsyw==">CgMxLjAyCGguZ2pkZ3hzOAByITE2dVFUOXNrTkdQWTlRTjNHbWFtMWg0R1pMZ3F6aEtjaA==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2023-04-07T01:32:00Z</dcterms:created>
  <dc:creator>Biblioteca</dc:creator>
</cp:coreProperties>
</file>