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A4D1A" w14:textId="6711A116" w:rsidR="00E46C4B" w:rsidRPr="00FC7DC1" w:rsidRDefault="00E46C4B" w:rsidP="001C076C">
      <w:pPr>
        <w:pStyle w:val="Ttulo1"/>
        <w:spacing w:before="75" w:line="360" w:lineRule="auto"/>
        <w:ind w:right="-1"/>
        <w:jc w:val="center"/>
        <w:rPr>
          <w:sz w:val="24"/>
        </w:rPr>
      </w:pPr>
      <w:r w:rsidRPr="00FC7DC1">
        <w:rPr>
          <w:sz w:val="24"/>
        </w:rPr>
        <w:t>RECONHECIMENTO DA SÍNDROME DE BURNOUT COMO DOENÇA</w:t>
      </w:r>
      <w:r w:rsidRPr="00FC7DC1">
        <w:rPr>
          <w:spacing w:val="-5"/>
          <w:sz w:val="24"/>
        </w:rPr>
        <w:t xml:space="preserve"> </w:t>
      </w:r>
      <w:r w:rsidRPr="00FC7DC1">
        <w:rPr>
          <w:sz w:val="24"/>
        </w:rPr>
        <w:t>OCUPACIONAL</w:t>
      </w:r>
      <w:r w:rsidRPr="00FC7DC1">
        <w:rPr>
          <w:spacing w:val="-4"/>
          <w:sz w:val="24"/>
        </w:rPr>
        <w:t xml:space="preserve"> </w:t>
      </w:r>
      <w:r w:rsidRPr="00FC7DC1">
        <w:rPr>
          <w:sz w:val="24"/>
        </w:rPr>
        <w:t>E</w:t>
      </w:r>
      <w:r w:rsidRPr="00FC7DC1">
        <w:rPr>
          <w:spacing w:val="-6"/>
          <w:sz w:val="24"/>
        </w:rPr>
        <w:t xml:space="preserve"> </w:t>
      </w:r>
      <w:r w:rsidRPr="00FC7DC1">
        <w:rPr>
          <w:sz w:val="24"/>
        </w:rPr>
        <w:t>A</w:t>
      </w:r>
      <w:r w:rsidRPr="00FC7DC1">
        <w:rPr>
          <w:spacing w:val="-5"/>
          <w:sz w:val="24"/>
        </w:rPr>
        <w:t xml:space="preserve"> </w:t>
      </w:r>
      <w:r w:rsidRPr="00FC7DC1">
        <w:rPr>
          <w:sz w:val="24"/>
        </w:rPr>
        <w:t>RESPONSABILIDADE</w:t>
      </w:r>
      <w:r w:rsidRPr="00FC7DC1">
        <w:rPr>
          <w:spacing w:val="-4"/>
          <w:sz w:val="24"/>
        </w:rPr>
        <w:t xml:space="preserve"> </w:t>
      </w:r>
      <w:r w:rsidRPr="00FC7DC1">
        <w:rPr>
          <w:sz w:val="24"/>
        </w:rPr>
        <w:t>CIVIL</w:t>
      </w:r>
      <w:r w:rsidRPr="00FC7DC1">
        <w:rPr>
          <w:spacing w:val="-4"/>
          <w:sz w:val="24"/>
        </w:rPr>
        <w:t xml:space="preserve"> </w:t>
      </w:r>
      <w:r w:rsidRPr="00FC7DC1">
        <w:rPr>
          <w:sz w:val="24"/>
        </w:rPr>
        <w:t>DO EMPREGADOR POR DANOS EXTRAPATRIMONIAIS</w:t>
      </w:r>
    </w:p>
    <w:p w14:paraId="200C955F" w14:textId="77777777" w:rsidR="00692AE9" w:rsidRDefault="00692AE9">
      <w:pPr>
        <w:spacing w:line="360" w:lineRule="auto"/>
        <w:jc w:val="center"/>
      </w:pPr>
    </w:p>
    <w:p w14:paraId="1DCB1676" w14:textId="77777777" w:rsidR="00692AE9" w:rsidRDefault="00692AE9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13296225" w14:textId="77777777" w:rsidR="00692AE9" w:rsidRDefault="00AC5C4A" w:rsidP="00E46C4B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Autor Principal:</w:t>
      </w:r>
      <w:r w:rsidR="00E46C4B">
        <w:rPr>
          <w:sz w:val="24"/>
          <w:szCs w:val="24"/>
        </w:rPr>
        <w:t xml:space="preserve"> Keyla Araujo Santos (</w:t>
      </w:r>
      <w:hyperlink r:id="rId7" w:history="1">
        <w:r w:rsidR="00E46C4B" w:rsidRPr="006C3D2A">
          <w:rPr>
            <w:rStyle w:val="Hyperlink"/>
            <w:sz w:val="24"/>
            <w:szCs w:val="24"/>
          </w:rPr>
          <w:t>keylahist@gmail.com</w:t>
        </w:r>
      </w:hyperlink>
      <w:r w:rsidR="00E46C4B">
        <w:rPr>
          <w:sz w:val="24"/>
          <w:szCs w:val="24"/>
        </w:rPr>
        <w:t>)</w:t>
      </w:r>
      <w:r w:rsidR="00FC7DC1">
        <w:rPr>
          <w:rStyle w:val="Refdenotaderodap"/>
          <w:sz w:val="24"/>
          <w:szCs w:val="24"/>
        </w:rPr>
        <w:footnoteReference w:id="1"/>
      </w:r>
    </w:p>
    <w:p w14:paraId="35A6DE8A" w14:textId="77777777" w:rsidR="00F931E5" w:rsidRDefault="00E46C4B" w:rsidP="00F931E5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Coautor 1</w:t>
      </w:r>
      <w:r w:rsidR="00AC5C4A">
        <w:rPr>
          <w:sz w:val="24"/>
          <w:szCs w:val="24"/>
        </w:rPr>
        <w:t>:</w:t>
      </w:r>
      <w:r w:rsidR="00FC7DC1">
        <w:rPr>
          <w:sz w:val="24"/>
          <w:szCs w:val="24"/>
        </w:rPr>
        <w:t xml:space="preserve"> Ana Luísa Alves Sousa</w:t>
      </w:r>
      <w:r w:rsidR="00F931E5">
        <w:rPr>
          <w:rStyle w:val="Refdenotaderodap"/>
          <w:sz w:val="24"/>
          <w:szCs w:val="24"/>
        </w:rPr>
        <w:footnoteReference w:id="2"/>
      </w:r>
    </w:p>
    <w:p w14:paraId="5DB41758" w14:textId="77777777" w:rsidR="00692AE9" w:rsidRDefault="00E46C4B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Coautor 2</w:t>
      </w:r>
      <w:r w:rsidR="00AC5C4A">
        <w:rPr>
          <w:sz w:val="24"/>
          <w:szCs w:val="24"/>
        </w:rPr>
        <w:t>:</w:t>
      </w:r>
      <w:r>
        <w:rPr>
          <w:sz w:val="24"/>
          <w:szCs w:val="24"/>
        </w:rPr>
        <w:t xml:space="preserve"> Jayane de Morais Leite Sousa</w:t>
      </w:r>
      <w:r w:rsidR="00F931E5">
        <w:rPr>
          <w:rStyle w:val="Refdenotaderodap"/>
          <w:sz w:val="24"/>
          <w:szCs w:val="24"/>
        </w:rPr>
        <w:footnoteReference w:id="3"/>
      </w:r>
    </w:p>
    <w:p w14:paraId="60F0622F" w14:textId="77777777" w:rsidR="00692AE9" w:rsidRDefault="00AC5C4A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Coautor 3 (opcional):</w:t>
      </w:r>
      <w:r w:rsidR="00E46C4B">
        <w:rPr>
          <w:sz w:val="24"/>
          <w:szCs w:val="24"/>
        </w:rPr>
        <w:t xml:space="preserve"> Luana Lopes</w:t>
      </w:r>
      <w:r w:rsidR="00F931E5">
        <w:rPr>
          <w:rStyle w:val="Refdenotaderodap"/>
          <w:sz w:val="24"/>
          <w:szCs w:val="24"/>
        </w:rPr>
        <w:footnoteReference w:id="4"/>
      </w:r>
    </w:p>
    <w:p w14:paraId="00F38F67" w14:textId="77777777" w:rsidR="00692AE9" w:rsidRDefault="00692AE9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1AD10C3B" w14:textId="77777777" w:rsidR="00692AE9" w:rsidRDefault="00AC5C4A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60CEF48C" w14:textId="2A5DB8DD" w:rsidR="00FC7DC1" w:rsidRPr="00FC7DC1" w:rsidRDefault="00FC7DC1" w:rsidP="00FC7DC1">
      <w:pPr>
        <w:pStyle w:val="Corpodetexto"/>
        <w:tabs>
          <w:tab w:val="left" w:pos="9071"/>
        </w:tabs>
        <w:spacing w:before="242" w:line="276" w:lineRule="auto"/>
        <w:ind w:left="0" w:right="-1"/>
        <w:rPr>
          <w:sz w:val="20"/>
        </w:rPr>
      </w:pPr>
      <w:r w:rsidRPr="00FC7DC1">
        <w:rPr>
          <w:sz w:val="20"/>
        </w:rPr>
        <w:t>O presente artigo analisa o reconhecimento da Síndrome de Burnout como doença relacionada ao trabalho e a possibilidade de responsabilização civil do empregador pelos danos extrapatrimoniais decorrentes do adoecimento do trabalhador. O estudo tem como objetivo compreender em que medida a negligência do empregador na identificação e prevenção dos riscos psicossociais para a caracterização do nexo necessário à responsabilização civil nos casos de Burnout.</w:t>
      </w:r>
      <w:r w:rsidRPr="00FC7DC1">
        <w:rPr>
          <w:spacing w:val="-2"/>
          <w:sz w:val="20"/>
        </w:rPr>
        <w:t xml:space="preserve"> </w:t>
      </w:r>
      <w:r w:rsidRPr="00FC7DC1">
        <w:rPr>
          <w:sz w:val="20"/>
        </w:rPr>
        <w:t>Para</w:t>
      </w:r>
      <w:r w:rsidRPr="00FC7DC1">
        <w:rPr>
          <w:spacing w:val="-3"/>
          <w:sz w:val="20"/>
        </w:rPr>
        <w:t xml:space="preserve"> </w:t>
      </w:r>
      <w:r w:rsidRPr="00FC7DC1">
        <w:rPr>
          <w:sz w:val="20"/>
        </w:rPr>
        <w:t>o</w:t>
      </w:r>
      <w:r w:rsidRPr="00FC7DC1">
        <w:rPr>
          <w:spacing w:val="-2"/>
          <w:sz w:val="20"/>
        </w:rPr>
        <w:t xml:space="preserve"> </w:t>
      </w:r>
      <w:r w:rsidRPr="00FC7DC1">
        <w:rPr>
          <w:sz w:val="20"/>
        </w:rPr>
        <w:t>desenvolvimento</w:t>
      </w:r>
      <w:r w:rsidRPr="00FC7DC1">
        <w:rPr>
          <w:spacing w:val="-3"/>
          <w:sz w:val="20"/>
        </w:rPr>
        <w:t xml:space="preserve"> </w:t>
      </w:r>
      <w:r w:rsidRPr="00FC7DC1">
        <w:rPr>
          <w:sz w:val="20"/>
        </w:rPr>
        <w:t>da</w:t>
      </w:r>
      <w:r w:rsidRPr="00FC7DC1">
        <w:rPr>
          <w:spacing w:val="-4"/>
          <w:sz w:val="20"/>
        </w:rPr>
        <w:t xml:space="preserve"> </w:t>
      </w:r>
      <w:r w:rsidRPr="00FC7DC1">
        <w:rPr>
          <w:sz w:val="20"/>
        </w:rPr>
        <w:t>pesquisa,</w:t>
      </w:r>
      <w:r w:rsidRPr="00FC7DC1">
        <w:rPr>
          <w:spacing w:val="-2"/>
          <w:sz w:val="20"/>
        </w:rPr>
        <w:t xml:space="preserve"> </w:t>
      </w:r>
      <w:r w:rsidRPr="00FC7DC1">
        <w:rPr>
          <w:sz w:val="20"/>
        </w:rPr>
        <w:t>utiliza-se</w:t>
      </w:r>
      <w:r w:rsidRPr="00FC7DC1">
        <w:rPr>
          <w:spacing w:val="-2"/>
          <w:sz w:val="20"/>
        </w:rPr>
        <w:t xml:space="preserve"> </w:t>
      </w:r>
      <w:r w:rsidRPr="00FC7DC1">
        <w:rPr>
          <w:sz w:val="20"/>
        </w:rPr>
        <w:t>abordagem</w:t>
      </w:r>
      <w:r w:rsidRPr="00FC7DC1">
        <w:rPr>
          <w:spacing w:val="-1"/>
          <w:sz w:val="20"/>
        </w:rPr>
        <w:t xml:space="preserve"> </w:t>
      </w:r>
      <w:r w:rsidRPr="00FC7DC1">
        <w:rPr>
          <w:sz w:val="20"/>
        </w:rPr>
        <w:t>qualitativa, com método hermenêutico e indutivo, por meio de pesquisa bibliográfica e</w:t>
      </w:r>
      <w:r>
        <w:rPr>
          <w:sz w:val="20"/>
        </w:rPr>
        <w:t xml:space="preserve"> documental. Foram observados os </w:t>
      </w:r>
      <w:r w:rsidRPr="00FC7DC1">
        <w:rPr>
          <w:sz w:val="20"/>
        </w:rPr>
        <w:t>dispositivos constitucionais e infraconstitucionais, normas relacionadas ao trabalho e à saúde e segurança ocupacional, documentos institucionais e materiais oficiais sobre saúde mental do trabalhador. A pesquisa parte da compreensão de que a Síndrome de Burnout não deve ser analisada apenas sob a perspectiva individual, uma vez que determinadas condições de trabalho podem contribuir para o desenvolvimento ou agravamento do quadro. Entre essas condições estão a sobrecarga de atividades, jornadas excessivas, pressão por produtividade, metas inadequadas, falta de autonomia, assédio e ausência de suporte organizacional. Também é analisado o dever do empregador de proporcionar um ambiente de trabalho seguro e saudável, adotando medidas preventivas para reduzir os riscos à saúde mental. Conclui-se que a existência do diagnóstico de Burnout não gera, por si só, responsabilidade civil do empregador, sendo necessária a análise das circunstâncias do caso concreto, do dano, da conduta empresarial e da relação causal ou concausal entre o trabalho e o adoecimento.</w:t>
      </w:r>
    </w:p>
    <w:p w14:paraId="7E887E47" w14:textId="77777777" w:rsidR="00692AE9" w:rsidRDefault="00692AE9">
      <w:pPr>
        <w:spacing w:line="360" w:lineRule="auto"/>
        <w:rPr>
          <w:b/>
          <w:bCs/>
          <w:sz w:val="24"/>
          <w:szCs w:val="24"/>
        </w:rPr>
      </w:pPr>
    </w:p>
    <w:p w14:paraId="55616307" w14:textId="77777777" w:rsidR="00FC7DC1" w:rsidRDefault="00AC5C4A">
      <w:pPr>
        <w:spacing w:line="360" w:lineRule="auto"/>
      </w:pPr>
      <w:r>
        <w:rPr>
          <w:b/>
          <w:bCs/>
          <w:sz w:val="24"/>
          <w:szCs w:val="24"/>
        </w:rPr>
        <w:t xml:space="preserve">Palavras-chave: </w:t>
      </w:r>
      <w:r w:rsidR="00FC7DC1">
        <w:t>Síndrome de Burnout; doença ocupacional; riscos psicossociais; responsabilidade civil; danos extrapatrimoniais.</w:t>
      </w:r>
      <w:bookmarkStart w:id="0" w:name="f5vk82do5j7i" w:colFirst="0" w:colLast="0"/>
      <w:bookmarkEnd w:id="0"/>
    </w:p>
    <w:p w14:paraId="1420D97D" w14:textId="77777777" w:rsidR="001C076C" w:rsidRDefault="001C076C">
      <w:pPr>
        <w:spacing w:line="360" w:lineRule="auto"/>
      </w:pPr>
    </w:p>
    <w:p w14:paraId="4B4450FF" w14:textId="77777777" w:rsidR="001C076C" w:rsidRDefault="001C076C">
      <w:pPr>
        <w:spacing w:line="360" w:lineRule="auto"/>
      </w:pPr>
    </w:p>
    <w:p w14:paraId="16E43682" w14:textId="77777777" w:rsidR="001C076C" w:rsidRPr="00E018DF" w:rsidRDefault="001C076C">
      <w:pPr>
        <w:spacing w:line="360" w:lineRule="auto"/>
        <w:rPr>
          <w:sz w:val="24"/>
          <w:szCs w:val="24"/>
        </w:rPr>
      </w:pPr>
    </w:p>
    <w:p w14:paraId="4C0BD3F8" w14:textId="77777777" w:rsidR="00692AE9" w:rsidRDefault="00AC5C4A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1</w:t>
      </w:r>
      <w:r w:rsidR="00E018DF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INTRODUÇÃO</w:t>
      </w:r>
    </w:p>
    <w:p w14:paraId="7CCFBA84" w14:textId="12B4D327" w:rsidR="008C5CBF" w:rsidRPr="007B0E7F" w:rsidRDefault="008C5CBF" w:rsidP="007B0E7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7B0E7F">
        <w:rPr>
          <w:bCs/>
          <w:sz w:val="24"/>
          <w:szCs w:val="24"/>
        </w:rPr>
        <w:t>O trabalho ocupa papel fundamental na vida em sociedade, funcionando não apenas como meio de subsistência, mas também como forma de inserção social, realização pessoal e construção da identidade do indivíduo. Por essa razão, a proteção das condições em que o trabalho é desenvolvido constitui preocupação relevante para o ordenamento jurídico brasileiro, sobretudo quando determinadas formas de organização laboral podem comprometer a saúde e a dignidade do trabalhador.</w:t>
      </w:r>
      <w:r w:rsidR="001F43C5">
        <w:rPr>
          <w:bCs/>
          <w:sz w:val="24"/>
          <w:szCs w:val="24"/>
        </w:rPr>
        <w:t xml:space="preserve"> Neste contexto, toda interferência direta na relação profissional pode gerar danos ao trabalhador e é necessária a intervenção legislativa para corroborar com fatores que auxiliem na saúde do trabalhador.</w:t>
      </w:r>
    </w:p>
    <w:p w14:paraId="48334999" w14:textId="77777777" w:rsidR="008C5CBF" w:rsidRPr="007B0E7F" w:rsidRDefault="008C5CBF" w:rsidP="007B0E7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7B0E7F">
        <w:rPr>
          <w:bCs/>
          <w:sz w:val="24"/>
          <w:szCs w:val="24"/>
        </w:rPr>
        <w:t>Nesse sentido, a Constituição Federal de 1988 estabeleceu a dignidade da pessoa humana como fundamento da República e reconheceu a saúde como direito social, assegurando aos trabalhadores a redução dos riscos inerentes ao trabalho por meio de normas de saúde, higiene e segurança. A proteção jurídica, portanto, não se limita à prevenção de acidentes e doenças físicas, estendendo-se também à preservação da saúde mental e da integridade psíquica do trabalhador.</w:t>
      </w:r>
    </w:p>
    <w:p w14:paraId="729B3EEE" w14:textId="77777777" w:rsidR="008C5CBF" w:rsidRPr="007B0E7F" w:rsidRDefault="008C5CBF" w:rsidP="007B0E7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7B0E7F">
        <w:rPr>
          <w:bCs/>
          <w:sz w:val="24"/>
          <w:szCs w:val="24"/>
        </w:rPr>
        <w:t>As transformações recentes nas relações de trabalho — marcadas pelo aumento das exigências por produtividade, resultados e disponibilidade profissional — têm ampliado as discussões sobre os efeitos das condições laborais na saúde mental. Jornadas prolongadas, excesso de responsabilidades, pressão constante, metas inadequadas, falta de autonomia e situações de violência psicológica figuram entre as circunstâncias que, a depender do contexto, podem contribuir para o adoecimento do trabalhador. É nesse cenário que se insere a Síndrome de Burnout, ou síndrome do esgotamento profissional, reconhecida pela Organização Mundial da Saúde, na CID-11, como fenômeno ocupacional decorrente de estresse crônico no ambiente de trabalho que não foi administrado de forma bem-sucedida (OMS, 2022), com repercussões tanto na vida profissional quanto na vida pessoal do indivíduo.</w:t>
      </w:r>
    </w:p>
    <w:p w14:paraId="48CA342F" w14:textId="77777777" w:rsidR="00692AE9" w:rsidRPr="007B0E7F" w:rsidRDefault="008C5CBF" w:rsidP="007B0E7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7B0E7F">
        <w:rPr>
          <w:bCs/>
          <w:sz w:val="24"/>
          <w:szCs w:val="24"/>
        </w:rPr>
        <w:t xml:space="preserve">Esse cenário encontra respaldo em dados concretos. Levantamento do Ministério da Previdência Social (2026) sobre a concessão de benefícios por incapacidade temporária entre 2020 e 2026 aponta crescimento expressivo dos afastamentos relacionados a transtornos mentais associados ao trabalho, o que reforça a dimensão social do problema. No mesmo sentido, estudo da </w:t>
      </w:r>
      <w:proofErr w:type="spellStart"/>
      <w:r w:rsidRPr="007B0E7F">
        <w:rPr>
          <w:bCs/>
          <w:sz w:val="24"/>
          <w:szCs w:val="24"/>
        </w:rPr>
        <w:t>Predictus</w:t>
      </w:r>
      <w:proofErr w:type="spellEnd"/>
      <w:r w:rsidRPr="007B0E7F">
        <w:rPr>
          <w:bCs/>
          <w:sz w:val="24"/>
          <w:szCs w:val="24"/>
        </w:rPr>
        <w:t xml:space="preserve"> (2026), ao mapear as ações trabalhistas envolvendo Síndrome de Burnout ajuizadas no Brasil entre 2016 e 2026, evidencia o aumento da judicialização do tema </w:t>
      </w:r>
      <w:r w:rsidRPr="007B0E7F">
        <w:rPr>
          <w:bCs/>
          <w:sz w:val="24"/>
          <w:szCs w:val="24"/>
        </w:rPr>
        <w:lastRenderedPageBreak/>
        <w:t>e a crescente busca, pelos trabalhadores, de reparação civil pelos danos decorrentes do adoecimento ocupacional.</w:t>
      </w:r>
    </w:p>
    <w:p w14:paraId="1040D581" w14:textId="75E96E7D" w:rsidR="006034DD" w:rsidRPr="007B0E7F" w:rsidRDefault="006034DD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7B0E7F">
        <w:rPr>
          <w:bCs/>
          <w:sz w:val="24"/>
          <w:szCs w:val="24"/>
        </w:rPr>
        <w:t xml:space="preserve">A </w:t>
      </w:r>
      <w:r w:rsidR="00B05E45">
        <w:rPr>
          <w:bCs/>
          <w:sz w:val="24"/>
          <w:szCs w:val="24"/>
        </w:rPr>
        <w:t>justificativa para o estudo do tema</w:t>
      </w:r>
      <w:r w:rsidRPr="007B0E7F">
        <w:rPr>
          <w:bCs/>
          <w:sz w:val="24"/>
          <w:szCs w:val="24"/>
        </w:rPr>
        <w:t xml:space="preserve"> reside na necessidade de compreender em que condições a Síndrome de Burnout pode ser relacionada ao ambiente laboral e quais consequências disso podem decorrer para o empregador. Isso exige a análise das circunstâncias concretas em que o trabalho é realizado, a fim de verificar se há relação entre tais condições e o desenvolvimento ou agravamento da doença</w:t>
      </w:r>
      <w:r w:rsidR="00B05E45">
        <w:rPr>
          <w:bCs/>
          <w:sz w:val="24"/>
          <w:szCs w:val="24"/>
        </w:rPr>
        <w:t>,</w:t>
      </w:r>
      <w:r w:rsidRPr="007B0E7F">
        <w:rPr>
          <w:bCs/>
          <w:sz w:val="24"/>
          <w:szCs w:val="24"/>
        </w:rPr>
        <w:t xml:space="preserve"> já que o diagnóstico, por si só, não é suficiente para configurar a responsabilidade do empregador. Como destacam Pires e </w:t>
      </w:r>
      <w:proofErr w:type="spellStart"/>
      <w:r w:rsidRPr="007B0E7F">
        <w:rPr>
          <w:bCs/>
          <w:sz w:val="24"/>
          <w:szCs w:val="24"/>
        </w:rPr>
        <w:t>Amazarray</w:t>
      </w:r>
      <w:proofErr w:type="spellEnd"/>
      <w:r w:rsidRPr="007B0E7F">
        <w:rPr>
          <w:bCs/>
          <w:sz w:val="24"/>
          <w:szCs w:val="24"/>
        </w:rPr>
        <w:t xml:space="preserve"> (2023), a definição do nexo causal no adoecimento mental relacionado ao trabalho representa um dos maiores desafios enfrentados pela doutrina e pela jurisprudência, dada a natureza multifatorial dos transtornos psíquicos e a dificuldade de isolar a contribuição específica do ambiente laboral entre outras causas concomitantes da vida do trabalhador.</w:t>
      </w:r>
    </w:p>
    <w:p w14:paraId="224B74F4" w14:textId="77777777" w:rsidR="006034DD" w:rsidRPr="007B0E7F" w:rsidRDefault="006034DD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7B0E7F">
        <w:rPr>
          <w:bCs/>
          <w:sz w:val="24"/>
          <w:szCs w:val="24"/>
        </w:rPr>
        <w:t>Essa discussão ganhou novo fôlego com o fortalecimento normativo dos riscos psicossociais: a atualização do capítulo 1.5 da Norma Regulamentadora nº 1 (NR-1), vigente desde 26 de maio de 2026, passou a incluir expressamente os fatores de risco psicossociais relacionados ao trabalho no Gerenciamento de Riscos Ocupacionais, reforçando a necessidade de considerar a organização do trabalho nas medidas de prevenção e proteção da saúde ocupacional.</w:t>
      </w:r>
    </w:p>
    <w:p w14:paraId="43D28C3B" w14:textId="77777777" w:rsidR="006034DD" w:rsidRPr="007B0E7F" w:rsidRDefault="006034DD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7B0E7F">
        <w:rPr>
          <w:bCs/>
          <w:sz w:val="24"/>
          <w:szCs w:val="24"/>
        </w:rPr>
        <w:t>Diante desse cenário, o presente artigo busca responder ao seguinte problema de pesquisa: em que medida a negligência do empregador na gestão dos riscos psicossociais no ambiente de trabalho pode contribuir para a configuração do nexo de causalidade necessário à responsabilização civil nos casos de Síndrome de Burnout?</w:t>
      </w:r>
    </w:p>
    <w:p w14:paraId="7F5A9A3B" w14:textId="31E5954C" w:rsidR="006034DD" w:rsidRDefault="006034DD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7B0E7F">
        <w:rPr>
          <w:bCs/>
          <w:sz w:val="24"/>
          <w:szCs w:val="24"/>
        </w:rPr>
        <w:t xml:space="preserve">A justificativa deste estudo assenta-se em </w:t>
      </w:r>
      <w:r w:rsidR="00CE4766" w:rsidRPr="007B0E7F">
        <w:rPr>
          <w:bCs/>
          <w:sz w:val="24"/>
          <w:szCs w:val="24"/>
        </w:rPr>
        <w:t>seu tríplice</w:t>
      </w:r>
      <w:r w:rsidRPr="007B0E7F">
        <w:rPr>
          <w:bCs/>
          <w:sz w:val="24"/>
          <w:szCs w:val="24"/>
        </w:rPr>
        <w:t xml:space="preserve"> relevância — social, jurídica e acadêmica. Do ponto de vista social, os dados estatísticos sobre afastamentos previdenciários (MINISTÉRIO DA PREVIDÊNCIA SOCIAL, 2026) e sobre o crescimento da litigância trabalhista específica (</w:t>
      </w:r>
      <w:proofErr w:type="spellStart"/>
      <w:r w:rsidRPr="007B0E7F">
        <w:rPr>
          <w:bCs/>
          <w:sz w:val="24"/>
          <w:szCs w:val="24"/>
        </w:rPr>
        <w:t>P</w:t>
      </w:r>
      <w:r w:rsidR="00CE4766" w:rsidRPr="007B0E7F">
        <w:rPr>
          <w:bCs/>
          <w:sz w:val="24"/>
          <w:szCs w:val="24"/>
        </w:rPr>
        <w:t>redictus</w:t>
      </w:r>
      <w:proofErr w:type="spellEnd"/>
      <w:r w:rsidRPr="007B0E7F">
        <w:rPr>
          <w:bCs/>
          <w:sz w:val="24"/>
          <w:szCs w:val="24"/>
        </w:rPr>
        <w:t>, 2026) demonstram que o tema extrapola a situação individual do trabalhador adoecido, alcançando a própria organização das relações de trabalho e o cumprimento dos deveres de prevenção atribuídos ao empregador.</w:t>
      </w:r>
    </w:p>
    <w:p w14:paraId="51DBD1BA" w14:textId="77777777" w:rsidR="006034DD" w:rsidRPr="007B0E7F" w:rsidRDefault="006034DD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7B0E7F">
        <w:rPr>
          <w:bCs/>
          <w:sz w:val="24"/>
          <w:szCs w:val="24"/>
        </w:rPr>
        <w:t xml:space="preserve">Do ponto de vista jurídico, a matéria ainda demanda maior sistematização doutrinária e jurisprudencial, sobretudo diante da persistente dificuldade de estabelecimento do nexo causal apontada por Pires e </w:t>
      </w:r>
      <w:proofErr w:type="spellStart"/>
      <w:r w:rsidRPr="007B0E7F">
        <w:rPr>
          <w:bCs/>
          <w:sz w:val="24"/>
          <w:szCs w:val="24"/>
        </w:rPr>
        <w:t>Amazarray</w:t>
      </w:r>
      <w:proofErr w:type="spellEnd"/>
      <w:r w:rsidRPr="007B0E7F">
        <w:rPr>
          <w:bCs/>
          <w:sz w:val="24"/>
          <w:szCs w:val="24"/>
        </w:rPr>
        <w:t xml:space="preserve"> (2023) e da recente incorporação normativa dos riscos psicossociais pela NR-1, que impõe nova leitura sobre os deveres de cuidado do empregador. Nesse ponto, a doutrina civilista tradicional — a exemplo da sistematização de Tartuce (2024) </w:t>
      </w:r>
      <w:r w:rsidRPr="007B0E7F">
        <w:rPr>
          <w:bCs/>
          <w:sz w:val="24"/>
          <w:szCs w:val="24"/>
        </w:rPr>
        <w:lastRenderedPageBreak/>
        <w:t>sobre os elementos da responsabilidade civil (conduta, dano, nexo causal e, quando aplicável, culpa) — oferece o arcabouço teórico necessário para a análise da responsabilização do empregador nos casos de Burnout, exigindo, contudo, adaptação às particularidades do dano psíquico ocupacional.</w:t>
      </w:r>
    </w:p>
    <w:p w14:paraId="7909B5FE" w14:textId="77777777" w:rsidR="006034DD" w:rsidRPr="007B0E7F" w:rsidRDefault="006034DD" w:rsidP="007B0E7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7B0E7F">
        <w:rPr>
          <w:bCs/>
          <w:sz w:val="24"/>
          <w:szCs w:val="24"/>
        </w:rPr>
        <w:t>Do ponto de vista acadêmico, analisar as condições em que o trabalho é realizado permite compreender de forma mais precisa a relação entre organização laboral e adoecimento psicológico, contribuindo para o debate sobre os limites entre produtividade empresarial e proteção da saúde mental do trabalhador.</w:t>
      </w:r>
    </w:p>
    <w:p w14:paraId="0497C0EC" w14:textId="77777777" w:rsidR="006034DD" w:rsidRPr="007B0E7F" w:rsidRDefault="006034DD" w:rsidP="007B0E7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7B0E7F">
        <w:rPr>
          <w:bCs/>
          <w:sz w:val="24"/>
          <w:szCs w:val="24"/>
        </w:rPr>
        <w:t>Assim, o estudo da Síndrome de Burnout sob a perspectiva da responsabilidade civil permite discutir não apenas a reparação dos danos sofridos pelo trabalhador, mas também — e sobretudo — a importância da prevenção. A proteção da saúde mental exige que o ambiente de trabalho seja organizado de maneira compatível com a dignidade humana, de modo que a busca por produtividade e resultados não se sobreponha aos direitos fundamentais do trabalhador.</w:t>
      </w:r>
    </w:p>
    <w:p w14:paraId="4CD0C3B9" w14:textId="77777777" w:rsidR="006034DD" w:rsidRPr="007B0E7F" w:rsidRDefault="006034DD" w:rsidP="007B0E7F">
      <w:pPr>
        <w:spacing w:line="360" w:lineRule="auto"/>
        <w:jc w:val="both"/>
        <w:rPr>
          <w:bCs/>
          <w:sz w:val="24"/>
          <w:szCs w:val="24"/>
        </w:rPr>
      </w:pPr>
    </w:p>
    <w:p w14:paraId="7FF16D90" w14:textId="77777777" w:rsidR="00692AE9" w:rsidRDefault="00AC5C4A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E018DF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OBJETIVOS</w:t>
      </w:r>
    </w:p>
    <w:p w14:paraId="6C0539F3" w14:textId="615B0DDD" w:rsidR="00692AE9" w:rsidRPr="00E018DF" w:rsidRDefault="006034DD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O objetivo </w:t>
      </w:r>
      <w:r w:rsidR="008A28EF">
        <w:rPr>
          <w:bCs/>
          <w:sz w:val="24"/>
          <w:szCs w:val="24"/>
        </w:rPr>
        <w:t>primário</w:t>
      </w:r>
      <w:r w:rsidRPr="00E018DF">
        <w:rPr>
          <w:bCs/>
          <w:sz w:val="24"/>
          <w:szCs w:val="24"/>
        </w:rPr>
        <w:t xml:space="preserve"> deste artigo consiste em analisar o reconhecimento da Síndrome de Burnout como doença relacionada ao trabalho e a responsabilidade civil do empregador pelos danos extrapatrimoniais decorrentes do adoecimento ocupacional. </w:t>
      </w:r>
      <w:r w:rsidR="008A28EF">
        <w:rPr>
          <w:bCs/>
          <w:sz w:val="24"/>
          <w:szCs w:val="24"/>
        </w:rPr>
        <w:t>Para alcance do objetivo primário, traçou-se como</w:t>
      </w:r>
      <w:r w:rsidRPr="00E018DF">
        <w:rPr>
          <w:bCs/>
          <w:sz w:val="24"/>
          <w:szCs w:val="24"/>
        </w:rPr>
        <w:t xml:space="preserve"> objetivos </w:t>
      </w:r>
      <w:r w:rsidR="008A28EF">
        <w:rPr>
          <w:bCs/>
          <w:sz w:val="24"/>
          <w:szCs w:val="24"/>
        </w:rPr>
        <w:t xml:space="preserve">secundários: </w:t>
      </w:r>
      <w:r w:rsidRPr="00E018DF">
        <w:rPr>
          <w:bCs/>
          <w:sz w:val="24"/>
          <w:szCs w:val="24"/>
        </w:rPr>
        <w:t>(i) compreender os aspectos jurídicos e conceituais relacionados à Síndrome de Burnout, à luz de sua classificação pela OMS (2022); (</w:t>
      </w:r>
      <w:proofErr w:type="spellStart"/>
      <w:r w:rsidRPr="00E018DF">
        <w:rPr>
          <w:bCs/>
          <w:sz w:val="24"/>
          <w:szCs w:val="24"/>
        </w:rPr>
        <w:t>ii</w:t>
      </w:r>
      <w:proofErr w:type="spellEnd"/>
      <w:r w:rsidRPr="00E018DF">
        <w:rPr>
          <w:bCs/>
          <w:sz w:val="24"/>
          <w:szCs w:val="24"/>
        </w:rPr>
        <w:t>) identificar os principais riscos psicossociais presentes no ambiente laboral; (</w:t>
      </w:r>
      <w:proofErr w:type="spellStart"/>
      <w:r w:rsidRPr="00E018DF">
        <w:rPr>
          <w:bCs/>
          <w:sz w:val="24"/>
          <w:szCs w:val="24"/>
        </w:rPr>
        <w:t>iii</w:t>
      </w:r>
      <w:proofErr w:type="spellEnd"/>
      <w:r w:rsidRPr="00E018DF">
        <w:rPr>
          <w:bCs/>
          <w:sz w:val="24"/>
          <w:szCs w:val="24"/>
        </w:rPr>
        <w:t>) analisar o dever do empregador de prevenção e proteção da saúde mental dos trabalhadores; e (</w:t>
      </w:r>
      <w:proofErr w:type="spellStart"/>
      <w:r w:rsidRPr="00E018DF">
        <w:rPr>
          <w:bCs/>
          <w:sz w:val="24"/>
          <w:szCs w:val="24"/>
        </w:rPr>
        <w:t>iv</w:t>
      </w:r>
      <w:proofErr w:type="spellEnd"/>
      <w:r w:rsidRPr="00E018DF">
        <w:rPr>
          <w:bCs/>
          <w:sz w:val="24"/>
          <w:szCs w:val="24"/>
        </w:rPr>
        <w:t xml:space="preserve">) verificar os elementos necessários à configuração do nexo causal ou </w:t>
      </w:r>
      <w:proofErr w:type="spellStart"/>
      <w:r w:rsidRPr="00E018DF">
        <w:rPr>
          <w:bCs/>
          <w:sz w:val="24"/>
          <w:szCs w:val="24"/>
        </w:rPr>
        <w:t>concausal</w:t>
      </w:r>
      <w:proofErr w:type="spellEnd"/>
      <w:r w:rsidRPr="00E018DF">
        <w:rPr>
          <w:bCs/>
          <w:sz w:val="24"/>
          <w:szCs w:val="24"/>
        </w:rPr>
        <w:t xml:space="preserve"> e da responsabilidade civil, com base na doutrina de Tartuce (2024) e nos desafios apontados por Pires e </w:t>
      </w:r>
      <w:proofErr w:type="spellStart"/>
      <w:r w:rsidRPr="00E018DF">
        <w:rPr>
          <w:bCs/>
          <w:sz w:val="24"/>
          <w:szCs w:val="24"/>
        </w:rPr>
        <w:t>Amazarray</w:t>
      </w:r>
      <w:proofErr w:type="spellEnd"/>
      <w:r w:rsidRPr="00E018DF">
        <w:rPr>
          <w:bCs/>
          <w:sz w:val="24"/>
          <w:szCs w:val="24"/>
        </w:rPr>
        <w:t xml:space="preserve"> (2023).</w:t>
      </w:r>
    </w:p>
    <w:p w14:paraId="1F8D1D3C" w14:textId="77777777" w:rsidR="00E018DF" w:rsidRDefault="00E018DF">
      <w:pPr>
        <w:spacing w:line="360" w:lineRule="auto"/>
        <w:rPr>
          <w:b/>
          <w:bCs/>
          <w:sz w:val="24"/>
          <w:szCs w:val="24"/>
        </w:rPr>
      </w:pPr>
    </w:p>
    <w:p w14:paraId="03A74750" w14:textId="77777777" w:rsidR="00692AE9" w:rsidRDefault="00AC5C4A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6034DD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MÉTODO</w:t>
      </w:r>
    </w:p>
    <w:p w14:paraId="43678A99" w14:textId="77777777" w:rsidR="006034DD" w:rsidRPr="00E018DF" w:rsidRDefault="006034DD" w:rsidP="00E018DF">
      <w:pPr>
        <w:spacing w:line="360" w:lineRule="auto"/>
        <w:ind w:firstLine="720"/>
        <w:jc w:val="both"/>
        <w:rPr>
          <w:rFonts w:eastAsia="Arial MT"/>
          <w:sz w:val="24"/>
          <w:szCs w:val="24"/>
          <w:lang w:val="pt-PT" w:eastAsia="en-US"/>
        </w:rPr>
      </w:pPr>
      <w:r w:rsidRPr="00E018DF">
        <w:rPr>
          <w:rFonts w:eastAsia="Arial MT"/>
          <w:sz w:val="24"/>
          <w:szCs w:val="24"/>
          <w:lang w:val="pt-PT" w:eastAsia="en-US"/>
        </w:rPr>
        <w:t xml:space="preserve">O presente artigo adota abordagem mista, de natureza qualitativa, com caráter exploratório e explicativo, voltada à análise do reconhecimento da Síndrome de Burnout como doença ocupacional e da responsabilidade civil do empregador por danos extrapatrimoniais decorrentes do adoecimento. A pesquisa é desenvolvida por meio de revisão bibliográfica e documental, associada a levantamentos jurimétricos e epidemiológicos, o que </w:t>
      </w:r>
      <w:r w:rsidRPr="00E018DF">
        <w:rPr>
          <w:rFonts w:eastAsia="Arial MT"/>
          <w:sz w:val="24"/>
          <w:szCs w:val="24"/>
          <w:lang w:val="pt-PT" w:eastAsia="en-US"/>
        </w:rPr>
        <w:lastRenderedPageBreak/>
        <w:t>permite articular a análise normativa e doutrinária a dados empíricos sobre a incidência do problema.</w:t>
      </w:r>
    </w:p>
    <w:p w14:paraId="763CF4CF" w14:textId="77777777" w:rsidR="006034DD" w:rsidRPr="00E018DF" w:rsidRDefault="006034DD" w:rsidP="00E018DF">
      <w:pPr>
        <w:spacing w:line="360" w:lineRule="auto"/>
        <w:jc w:val="both"/>
        <w:rPr>
          <w:rFonts w:eastAsia="Arial MT"/>
          <w:sz w:val="24"/>
          <w:szCs w:val="24"/>
          <w:lang w:val="pt-PT" w:eastAsia="en-US"/>
        </w:rPr>
      </w:pPr>
    </w:p>
    <w:p w14:paraId="1B889240" w14:textId="77777777" w:rsidR="006034DD" w:rsidRPr="00E018DF" w:rsidRDefault="006034DD" w:rsidP="00E018DF">
      <w:pPr>
        <w:spacing w:line="360" w:lineRule="auto"/>
        <w:ind w:firstLine="720"/>
        <w:jc w:val="both"/>
        <w:rPr>
          <w:rFonts w:eastAsia="Arial MT"/>
          <w:sz w:val="24"/>
          <w:szCs w:val="24"/>
          <w:lang w:val="pt-PT" w:eastAsia="en-US"/>
        </w:rPr>
      </w:pPr>
      <w:r w:rsidRPr="00E018DF">
        <w:rPr>
          <w:rFonts w:eastAsia="Arial MT"/>
          <w:sz w:val="24"/>
          <w:szCs w:val="24"/>
          <w:lang w:val="pt-PT" w:eastAsia="en-US"/>
        </w:rPr>
        <w:t>Quanto ao método, utiliza-se o método hermenêutico, voltado à interpretação das normas legais e das decisões judiciais à luz da realidade social e das interações laborais concretas, combinado ao método indutivo, que parte da observação de dados empíricos para a construção de uma compreensão teórica e jurídica mais ampla sobre o tema.</w:t>
      </w:r>
    </w:p>
    <w:p w14:paraId="615F6E33" w14:textId="77777777" w:rsidR="006034DD" w:rsidRPr="00E018DF" w:rsidRDefault="006034DD" w:rsidP="00E018DF">
      <w:pPr>
        <w:spacing w:line="360" w:lineRule="auto"/>
        <w:ind w:firstLine="720"/>
        <w:jc w:val="both"/>
        <w:rPr>
          <w:rFonts w:eastAsia="Arial MT"/>
          <w:sz w:val="24"/>
          <w:szCs w:val="24"/>
          <w:lang w:val="pt-PT" w:eastAsia="en-US"/>
        </w:rPr>
      </w:pPr>
      <w:r w:rsidRPr="00E018DF">
        <w:rPr>
          <w:rFonts w:eastAsia="Arial MT"/>
          <w:sz w:val="24"/>
          <w:szCs w:val="24"/>
          <w:lang w:val="pt-PT" w:eastAsia="en-US"/>
        </w:rPr>
        <w:t>A fundamentação teórica e documental do estudo foi construída a partir das seguintes fontes:</w:t>
      </w:r>
    </w:p>
    <w:p w14:paraId="25138946" w14:textId="77777777" w:rsidR="006034DD" w:rsidRPr="00E018DF" w:rsidRDefault="006034DD" w:rsidP="00E018DF">
      <w:pPr>
        <w:spacing w:line="360" w:lineRule="auto"/>
        <w:jc w:val="both"/>
        <w:rPr>
          <w:rFonts w:eastAsia="Arial MT"/>
          <w:sz w:val="24"/>
          <w:szCs w:val="24"/>
          <w:lang w:val="pt-PT" w:eastAsia="en-US"/>
        </w:rPr>
      </w:pPr>
      <w:r w:rsidRPr="00E018DF">
        <w:rPr>
          <w:rFonts w:eastAsia="Arial MT"/>
          <w:sz w:val="24"/>
          <w:szCs w:val="24"/>
          <w:lang w:val="pt-PT" w:eastAsia="en-US"/>
        </w:rPr>
        <w:t>a) Legislação vigente que estrutura a proteção à saúde do trabalhador e a responsabilidade civil no Brasil, notadamente a Constituição Federal de 1988 (art. 7º, inciso XXVIII), a Consolidação das Leis do Trabalho — CLT (art. 157), a Lei de Benefícios da Previdência Social (Lei nº 8.213/1991, arts. 19, 20 e 21) e o Código Civil (Lei nº</w:t>
      </w:r>
      <w:r w:rsidR="00C45E53" w:rsidRPr="00E018DF">
        <w:rPr>
          <w:rFonts w:eastAsia="Arial MT"/>
          <w:sz w:val="24"/>
          <w:szCs w:val="24"/>
          <w:lang w:val="pt-PT" w:eastAsia="en-US"/>
        </w:rPr>
        <w:t xml:space="preserve"> 10.406/2002, arts. 944 e 945);</w:t>
      </w:r>
    </w:p>
    <w:p w14:paraId="798607BC" w14:textId="77777777" w:rsidR="006034DD" w:rsidRPr="00E018DF" w:rsidRDefault="006034DD" w:rsidP="00E018DF">
      <w:pPr>
        <w:spacing w:line="360" w:lineRule="auto"/>
        <w:jc w:val="both"/>
        <w:rPr>
          <w:rFonts w:eastAsia="Arial MT"/>
          <w:sz w:val="24"/>
          <w:szCs w:val="24"/>
          <w:lang w:val="pt-PT" w:eastAsia="en-US"/>
        </w:rPr>
      </w:pPr>
      <w:r w:rsidRPr="00E018DF">
        <w:rPr>
          <w:rFonts w:eastAsia="Arial MT"/>
          <w:sz w:val="24"/>
          <w:szCs w:val="24"/>
          <w:lang w:val="pt-PT" w:eastAsia="en-US"/>
        </w:rPr>
        <w:t>b) Catálogos diagnósticos e normativos recentes, como a CID-11 da Organização Mundial da Saúde (código QD85) e a Lista de Doenças Relacionadas ao Trabalho</w:t>
      </w:r>
      <w:r w:rsidR="00C45E53" w:rsidRPr="00E018DF">
        <w:rPr>
          <w:rFonts w:eastAsia="Arial MT"/>
          <w:sz w:val="24"/>
          <w:szCs w:val="24"/>
          <w:lang w:val="pt-PT" w:eastAsia="en-US"/>
        </w:rPr>
        <w:t xml:space="preserve"> (LDRT) do Ministério da Saúde;</w:t>
      </w:r>
    </w:p>
    <w:p w14:paraId="25E3B82D" w14:textId="77777777" w:rsidR="006034DD" w:rsidRPr="00E018DF" w:rsidRDefault="006034DD" w:rsidP="00E018DF">
      <w:pPr>
        <w:spacing w:line="360" w:lineRule="auto"/>
        <w:jc w:val="both"/>
        <w:rPr>
          <w:rFonts w:eastAsia="Arial MT"/>
          <w:sz w:val="24"/>
          <w:szCs w:val="24"/>
          <w:lang w:val="pt-PT" w:eastAsia="en-US"/>
        </w:rPr>
      </w:pPr>
      <w:r w:rsidRPr="00E018DF">
        <w:rPr>
          <w:rFonts w:eastAsia="Arial MT"/>
          <w:sz w:val="24"/>
          <w:szCs w:val="24"/>
          <w:lang w:val="pt-PT" w:eastAsia="en-US"/>
        </w:rPr>
        <w:t>c) Pesquisas acadêmicas, monografias e dissertações que tratam da Síndrome de Burnout, da concausalidade e da repar</w:t>
      </w:r>
      <w:r w:rsidR="00C45E53" w:rsidRPr="00E018DF">
        <w:rPr>
          <w:rFonts w:eastAsia="Arial MT"/>
          <w:sz w:val="24"/>
          <w:szCs w:val="24"/>
          <w:lang w:val="pt-PT" w:eastAsia="en-US"/>
        </w:rPr>
        <w:t>ação por dano moral in re ipsa;</w:t>
      </w:r>
    </w:p>
    <w:p w14:paraId="2C1D5A02" w14:textId="77777777" w:rsidR="006034DD" w:rsidRPr="00E018DF" w:rsidRDefault="006034DD" w:rsidP="00E018DF">
      <w:pPr>
        <w:spacing w:line="360" w:lineRule="auto"/>
        <w:jc w:val="both"/>
        <w:rPr>
          <w:rFonts w:eastAsia="Arial MT"/>
          <w:sz w:val="24"/>
          <w:szCs w:val="24"/>
          <w:lang w:val="pt-PT" w:eastAsia="en-US"/>
        </w:rPr>
      </w:pPr>
      <w:r w:rsidRPr="00E018DF">
        <w:rPr>
          <w:rFonts w:eastAsia="Arial MT"/>
          <w:sz w:val="24"/>
          <w:szCs w:val="24"/>
          <w:lang w:val="pt-PT" w:eastAsia="en-US"/>
        </w:rPr>
        <w:t>d) Dados estatísticos do Ministério da Previdência Social e do Instituto Nacional do Seguro Social (INSS) sobre a concessão de benefíci</w:t>
      </w:r>
      <w:r w:rsidR="00C45E53" w:rsidRPr="00E018DF">
        <w:rPr>
          <w:rFonts w:eastAsia="Arial MT"/>
          <w:sz w:val="24"/>
          <w:szCs w:val="24"/>
          <w:lang w:val="pt-PT" w:eastAsia="en-US"/>
        </w:rPr>
        <w:t>os por incapacidade temporária;</w:t>
      </w:r>
    </w:p>
    <w:p w14:paraId="7D12D963" w14:textId="77777777" w:rsidR="006034DD" w:rsidRPr="00E018DF" w:rsidRDefault="006034DD" w:rsidP="00E018DF">
      <w:pPr>
        <w:spacing w:line="360" w:lineRule="auto"/>
        <w:jc w:val="both"/>
        <w:rPr>
          <w:rFonts w:eastAsia="Arial MT"/>
          <w:sz w:val="24"/>
          <w:szCs w:val="24"/>
          <w:lang w:val="pt-PT" w:eastAsia="en-US"/>
        </w:rPr>
      </w:pPr>
      <w:r w:rsidRPr="00E018DF">
        <w:rPr>
          <w:rFonts w:eastAsia="Arial MT"/>
          <w:sz w:val="24"/>
          <w:szCs w:val="24"/>
          <w:lang w:val="pt-PT" w:eastAsia="en-US"/>
        </w:rPr>
        <w:t>e) Indicadores jurimétricos coletados junto à Plataforma Predictus, que abrangem 22.815 processos em tramitação nos Tribunai</w:t>
      </w:r>
      <w:r w:rsidR="00C45E53" w:rsidRPr="00E018DF">
        <w:rPr>
          <w:rFonts w:eastAsia="Arial MT"/>
          <w:sz w:val="24"/>
          <w:szCs w:val="24"/>
          <w:lang w:val="pt-PT" w:eastAsia="en-US"/>
        </w:rPr>
        <w:t>s Regionais do Trabalho (TRTs);</w:t>
      </w:r>
    </w:p>
    <w:p w14:paraId="572AA2ED" w14:textId="77777777" w:rsidR="006034DD" w:rsidRPr="00E018DF" w:rsidRDefault="006034DD" w:rsidP="00E018DF">
      <w:pPr>
        <w:spacing w:line="360" w:lineRule="auto"/>
        <w:jc w:val="both"/>
        <w:rPr>
          <w:rFonts w:eastAsia="Arial MT"/>
          <w:sz w:val="24"/>
          <w:szCs w:val="24"/>
          <w:lang w:val="pt-PT" w:eastAsia="en-US"/>
        </w:rPr>
      </w:pPr>
      <w:r w:rsidRPr="00E018DF">
        <w:rPr>
          <w:rFonts w:eastAsia="Arial MT"/>
          <w:sz w:val="24"/>
          <w:szCs w:val="24"/>
          <w:lang w:val="pt-PT" w:eastAsia="en-US"/>
        </w:rPr>
        <w:t>f) Decisões do Tribunal Superior do Trabalho (TST) que exemplificam a aplicação prática do nexo concausal, da responsabilidade civil subjetiva e dos critérios adotados para a fixação de indenizações.</w:t>
      </w:r>
    </w:p>
    <w:p w14:paraId="19B93099" w14:textId="77777777" w:rsidR="006034DD" w:rsidRPr="00E018DF" w:rsidRDefault="006034DD" w:rsidP="00E018DF">
      <w:pPr>
        <w:spacing w:line="360" w:lineRule="auto"/>
        <w:ind w:firstLine="720"/>
        <w:jc w:val="both"/>
        <w:rPr>
          <w:rFonts w:eastAsia="Arial MT"/>
          <w:sz w:val="24"/>
          <w:szCs w:val="24"/>
          <w:lang w:val="pt-PT" w:eastAsia="en-US"/>
        </w:rPr>
      </w:pPr>
      <w:r w:rsidRPr="00E018DF">
        <w:rPr>
          <w:rFonts w:eastAsia="Arial MT"/>
          <w:sz w:val="24"/>
          <w:szCs w:val="24"/>
          <w:lang w:val="pt-PT" w:eastAsia="en-US"/>
        </w:rPr>
        <w:t>A opção pela metodologia integrada justifica-se pela complexidade e sensibilidade do tema, que envolve múltiplas dimensões — jurídica</w:t>
      </w:r>
      <w:r w:rsidR="00E018DF">
        <w:rPr>
          <w:rFonts w:eastAsia="Arial MT"/>
          <w:sz w:val="24"/>
          <w:szCs w:val="24"/>
          <w:lang w:val="pt-PT" w:eastAsia="en-US"/>
        </w:rPr>
        <w:t>s</w:t>
      </w:r>
      <w:r w:rsidRPr="00E018DF">
        <w:rPr>
          <w:rFonts w:eastAsia="Arial MT"/>
          <w:sz w:val="24"/>
          <w:szCs w:val="24"/>
          <w:lang w:val="pt-PT" w:eastAsia="en-US"/>
        </w:rPr>
        <w:t>, médica, organizacional e psíquica —, cuja compreensão exige o cruzamento de diferentes tipos de fonte e de análise. O estudo busca compreender de que maneira se concretiza, na prática, a proteção à saúde mental dos trabalhadores, especialmente diante da negligência de empregadores na gestão dos riscos psicossociais e das dificuldades enfrentadas para a comprovação do dano extrapatrimonial.</w:t>
      </w:r>
    </w:p>
    <w:p w14:paraId="708A1088" w14:textId="716886FF" w:rsidR="00692AE9" w:rsidRPr="00E018DF" w:rsidRDefault="006034DD" w:rsidP="00E018DF">
      <w:pPr>
        <w:spacing w:line="360" w:lineRule="auto"/>
        <w:ind w:firstLine="720"/>
        <w:jc w:val="both"/>
        <w:rPr>
          <w:rFonts w:eastAsia="Arial MT"/>
          <w:sz w:val="24"/>
          <w:szCs w:val="24"/>
          <w:lang w:val="pt-PT" w:eastAsia="en-US"/>
        </w:rPr>
      </w:pPr>
      <w:r w:rsidRPr="00E018DF">
        <w:rPr>
          <w:rFonts w:eastAsia="Arial MT"/>
          <w:sz w:val="24"/>
          <w:szCs w:val="24"/>
          <w:lang w:val="pt-PT" w:eastAsia="en-US"/>
        </w:rPr>
        <w:lastRenderedPageBreak/>
        <w:t>Dessa forma, o estudo pretende contribuir para o fortalecimento da proteção ao meio ambiente do trabalho e para o debate sobre a efetividade das normas de saúde ocupacional, evidenciando a necessidade de aprimoramento das estratégias de prevenção nas empresas, bem como de uma atuação judicial alinhada às novas configurações do trabalho contemporâneo.</w:t>
      </w:r>
      <w:r w:rsidR="00A378E7">
        <w:rPr>
          <w:rFonts w:eastAsia="Arial MT"/>
          <w:sz w:val="24"/>
          <w:szCs w:val="24"/>
          <w:lang w:val="pt-PT" w:eastAsia="en-US"/>
        </w:rPr>
        <w:t xml:space="preserve"> Cumpre ainda salientar, que a metodologia selecionada para desenvolvimento do presente artigo é suficiente para o alcance dos objetivos traçados. </w:t>
      </w:r>
    </w:p>
    <w:p w14:paraId="7BA91F06" w14:textId="77777777" w:rsidR="006034DD" w:rsidRPr="00E018DF" w:rsidRDefault="006034DD" w:rsidP="00E018DF">
      <w:pPr>
        <w:spacing w:line="360" w:lineRule="auto"/>
        <w:jc w:val="both"/>
        <w:rPr>
          <w:bCs/>
          <w:sz w:val="24"/>
          <w:szCs w:val="24"/>
        </w:rPr>
      </w:pPr>
    </w:p>
    <w:p w14:paraId="22181F7E" w14:textId="77777777" w:rsidR="00692AE9" w:rsidRPr="00E018DF" w:rsidRDefault="00AC5C4A" w:rsidP="00E018DF">
      <w:pPr>
        <w:spacing w:line="360" w:lineRule="auto"/>
        <w:jc w:val="both"/>
        <w:rPr>
          <w:b/>
          <w:bCs/>
          <w:sz w:val="24"/>
          <w:szCs w:val="24"/>
        </w:rPr>
      </w:pPr>
      <w:r w:rsidRPr="00E018DF">
        <w:rPr>
          <w:b/>
          <w:bCs/>
          <w:sz w:val="24"/>
          <w:szCs w:val="24"/>
        </w:rPr>
        <w:t>4</w:t>
      </w:r>
      <w:r w:rsidR="00C45E53" w:rsidRPr="00E018DF">
        <w:rPr>
          <w:b/>
          <w:bCs/>
          <w:sz w:val="24"/>
          <w:szCs w:val="24"/>
        </w:rPr>
        <w:t xml:space="preserve">. </w:t>
      </w:r>
      <w:r w:rsidRPr="00E018DF">
        <w:rPr>
          <w:b/>
          <w:bCs/>
          <w:sz w:val="24"/>
          <w:szCs w:val="24"/>
        </w:rPr>
        <w:t>RESULTADOS E DISCUSSÃO</w:t>
      </w:r>
    </w:p>
    <w:p w14:paraId="127CF76C" w14:textId="77777777" w:rsidR="00E018DF" w:rsidRDefault="007B0E7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A revisão bibliográfica, documental e os dados empíricos analisados evidenciam que o reconhecimento do esgotamento psíquico como agravo atrelado às dinâmicas organizacionais alterou significativamente os rumos da tutela jurídica da saúde </w:t>
      </w:r>
      <w:r w:rsidR="00E018DF">
        <w:rPr>
          <w:bCs/>
          <w:sz w:val="24"/>
          <w:szCs w:val="24"/>
        </w:rPr>
        <w:t>física e mental do trabalhador.</w:t>
      </w:r>
    </w:p>
    <w:p w14:paraId="5F2CAB1F" w14:textId="77777777" w:rsidR="007B0E7F" w:rsidRDefault="007B0E7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>Os indicadores estatísticos e a orientação consolidada dos tribunais atestam o abandono progressivo de interpretações que culpabilizavam o indivíduo pelo estresse vivenciado, migrando-se para a rigorosa apuração da responsabilidade empresarial na gestão dos riscos ambientais e psicossociais no trabalho.</w:t>
      </w:r>
    </w:p>
    <w:p w14:paraId="4FADA9A4" w14:textId="77777777" w:rsidR="00E018DF" w:rsidRPr="00E018DF" w:rsidRDefault="00E018D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</w:p>
    <w:p w14:paraId="5451C933" w14:textId="77777777" w:rsidR="007B0E7F" w:rsidRPr="00E018DF" w:rsidRDefault="007B0E7F" w:rsidP="00E018DF">
      <w:pPr>
        <w:spacing w:line="360" w:lineRule="auto"/>
        <w:jc w:val="both"/>
        <w:rPr>
          <w:b/>
          <w:bCs/>
          <w:sz w:val="24"/>
          <w:szCs w:val="24"/>
        </w:rPr>
      </w:pPr>
      <w:r w:rsidRPr="00E018DF">
        <w:rPr>
          <w:b/>
          <w:bCs/>
          <w:sz w:val="24"/>
          <w:szCs w:val="24"/>
        </w:rPr>
        <w:t>4.1 O reconhecimento n</w:t>
      </w:r>
      <w:r w:rsidR="00E018DF" w:rsidRPr="00E018DF">
        <w:rPr>
          <w:b/>
          <w:bCs/>
          <w:sz w:val="24"/>
          <w:szCs w:val="24"/>
        </w:rPr>
        <w:t>ormativo da Síndrome de Burnout</w:t>
      </w:r>
      <w:r w:rsidR="00E018DF">
        <w:rPr>
          <w:b/>
          <w:bCs/>
          <w:sz w:val="24"/>
          <w:szCs w:val="24"/>
        </w:rPr>
        <w:t>.</w:t>
      </w:r>
    </w:p>
    <w:p w14:paraId="60A09473" w14:textId="77777777" w:rsidR="004A11BF" w:rsidRDefault="007B0E7F" w:rsidP="004A11B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No contexto normativo, a Organização Mundial da Saúde (OMS), ao implementar a 11ª Revisão da Classificação Internacional de Doenças (CID-11), incluiu a Síndrome de Burnout (código QD85) como condição oriunda do estresse crônico no local de trabalho que não foi adequadamente administrado. </w:t>
      </w:r>
    </w:p>
    <w:p w14:paraId="0B6BE156" w14:textId="77777777" w:rsidR="00E018DF" w:rsidRDefault="007B0E7F" w:rsidP="004A11B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O catálogo global caracteriza a doença com base em três dimensões principais: a sensação de exaustão ou esgotamento físico e emocional; o aumento do distanciamento emocional, do desdém ou de atitude cínica em relação às </w:t>
      </w:r>
      <w:r w:rsidR="00E018DF">
        <w:rPr>
          <w:bCs/>
          <w:sz w:val="24"/>
          <w:szCs w:val="24"/>
        </w:rPr>
        <w:t>responsabilidades profissionais</w:t>
      </w:r>
      <w:r w:rsidRPr="00E018DF">
        <w:rPr>
          <w:bCs/>
          <w:sz w:val="24"/>
          <w:szCs w:val="24"/>
        </w:rPr>
        <w:t xml:space="preserve"> e a diminuição notável no desempenho e na eficácia laboral. </w:t>
      </w:r>
    </w:p>
    <w:p w14:paraId="44B066C0" w14:textId="77777777" w:rsidR="007B0E7F" w:rsidRPr="00E018DF" w:rsidRDefault="007B0E7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>A própria categorização ressalta que a síndrome se refere estritamente ao contexto ocupacional, não sendo aplicável o diagnóstico a situações vinculadas a outros domínios da vida pessoal (OMS, 2022).</w:t>
      </w:r>
    </w:p>
    <w:p w14:paraId="3E62AAAB" w14:textId="77777777" w:rsidR="004A11BF" w:rsidRDefault="007B0E7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>Essa atualização produz</w:t>
      </w:r>
      <w:r w:rsidR="004A11BF">
        <w:rPr>
          <w:bCs/>
          <w:sz w:val="24"/>
          <w:szCs w:val="24"/>
        </w:rPr>
        <w:t xml:space="preserve">iu efeitos imediatos no Brasil </w:t>
      </w:r>
      <w:r w:rsidRPr="00E018DF">
        <w:rPr>
          <w:bCs/>
          <w:sz w:val="24"/>
          <w:szCs w:val="24"/>
        </w:rPr>
        <w:t xml:space="preserve">desde 2022, a Síndrome de Burnout integra oficialmente a Lista de Doenças Relacionadas ao Trabalho (LDRT) do Ministério da Saúde, o que resulta em sua equiparação legal a acidente de trabalho, nos termos dos </w:t>
      </w:r>
      <w:proofErr w:type="spellStart"/>
      <w:r w:rsidRPr="00E018DF">
        <w:rPr>
          <w:bCs/>
          <w:sz w:val="24"/>
          <w:szCs w:val="24"/>
        </w:rPr>
        <w:t>arts</w:t>
      </w:r>
      <w:proofErr w:type="spellEnd"/>
      <w:r w:rsidRPr="00E018DF">
        <w:rPr>
          <w:bCs/>
          <w:sz w:val="24"/>
          <w:szCs w:val="24"/>
        </w:rPr>
        <w:t xml:space="preserve">. 19 e 20 da Lei nº 8.213, de 24 de julho de 1991. </w:t>
      </w:r>
    </w:p>
    <w:p w14:paraId="6A3A3092" w14:textId="77777777" w:rsidR="001C076C" w:rsidRPr="00E018DF" w:rsidRDefault="007B0E7F" w:rsidP="001C076C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lastRenderedPageBreak/>
        <w:t>A legislação previdenciária e trabalhista brasileira classifica como doença ocupacional aquela causada ou desencadeada pelo exercício de atividade laboral específica.</w:t>
      </w:r>
    </w:p>
    <w:p w14:paraId="556631B2" w14:textId="77777777" w:rsidR="007B0E7F" w:rsidRPr="00E018DF" w:rsidRDefault="007B0E7F" w:rsidP="00E018DF">
      <w:pPr>
        <w:spacing w:line="360" w:lineRule="auto"/>
        <w:jc w:val="both"/>
        <w:rPr>
          <w:b/>
          <w:bCs/>
          <w:sz w:val="24"/>
          <w:szCs w:val="24"/>
        </w:rPr>
      </w:pPr>
      <w:r w:rsidRPr="00E018DF">
        <w:rPr>
          <w:b/>
          <w:bCs/>
          <w:sz w:val="24"/>
          <w:szCs w:val="24"/>
        </w:rPr>
        <w:t xml:space="preserve">4.2 Indicadores epidemiológicos </w:t>
      </w:r>
      <w:r w:rsidR="00E018DF" w:rsidRPr="00E018DF">
        <w:rPr>
          <w:b/>
          <w:bCs/>
          <w:sz w:val="24"/>
          <w:szCs w:val="24"/>
        </w:rPr>
        <w:t>e jurimétricos</w:t>
      </w:r>
      <w:r w:rsidR="00E018DF">
        <w:rPr>
          <w:b/>
          <w:bCs/>
          <w:sz w:val="24"/>
          <w:szCs w:val="24"/>
        </w:rPr>
        <w:t>.</w:t>
      </w:r>
    </w:p>
    <w:p w14:paraId="4C8D5FA4" w14:textId="77777777" w:rsidR="007B0E7F" w:rsidRPr="00E018DF" w:rsidRDefault="007B0E7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>Nesse contexto, as estatísticas do Ministério da Previdência Social e do Instituto Nacional do Seguro Social (INSS) demonstram aumento expressivo no número de licenças médicas concedidas em razão do esgotamento profissional: entre 2021 e 2025, os afastamentos acidentários e previdenciários relacionados à doença cresceram mais de 800% (BRASIL, 2026). Esse avanço decorre tanto do aumento da pressão por resultados e da intensificação da transformação digital nas relações de trabalho quanto da consolidação e do aperfeiçoamento dos critérios diagnósticos impulsionados pela implementação da CID-11.</w:t>
      </w:r>
    </w:p>
    <w:p w14:paraId="669AF895" w14:textId="77777777" w:rsidR="007B0E7F" w:rsidRPr="00E018DF" w:rsidRDefault="007B0E7F" w:rsidP="001C076C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No âmbito judicial, o mapeamento </w:t>
      </w:r>
      <w:proofErr w:type="spellStart"/>
      <w:r w:rsidRPr="00E018DF">
        <w:rPr>
          <w:bCs/>
          <w:sz w:val="24"/>
          <w:szCs w:val="24"/>
        </w:rPr>
        <w:t>jurimétrico</w:t>
      </w:r>
      <w:proofErr w:type="spellEnd"/>
      <w:r w:rsidRPr="00E018DF">
        <w:rPr>
          <w:bCs/>
          <w:sz w:val="24"/>
          <w:szCs w:val="24"/>
        </w:rPr>
        <w:t xml:space="preserve"> realizado pela plataforma </w:t>
      </w:r>
      <w:proofErr w:type="spellStart"/>
      <w:r w:rsidRPr="00E018DF">
        <w:rPr>
          <w:bCs/>
          <w:sz w:val="24"/>
          <w:szCs w:val="24"/>
        </w:rPr>
        <w:t>Predictus</w:t>
      </w:r>
      <w:proofErr w:type="spellEnd"/>
      <w:r w:rsidRPr="00E018DF">
        <w:rPr>
          <w:bCs/>
          <w:sz w:val="24"/>
          <w:szCs w:val="24"/>
        </w:rPr>
        <w:t xml:space="preserve"> identificou 22.815 (vinte e dois mil, oitocentos e quinze) litígios trabalhistas envolvendo o tema nos Tribunais Regionais do Trabalho (TRTs) entre janeiro de 2016 e abril de 2026 (PREDICTUS, 2026). Os dados apontam que os setores de serviços financeiros (bancário), atenção à saúde, instituições de ensino e tecnologia da informação (TI) lideram o volume de ações judiciais. A predominância nesses segmentos sugere que ambientes marcados por </w:t>
      </w:r>
      <w:r w:rsidR="00E018DF" w:rsidRPr="00E018DF">
        <w:rPr>
          <w:bCs/>
          <w:sz w:val="24"/>
          <w:szCs w:val="24"/>
        </w:rPr>
        <w:t>metas de desempenho constante</w:t>
      </w:r>
      <w:r w:rsidRPr="00E018DF">
        <w:rPr>
          <w:bCs/>
          <w:sz w:val="24"/>
          <w:szCs w:val="24"/>
        </w:rPr>
        <w:t xml:space="preserve">, jornadas extenuantes e hiperconectividade permanente representam fatores de risco </w:t>
      </w:r>
      <w:r w:rsidR="00E018DF" w:rsidRPr="00E018DF">
        <w:rPr>
          <w:bCs/>
          <w:sz w:val="24"/>
          <w:szCs w:val="24"/>
        </w:rPr>
        <w:t>psicossocial especialmente relevante</w:t>
      </w:r>
      <w:r w:rsidRPr="00E018DF">
        <w:rPr>
          <w:bCs/>
          <w:sz w:val="24"/>
          <w:szCs w:val="24"/>
        </w:rPr>
        <w:t>.</w:t>
      </w:r>
    </w:p>
    <w:p w14:paraId="623F5C72" w14:textId="77777777" w:rsidR="007B0E7F" w:rsidRPr="00E018DF" w:rsidRDefault="00E018DF" w:rsidP="00E018DF">
      <w:pPr>
        <w:spacing w:line="360" w:lineRule="auto"/>
        <w:jc w:val="both"/>
        <w:rPr>
          <w:b/>
          <w:bCs/>
          <w:sz w:val="24"/>
          <w:szCs w:val="24"/>
        </w:rPr>
      </w:pPr>
      <w:r w:rsidRPr="00E018DF">
        <w:rPr>
          <w:b/>
          <w:bCs/>
          <w:sz w:val="24"/>
          <w:szCs w:val="24"/>
        </w:rPr>
        <w:t xml:space="preserve">4.3. </w:t>
      </w:r>
      <w:r w:rsidR="007B0E7F" w:rsidRPr="00E018DF">
        <w:rPr>
          <w:b/>
          <w:bCs/>
          <w:sz w:val="24"/>
          <w:szCs w:val="24"/>
        </w:rPr>
        <w:t>Nexo causal, concausalidade e responsabilidade civil</w:t>
      </w:r>
      <w:r w:rsidRPr="00E018DF">
        <w:rPr>
          <w:b/>
          <w:bCs/>
          <w:sz w:val="24"/>
          <w:szCs w:val="24"/>
        </w:rPr>
        <w:t>.</w:t>
      </w:r>
    </w:p>
    <w:p w14:paraId="33CA65F8" w14:textId="77777777" w:rsidR="007B0E7F" w:rsidRPr="00E018DF" w:rsidRDefault="007B0E7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Em matéria de responsabilidade civil, a pretensão indenizatória pressupõe a existência de vínculo causal entre a atividade laboral prestada e o dano à saúde do empregado, isto é, exige-se a comprovação de que o problema de saúde do trabalhador guarda relação com o serviço prestado. Contudo, a regra clássica do nexo causal direto (conditio </w:t>
      </w:r>
      <w:proofErr w:type="spellStart"/>
      <w:r w:rsidRPr="00E018DF">
        <w:rPr>
          <w:bCs/>
          <w:sz w:val="24"/>
          <w:szCs w:val="24"/>
        </w:rPr>
        <w:t>sine</w:t>
      </w:r>
      <w:proofErr w:type="spellEnd"/>
      <w:r w:rsidRPr="00E018DF">
        <w:rPr>
          <w:bCs/>
          <w:sz w:val="24"/>
          <w:szCs w:val="24"/>
        </w:rPr>
        <w:t xml:space="preserve"> </w:t>
      </w:r>
      <w:proofErr w:type="spellStart"/>
      <w:r w:rsidRPr="00E018DF">
        <w:rPr>
          <w:bCs/>
          <w:sz w:val="24"/>
          <w:szCs w:val="24"/>
        </w:rPr>
        <w:t>qua</w:t>
      </w:r>
      <w:proofErr w:type="spellEnd"/>
      <w:r w:rsidRPr="00E018DF">
        <w:rPr>
          <w:bCs/>
          <w:sz w:val="24"/>
          <w:szCs w:val="24"/>
        </w:rPr>
        <w:t xml:space="preserve"> non) revela-se insuficiente para a identificação de lesões psíquicas de etiologia multifatorial. Diante dessa limitação, o ordenamento jurídico trabalhista recorre ao instituto da concausalidade, previsto no art. 21, inciso I, da Lei nº 8.213/1991.</w:t>
      </w:r>
    </w:p>
    <w:p w14:paraId="76B6ABCA" w14:textId="77777777" w:rsidR="00DB2FE8" w:rsidRDefault="007B0E7F" w:rsidP="001C076C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Por essa lógica, configura-se o nexo </w:t>
      </w:r>
      <w:proofErr w:type="spellStart"/>
      <w:r w:rsidRPr="00E018DF">
        <w:rPr>
          <w:bCs/>
          <w:sz w:val="24"/>
          <w:szCs w:val="24"/>
        </w:rPr>
        <w:t>concausal</w:t>
      </w:r>
      <w:proofErr w:type="spellEnd"/>
      <w:r w:rsidRPr="00E018DF">
        <w:rPr>
          <w:bCs/>
          <w:sz w:val="24"/>
          <w:szCs w:val="24"/>
        </w:rPr>
        <w:t xml:space="preserve"> quando o labor deflagra, intensifica ou antecipa a doença, atuando em conjunto com vulnerabilidades preexistentes do próprio empregado. Sob o prisma civilista dos </w:t>
      </w:r>
      <w:proofErr w:type="spellStart"/>
      <w:r w:rsidRPr="00E018DF">
        <w:rPr>
          <w:bCs/>
          <w:sz w:val="24"/>
          <w:szCs w:val="24"/>
        </w:rPr>
        <w:t>arts</w:t>
      </w:r>
      <w:proofErr w:type="spellEnd"/>
      <w:r w:rsidRPr="00E018DF">
        <w:rPr>
          <w:bCs/>
          <w:sz w:val="24"/>
          <w:szCs w:val="24"/>
        </w:rPr>
        <w:t>. 944 e 945 da Lei nº 10.406, de 10 de janeiro de 2002 (Código Civil), a concorrência de outras causas não exonera o empregador da responsabilidade civil, operando, no entanto, como limitador quantitativo para a fixação equitativa do quantum indenizatório, proporcional ao impacto do ambiente de trabalho no agravamento da saúde do trabalhador (TARTUCE, 2024).</w:t>
      </w:r>
    </w:p>
    <w:p w14:paraId="58E95646" w14:textId="77777777" w:rsidR="007B0E7F" w:rsidRPr="00E018DF" w:rsidRDefault="007B0E7F" w:rsidP="00E018DF">
      <w:pPr>
        <w:spacing w:line="360" w:lineRule="auto"/>
        <w:jc w:val="both"/>
        <w:rPr>
          <w:b/>
          <w:bCs/>
          <w:sz w:val="24"/>
          <w:szCs w:val="24"/>
        </w:rPr>
      </w:pPr>
      <w:r w:rsidRPr="00E018DF">
        <w:rPr>
          <w:b/>
          <w:bCs/>
          <w:sz w:val="24"/>
          <w:szCs w:val="24"/>
        </w:rPr>
        <w:lastRenderedPageBreak/>
        <w:t>4.4 A jurisprudência do Tribuna</w:t>
      </w:r>
      <w:r w:rsidR="00E018DF" w:rsidRPr="00E018DF">
        <w:rPr>
          <w:b/>
          <w:bCs/>
          <w:sz w:val="24"/>
          <w:szCs w:val="24"/>
        </w:rPr>
        <w:t>l Superior do Trabalho.</w:t>
      </w:r>
    </w:p>
    <w:p w14:paraId="0A9F98DE" w14:textId="77777777" w:rsidR="007B0E7F" w:rsidRPr="00E018DF" w:rsidRDefault="007B0E7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Outro aspecto central da discussão refere-se à consolidação da jurisprudência do Tribunal Superior do Trabalho (TST) no sentido de responsabilizar o empregador nas hipóteses em que a desídia na prevenção de estressores organizacionais contribui para a eclosão da doença. Ao examinar demanda envolvendo a matéria, a Subseção I Especializada em Dissídios Individuais (SDI-1) manteve o reconhecimento do nexo </w:t>
      </w:r>
      <w:proofErr w:type="spellStart"/>
      <w:r w:rsidRPr="00E018DF">
        <w:rPr>
          <w:bCs/>
          <w:sz w:val="24"/>
          <w:szCs w:val="24"/>
        </w:rPr>
        <w:t>concausal</w:t>
      </w:r>
      <w:proofErr w:type="spellEnd"/>
      <w:r w:rsidRPr="00E018DF">
        <w:rPr>
          <w:bCs/>
          <w:sz w:val="24"/>
          <w:szCs w:val="24"/>
        </w:rPr>
        <w:t xml:space="preserve"> e da culpa patronal omissiva, conforme se observa:</w:t>
      </w:r>
    </w:p>
    <w:p w14:paraId="27B84388" w14:textId="77777777" w:rsidR="007B0E7F" w:rsidRPr="00E018DF" w:rsidRDefault="007B0E7F" w:rsidP="00E018DF">
      <w:pPr>
        <w:spacing w:line="360" w:lineRule="auto"/>
        <w:ind w:left="2268"/>
        <w:jc w:val="both"/>
        <w:rPr>
          <w:bCs/>
          <w:sz w:val="20"/>
          <w:szCs w:val="24"/>
        </w:rPr>
      </w:pPr>
      <w:r w:rsidRPr="00E018DF">
        <w:rPr>
          <w:bCs/>
          <w:sz w:val="20"/>
          <w:szCs w:val="24"/>
        </w:rPr>
        <w:t xml:space="preserve">AGRAVO EM EMBARGOS EM RECURSO DE REVISTA. REGÊNCIA DA LEI Nº 13.015/2014. SÍNDROME DE BURNOUT. DOENÇA OCUPACIONAL. NEXO DE CAUSALIDADE. CULPA. DANO MORAL E MATERIAL. INDENIZAÇÃO. No caso em exame, a 7ª Turma, ao não conhecer do recurso de revista, considerou que a reforma da conclusão adotada pelo Tribunal Regional, quanto à configuração do nexo </w:t>
      </w:r>
      <w:proofErr w:type="spellStart"/>
      <w:r w:rsidRPr="00E018DF">
        <w:rPr>
          <w:bCs/>
          <w:sz w:val="20"/>
          <w:szCs w:val="24"/>
        </w:rPr>
        <w:t>concausal</w:t>
      </w:r>
      <w:proofErr w:type="spellEnd"/>
      <w:r w:rsidRPr="00E018DF">
        <w:rPr>
          <w:bCs/>
          <w:sz w:val="20"/>
          <w:szCs w:val="24"/>
        </w:rPr>
        <w:t xml:space="preserve"> e à conduta omissivo-culposa da empresa, dependeria do reexame de fatos e provas, procedimento vedado nesta instância extraordinária (Súmula nº 126 do TST). Agravo a que se nega provimento [...] (BRASIL, 2020).</w:t>
      </w:r>
    </w:p>
    <w:p w14:paraId="63038BCD" w14:textId="77777777" w:rsidR="007B0E7F" w:rsidRPr="00E018DF" w:rsidRDefault="007B0E7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Além disso, a jurisprudência do Tribunal Superior estabeleceu orientação no sentido de que, comprovadas a doença e a relação de concausalidade atribuível à empresa, o dano moral é considerado presumido (in </w:t>
      </w:r>
      <w:proofErr w:type="spellStart"/>
      <w:r w:rsidRPr="00E018DF">
        <w:rPr>
          <w:bCs/>
          <w:sz w:val="24"/>
          <w:szCs w:val="24"/>
        </w:rPr>
        <w:t>re</w:t>
      </w:r>
      <w:proofErr w:type="spellEnd"/>
      <w:r w:rsidRPr="00E018DF">
        <w:rPr>
          <w:bCs/>
          <w:sz w:val="24"/>
          <w:szCs w:val="24"/>
        </w:rPr>
        <w:t xml:space="preserve"> </w:t>
      </w:r>
      <w:proofErr w:type="spellStart"/>
      <w:r w:rsidRPr="00E018DF">
        <w:rPr>
          <w:bCs/>
          <w:sz w:val="24"/>
          <w:szCs w:val="24"/>
        </w:rPr>
        <w:t>ipsa</w:t>
      </w:r>
      <w:proofErr w:type="spellEnd"/>
      <w:r w:rsidRPr="00E018DF">
        <w:rPr>
          <w:bCs/>
          <w:sz w:val="24"/>
          <w:szCs w:val="24"/>
        </w:rPr>
        <w:t>), dispensando-se a demonstração objetiva do sofrimento psicológico experimentado pela vítima, como se extrai do julgado a seguir:</w:t>
      </w:r>
    </w:p>
    <w:p w14:paraId="1A1717AF" w14:textId="77777777" w:rsidR="007B0E7F" w:rsidRPr="00E018DF" w:rsidRDefault="007B0E7F" w:rsidP="00E018DF">
      <w:pPr>
        <w:spacing w:line="360" w:lineRule="auto"/>
        <w:ind w:left="2268"/>
        <w:jc w:val="both"/>
        <w:rPr>
          <w:bCs/>
          <w:sz w:val="20"/>
          <w:szCs w:val="24"/>
        </w:rPr>
      </w:pPr>
      <w:r w:rsidRPr="00E018DF">
        <w:rPr>
          <w:bCs/>
          <w:sz w:val="20"/>
          <w:szCs w:val="24"/>
        </w:rPr>
        <w:t xml:space="preserve">DANO EXTRAPATRIMONIAL. DOENÇA DO TRABALHO. RESPONSABILIDADE CIVIL SUBJETIVA DO EMPREGADOR. CONTROVÉRSIA FÁTICA. SÚMULA N. 126 DO TST. [...] A Corte de origem [...] concluiu, em decisão devidamente fundamentada, que a prova amparava o pedido de indenização por dano extrapatrimonial, porquanto demonstrados, na hipótese, os três elementos essenciais à configuração da responsabilidade civil, a saber: a) o dano suportado pelo autor (episódios depressivos, reações ao estresse grave e síndrome de Burnout); b) a conduta culposa da empregadora; c) o nexo de concausalidade, atestado no laudo confeccionado pelo perito auxiliar do Juízo. [...] Ademais, a jurisprudência desta Corte Superior firmou-se no sentido de que, quando comprovada a doença ocupacional, o dano extrapatrimonial é in </w:t>
      </w:r>
      <w:proofErr w:type="spellStart"/>
      <w:r w:rsidRPr="00E018DF">
        <w:rPr>
          <w:bCs/>
          <w:sz w:val="20"/>
          <w:szCs w:val="24"/>
        </w:rPr>
        <w:t>re</w:t>
      </w:r>
      <w:proofErr w:type="spellEnd"/>
      <w:r w:rsidRPr="00E018DF">
        <w:rPr>
          <w:bCs/>
          <w:sz w:val="20"/>
          <w:szCs w:val="24"/>
        </w:rPr>
        <w:t xml:space="preserve"> </w:t>
      </w:r>
      <w:proofErr w:type="spellStart"/>
      <w:r w:rsidRPr="00E018DF">
        <w:rPr>
          <w:bCs/>
          <w:sz w:val="20"/>
          <w:szCs w:val="24"/>
        </w:rPr>
        <w:t>ipsa</w:t>
      </w:r>
      <w:proofErr w:type="spellEnd"/>
      <w:r w:rsidRPr="00E018DF">
        <w:rPr>
          <w:bCs/>
          <w:sz w:val="20"/>
          <w:szCs w:val="24"/>
        </w:rPr>
        <w:t>, na qual a simples comprovação dos fatos autoriza a presunção de abalo moral e psicológico. Precedentes da SbDI-1 e da 1ª Turma do TST. [...] A Corte Regional arbitrou em R$ 20.000,00 a condenação a título de indenização por dano extrapatrimonial [...] (BRASIL, 2026).</w:t>
      </w:r>
    </w:p>
    <w:p w14:paraId="3A883A61" w14:textId="520FCEBC" w:rsidR="001C076C" w:rsidRDefault="007B0E7F" w:rsidP="00A378E7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Dessa forma, a inobservância dos deveres de salvaguarda da saúde do trabalhador — previstos no art. 157 da CLT, combinado com o art. 7º, inciso XXVIII, da Constituição </w:t>
      </w:r>
      <w:r w:rsidRPr="00E018DF">
        <w:rPr>
          <w:bCs/>
          <w:sz w:val="24"/>
          <w:szCs w:val="24"/>
        </w:rPr>
        <w:lastRenderedPageBreak/>
        <w:t>Federal de 1988 — configura ato ilícito por omissão, apto a justificar a obrigação de indenizar por danos extrapatrimoniais.</w:t>
      </w:r>
    </w:p>
    <w:p w14:paraId="5C86EEEF" w14:textId="77777777" w:rsidR="00A378E7" w:rsidRPr="00E018DF" w:rsidRDefault="00A378E7" w:rsidP="00A378E7">
      <w:pPr>
        <w:spacing w:line="360" w:lineRule="auto"/>
        <w:ind w:firstLine="720"/>
        <w:jc w:val="both"/>
        <w:rPr>
          <w:bCs/>
          <w:sz w:val="24"/>
          <w:szCs w:val="24"/>
        </w:rPr>
      </w:pPr>
    </w:p>
    <w:p w14:paraId="17346B7D" w14:textId="77777777" w:rsidR="00692AE9" w:rsidRPr="00E018DF" w:rsidRDefault="00AC5C4A" w:rsidP="00E018DF">
      <w:pPr>
        <w:spacing w:line="360" w:lineRule="auto"/>
        <w:jc w:val="both"/>
        <w:rPr>
          <w:b/>
          <w:sz w:val="24"/>
          <w:szCs w:val="24"/>
        </w:rPr>
      </w:pPr>
      <w:r w:rsidRPr="00E018DF">
        <w:rPr>
          <w:b/>
          <w:bCs/>
          <w:sz w:val="24"/>
          <w:szCs w:val="24"/>
        </w:rPr>
        <w:t>5</w:t>
      </w:r>
      <w:r w:rsidR="00C45E53" w:rsidRPr="00E018DF">
        <w:rPr>
          <w:b/>
          <w:bCs/>
          <w:sz w:val="24"/>
          <w:szCs w:val="24"/>
        </w:rPr>
        <w:t>.</w:t>
      </w:r>
      <w:r w:rsidRPr="00E018DF">
        <w:rPr>
          <w:b/>
          <w:bCs/>
          <w:sz w:val="24"/>
          <w:szCs w:val="24"/>
        </w:rPr>
        <w:t xml:space="preserve"> CONSIDERAÇÕES FINAIS</w:t>
      </w:r>
    </w:p>
    <w:p w14:paraId="510C627E" w14:textId="77777777" w:rsidR="007B0E7F" w:rsidRPr="00E018DF" w:rsidRDefault="007B0E7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>A análise realizada ao longo deste artigo demonstra que a Síndrome de Burnout representa questão relevante não apenas para a área da saúde, mas também para o Direito do Trabalho e para a responsabilidade civil. As condições em que o trabalho é organizado podem exercer influência significativa sobre a saúde mental do trabalhador, especialmente quando presentes situações de sobrecarga, pressão excessiva, jornadas inadequadas, falta de autonomia, assédio ou ausência de suporte organizacional.</w:t>
      </w:r>
    </w:p>
    <w:p w14:paraId="632B4B92" w14:textId="77777777" w:rsidR="007B0E7F" w:rsidRPr="00E018DF" w:rsidRDefault="007B0E7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>A proteção da saúde mental encontra fundamento nos direitos assegurados pela Constituição Federal de 1988, notadamente na dignidade da pessoa humana, no direito à saúde e na redução dos riscos inerentes ao trabalho. Nesse contexto, o dever do empregador não se limita à reparação de danos após sua ocorrência, abrangendo também a adoção de medidas preventivas capazes de reduzir os riscos existentes no ambiente laboral. A atualização das normas relacionadas aos riscos psicossociais — a exemplo do capítulo 1.5 da NR-1 — reforça essa perspectiva preventiva, demonstrando que a organização do trabalho deve ser igualmente considerada nas políticas de saúde e segurança ocupacional. A prevenção, portanto, deve integrar a própria gestão do ambiente de trabalho, e não apenas figurar como resposta posterior ao adoecimento.</w:t>
      </w:r>
    </w:p>
    <w:p w14:paraId="0EFF0B0A" w14:textId="77777777" w:rsidR="007B0E7F" w:rsidRPr="00E018DF" w:rsidRDefault="007B0E7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Retomando o problema de pesquisa proposto na introdução deste artigo — em que medida a negligência do empregador na gestão dos riscos psicossociais pode contribuir para a configuração do nexo de causalidade necessário à responsabilização civil nos casos de Síndrome de Burnout —, os resultados obtidos permitem afirmar que o reconhecimento da Síndrome de Burnout como doença relacionada ao trabalho não implica, por si só, a responsabilidade civil automática do empregador. Conforme demonstrado na análise doutrinária e jurisprudencial apresentada, é necessário examinar as circunstâncias concretas de cada caso, considerando a existência do dano, a conduta empresarial e a relação causal ou </w:t>
      </w:r>
      <w:proofErr w:type="spellStart"/>
      <w:r w:rsidRPr="00E018DF">
        <w:rPr>
          <w:bCs/>
          <w:sz w:val="24"/>
          <w:szCs w:val="24"/>
        </w:rPr>
        <w:t>concausal</w:t>
      </w:r>
      <w:proofErr w:type="spellEnd"/>
      <w:r w:rsidRPr="00E018DF">
        <w:rPr>
          <w:bCs/>
          <w:sz w:val="24"/>
          <w:szCs w:val="24"/>
        </w:rPr>
        <w:t xml:space="preserve"> entre as condições de trabalho e o adoecimento (TARTUCE, 2024).</w:t>
      </w:r>
    </w:p>
    <w:p w14:paraId="695740CB" w14:textId="77777777" w:rsidR="007B0E7F" w:rsidRPr="00E018DF" w:rsidRDefault="007B0E7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Nesse sentido, a jurisprudência do Tribunal Superior do Trabalho analisada neste estudo confirma que, quando comprovado que o empregador deixou de adotar as medidas necessárias para prevenir riscos identificáveis e que essa omissão contribuiu para o adoecimento do trabalhador, configura-se o dever de reparação pelos danos extrapatrimoniais </w:t>
      </w:r>
      <w:r w:rsidRPr="00E018DF">
        <w:rPr>
          <w:bCs/>
          <w:sz w:val="24"/>
          <w:szCs w:val="24"/>
        </w:rPr>
        <w:lastRenderedPageBreak/>
        <w:t xml:space="preserve">sofridos, com presunção de dano moral in </w:t>
      </w:r>
      <w:proofErr w:type="spellStart"/>
      <w:r w:rsidRPr="00E018DF">
        <w:rPr>
          <w:bCs/>
          <w:sz w:val="24"/>
          <w:szCs w:val="24"/>
        </w:rPr>
        <w:t>re</w:t>
      </w:r>
      <w:proofErr w:type="spellEnd"/>
      <w:r w:rsidRPr="00E018DF">
        <w:rPr>
          <w:bCs/>
          <w:sz w:val="24"/>
          <w:szCs w:val="24"/>
        </w:rPr>
        <w:t xml:space="preserve"> </w:t>
      </w:r>
      <w:proofErr w:type="spellStart"/>
      <w:r w:rsidRPr="00E018DF">
        <w:rPr>
          <w:bCs/>
          <w:sz w:val="24"/>
          <w:szCs w:val="24"/>
        </w:rPr>
        <w:t>ipsa</w:t>
      </w:r>
      <w:proofErr w:type="spellEnd"/>
      <w:r w:rsidRPr="00E018DF">
        <w:rPr>
          <w:bCs/>
          <w:sz w:val="24"/>
          <w:szCs w:val="24"/>
        </w:rPr>
        <w:t xml:space="preserve"> nos casos em que a doença ocupacional resta comprovada (BRASIL, 2020; BRASIL, 2026).</w:t>
      </w:r>
    </w:p>
    <w:p w14:paraId="535D947F" w14:textId="77777777" w:rsidR="007B0E7F" w:rsidRPr="00E018DF" w:rsidRDefault="007B0E7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>Quanto aos objetivos específicos delineados na introdução, conclui-se que: (i) os aspectos jurídicos e conceituais da Síndrome de Burnout encontram-se hoje consolidados a partir de sua inclusão na CID-11 e na Lista de Doenças Relacionadas ao Trabalho; (</w:t>
      </w:r>
      <w:proofErr w:type="spellStart"/>
      <w:r w:rsidRPr="00E018DF">
        <w:rPr>
          <w:bCs/>
          <w:sz w:val="24"/>
          <w:szCs w:val="24"/>
        </w:rPr>
        <w:t>ii</w:t>
      </w:r>
      <w:proofErr w:type="spellEnd"/>
      <w:r w:rsidRPr="00E018DF">
        <w:rPr>
          <w:bCs/>
          <w:sz w:val="24"/>
          <w:szCs w:val="24"/>
        </w:rPr>
        <w:t xml:space="preserve">) os principais riscos psicossociais no ambiente laboral foram identificados a partir da revisão normativa e </w:t>
      </w:r>
      <w:proofErr w:type="spellStart"/>
      <w:r w:rsidRPr="00E018DF">
        <w:rPr>
          <w:bCs/>
          <w:sz w:val="24"/>
          <w:szCs w:val="24"/>
        </w:rPr>
        <w:t>jurimétrica</w:t>
      </w:r>
      <w:proofErr w:type="spellEnd"/>
      <w:r w:rsidRPr="00E018DF">
        <w:rPr>
          <w:bCs/>
          <w:sz w:val="24"/>
          <w:szCs w:val="24"/>
        </w:rPr>
        <w:t xml:space="preserve"> realizada; (</w:t>
      </w:r>
      <w:proofErr w:type="spellStart"/>
      <w:r w:rsidRPr="00E018DF">
        <w:rPr>
          <w:bCs/>
          <w:sz w:val="24"/>
          <w:szCs w:val="24"/>
        </w:rPr>
        <w:t>iii</w:t>
      </w:r>
      <w:proofErr w:type="spellEnd"/>
      <w:r w:rsidRPr="00E018DF">
        <w:rPr>
          <w:bCs/>
          <w:sz w:val="24"/>
          <w:szCs w:val="24"/>
        </w:rPr>
        <w:t>) o dever de prevenção do empregador foi analisado à luz da Constituição Federal, da CLT e da NR-1; e (</w:t>
      </w:r>
      <w:proofErr w:type="spellStart"/>
      <w:r w:rsidRPr="00E018DF">
        <w:rPr>
          <w:bCs/>
          <w:sz w:val="24"/>
          <w:szCs w:val="24"/>
        </w:rPr>
        <w:t>iv</w:t>
      </w:r>
      <w:proofErr w:type="spellEnd"/>
      <w:r w:rsidRPr="00E018DF">
        <w:rPr>
          <w:bCs/>
          <w:sz w:val="24"/>
          <w:szCs w:val="24"/>
        </w:rPr>
        <w:t xml:space="preserve">) os elementos necessários à configuração do nexo causal ou </w:t>
      </w:r>
      <w:proofErr w:type="spellStart"/>
      <w:r w:rsidRPr="00E018DF">
        <w:rPr>
          <w:bCs/>
          <w:sz w:val="24"/>
          <w:szCs w:val="24"/>
        </w:rPr>
        <w:t>concausal</w:t>
      </w:r>
      <w:proofErr w:type="spellEnd"/>
      <w:r w:rsidRPr="00E018DF">
        <w:rPr>
          <w:bCs/>
          <w:sz w:val="24"/>
          <w:szCs w:val="24"/>
        </w:rPr>
        <w:t xml:space="preserve"> e da responsabilidade civil foram sistematizados a partir da doutrina civilista e da jurisprudência trabalhista consolidada.</w:t>
      </w:r>
    </w:p>
    <w:p w14:paraId="4816A36E" w14:textId="77777777" w:rsidR="007B0E7F" w:rsidRPr="00E018DF" w:rsidRDefault="007B0E7F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>Diante do exposto, conclui-se que a discussão sobre a Síndrome de Burnout deve ultrapassar a análise do diagnóstico individual, incorporando também o exame do ambiente em que o trabalho é desenvolvido. A efetiva proteção da saúde mental exige atuação preventiva por parte do empregador, aliada a uma análise jurídica cuidadosa nos casos em que o adoecimento estiver relacionado às condições laborais. Dessa forma, a prevenção dos riscos psicossociais assume papel fundamental tanto para a proteção da dignidade do trabalhador quanto para a redução da responsabilização civil decorrente de falhas na organização do trabalho.</w:t>
      </w:r>
    </w:p>
    <w:p w14:paraId="27887DE4" w14:textId="47E9E0CB" w:rsidR="007B0E7F" w:rsidRPr="00E018DF" w:rsidRDefault="00A378E7" w:rsidP="00E018DF">
      <w:pPr>
        <w:spacing w:line="360" w:lineRule="auto"/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Vale salientar, diante do estudo relacionado a temática, que </w:t>
      </w:r>
      <w:r w:rsidR="007B0E7F" w:rsidRPr="00E018DF">
        <w:rPr>
          <w:bCs/>
          <w:sz w:val="24"/>
          <w:szCs w:val="24"/>
        </w:rPr>
        <w:t>a efetividade prática das medidas de gestão de riscos psicossociais implementadas pelas empresas após a atualização da NR-1, bem como o acompanhamento da evolução jurisprudencial do TST</w:t>
      </w:r>
      <w:r w:rsidR="00E018DF">
        <w:rPr>
          <w:bCs/>
          <w:sz w:val="24"/>
          <w:szCs w:val="24"/>
        </w:rPr>
        <w:t xml:space="preserve"> s</w:t>
      </w:r>
      <w:r>
        <w:rPr>
          <w:bCs/>
          <w:sz w:val="24"/>
          <w:szCs w:val="24"/>
        </w:rPr>
        <w:t>ão de suma importância para a evolução de práticas de qualidade no ambiente de trabalho</w:t>
      </w:r>
      <w:r w:rsidR="00E018DF">
        <w:rPr>
          <w:bCs/>
          <w:sz w:val="24"/>
          <w:szCs w:val="24"/>
        </w:rPr>
        <w:t>.</w:t>
      </w:r>
    </w:p>
    <w:p w14:paraId="3A525FE2" w14:textId="77777777" w:rsidR="007B0E7F" w:rsidRPr="00E018DF" w:rsidRDefault="007B0E7F" w:rsidP="00E018DF">
      <w:pPr>
        <w:spacing w:line="360" w:lineRule="auto"/>
        <w:jc w:val="both"/>
        <w:rPr>
          <w:bCs/>
          <w:sz w:val="24"/>
          <w:szCs w:val="24"/>
        </w:rPr>
      </w:pPr>
    </w:p>
    <w:p w14:paraId="05352298" w14:textId="77777777" w:rsidR="00692AE9" w:rsidRDefault="00AC5C4A" w:rsidP="00E018DF">
      <w:pPr>
        <w:spacing w:line="360" w:lineRule="auto"/>
        <w:jc w:val="center"/>
        <w:rPr>
          <w:b/>
          <w:bCs/>
          <w:sz w:val="24"/>
          <w:szCs w:val="24"/>
        </w:rPr>
      </w:pPr>
      <w:r w:rsidRPr="00E018DF">
        <w:rPr>
          <w:b/>
          <w:bCs/>
          <w:sz w:val="24"/>
          <w:szCs w:val="24"/>
        </w:rPr>
        <w:t>REFERÊNCIAS</w:t>
      </w:r>
    </w:p>
    <w:p w14:paraId="627CCB40" w14:textId="77777777" w:rsidR="00015EB4" w:rsidRPr="00E018DF" w:rsidRDefault="00015EB4" w:rsidP="00E018DF">
      <w:pPr>
        <w:spacing w:line="360" w:lineRule="auto"/>
        <w:jc w:val="center"/>
        <w:rPr>
          <w:b/>
          <w:bCs/>
          <w:sz w:val="24"/>
          <w:szCs w:val="24"/>
        </w:rPr>
      </w:pPr>
    </w:p>
    <w:p w14:paraId="688E52A1" w14:textId="77777777" w:rsidR="007B0E7F" w:rsidRPr="00E018DF" w:rsidRDefault="007B0E7F" w:rsidP="00E018DF">
      <w:pPr>
        <w:spacing w:line="360" w:lineRule="auto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BRASIL. [Constituição (1988)]. Constituição da República Federativa do Brasil de 1988. Brasília, DF: Presidência da República, 1988. Disponível em: http://www.planalto.gov.br/ccivil_03/constituicao/constituicao.htm (planalto.gov.br in </w:t>
      </w:r>
      <w:r w:rsidR="00E018DF">
        <w:rPr>
          <w:bCs/>
          <w:sz w:val="24"/>
          <w:szCs w:val="24"/>
        </w:rPr>
        <w:t>Bing). Acesso em: 23 ago. 2026.</w:t>
      </w:r>
    </w:p>
    <w:p w14:paraId="3704D869" w14:textId="77777777" w:rsidR="00015EB4" w:rsidRDefault="00015EB4" w:rsidP="00E018DF">
      <w:pPr>
        <w:spacing w:line="360" w:lineRule="auto"/>
        <w:jc w:val="both"/>
        <w:rPr>
          <w:bCs/>
          <w:sz w:val="24"/>
          <w:szCs w:val="24"/>
        </w:rPr>
      </w:pPr>
    </w:p>
    <w:p w14:paraId="4FEEF987" w14:textId="77777777" w:rsidR="007B0E7F" w:rsidRPr="00E018DF" w:rsidRDefault="007B0E7F" w:rsidP="00E018DF">
      <w:pPr>
        <w:spacing w:line="360" w:lineRule="auto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BRASIL. Decreto-Lei nº 5.452, de 1º de maio de 1943. Aprova a Consolidação das Leis do Trabalho. Brasília, DF: Presidência da República, 1943. Disponível em: </w:t>
      </w:r>
      <w:r w:rsidRPr="00E018DF">
        <w:rPr>
          <w:bCs/>
          <w:sz w:val="24"/>
          <w:szCs w:val="24"/>
        </w:rPr>
        <w:lastRenderedPageBreak/>
        <w:t>http://www.planalto.gov.br/ccivil_03/decreto-lei/del5452.htm (planalto.gov.br in Bing). Acesso em: 23 ago. 2026.</w:t>
      </w:r>
    </w:p>
    <w:p w14:paraId="1DE79187" w14:textId="77777777" w:rsidR="007B0E7F" w:rsidRPr="00E018DF" w:rsidRDefault="007B0E7F" w:rsidP="00E018DF">
      <w:pPr>
        <w:spacing w:line="360" w:lineRule="auto"/>
        <w:jc w:val="both"/>
        <w:rPr>
          <w:bCs/>
          <w:sz w:val="24"/>
          <w:szCs w:val="24"/>
        </w:rPr>
      </w:pPr>
    </w:p>
    <w:p w14:paraId="57C6A795" w14:textId="77777777" w:rsidR="007B0E7F" w:rsidRPr="00E018DF" w:rsidRDefault="007B0E7F" w:rsidP="00E018DF">
      <w:pPr>
        <w:spacing w:line="360" w:lineRule="auto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BRASIL. Lei nº 8.213, de 24 de julho de 1991. Dispõe sobre os Planos de Benefícios da Previdência Social e dá outras providências. Brasília, DF: Presidência da República, 1991. Disponível em: http://www.planalto.gov.br/ccivil_03/leis/l8213cons.htm (planalto.gov.br in </w:t>
      </w:r>
      <w:r w:rsidR="00E018DF">
        <w:rPr>
          <w:bCs/>
          <w:sz w:val="24"/>
          <w:szCs w:val="24"/>
        </w:rPr>
        <w:t>Bing). Acesso em: 23 ago. 2026.</w:t>
      </w:r>
    </w:p>
    <w:p w14:paraId="7B17DA2A" w14:textId="77777777" w:rsidR="00015EB4" w:rsidRDefault="00015EB4" w:rsidP="00E018DF">
      <w:pPr>
        <w:spacing w:line="360" w:lineRule="auto"/>
        <w:jc w:val="both"/>
        <w:rPr>
          <w:bCs/>
          <w:sz w:val="24"/>
          <w:szCs w:val="24"/>
        </w:rPr>
      </w:pPr>
    </w:p>
    <w:p w14:paraId="5D1971B2" w14:textId="77777777" w:rsidR="007B0E7F" w:rsidRPr="00E018DF" w:rsidRDefault="007B0E7F" w:rsidP="00E018DF">
      <w:pPr>
        <w:spacing w:line="360" w:lineRule="auto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BRASIL. Lei nº 10.406, de 10 de janeiro de 2002. Institui o Código Civil. Brasília, DF: Presidência da República, 2002. Disponível em: http://www.planalto.gov.br/ccivil_03/leis/2002/l10406compilada.htm (planalto.gov.br in </w:t>
      </w:r>
      <w:r w:rsidR="00E018DF">
        <w:rPr>
          <w:bCs/>
          <w:sz w:val="24"/>
          <w:szCs w:val="24"/>
        </w:rPr>
        <w:t>Bing). Acesso em: 23 ago. 2026.</w:t>
      </w:r>
    </w:p>
    <w:p w14:paraId="342B9DFE" w14:textId="77777777" w:rsidR="00015EB4" w:rsidRDefault="00015EB4" w:rsidP="00E018DF">
      <w:pPr>
        <w:spacing w:line="360" w:lineRule="auto"/>
        <w:jc w:val="both"/>
        <w:rPr>
          <w:bCs/>
          <w:sz w:val="24"/>
          <w:szCs w:val="24"/>
        </w:rPr>
      </w:pPr>
    </w:p>
    <w:p w14:paraId="0858FB6F" w14:textId="77777777" w:rsidR="007B0E7F" w:rsidRPr="00E018DF" w:rsidRDefault="007B0E7F" w:rsidP="00E018DF">
      <w:pPr>
        <w:spacing w:line="360" w:lineRule="auto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>BRASIL. Ministério da Previdência Social. Dados estatísticos sobre concessão de benefícios por incapacidade temporária (2020-2026). Brasília, DF: Ministério da Previdência Social, 2026. Disponível em: https://www.gov.br/previdencia (gov.br in Bing). Acesso em: 23 ag</w:t>
      </w:r>
      <w:r w:rsidR="00E018DF">
        <w:rPr>
          <w:bCs/>
          <w:sz w:val="24"/>
          <w:szCs w:val="24"/>
        </w:rPr>
        <w:t>o. 2026.</w:t>
      </w:r>
    </w:p>
    <w:p w14:paraId="58B282DA" w14:textId="77777777" w:rsidR="00015EB4" w:rsidRDefault="00015EB4" w:rsidP="00E018DF">
      <w:pPr>
        <w:spacing w:line="360" w:lineRule="auto"/>
        <w:jc w:val="both"/>
        <w:rPr>
          <w:bCs/>
          <w:sz w:val="24"/>
          <w:szCs w:val="24"/>
        </w:rPr>
      </w:pPr>
    </w:p>
    <w:p w14:paraId="5352C182" w14:textId="77777777" w:rsidR="007B0E7F" w:rsidRPr="00E018DF" w:rsidRDefault="007B0E7F" w:rsidP="00E018DF">
      <w:pPr>
        <w:spacing w:line="360" w:lineRule="auto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>ORGANIZAÇÃO MUNDIAL DA SAÚDE (OMS). CID-11: Classificação Estatística Internacional de Doenças e Problemas Relacionados à Saúde. Genebra: OMS, 2022. Disponível em: https://icd.who.i</w:t>
      </w:r>
      <w:r w:rsidR="00E018DF">
        <w:rPr>
          <w:bCs/>
          <w:sz w:val="24"/>
          <w:szCs w:val="24"/>
        </w:rPr>
        <w:t>nt/pt. Acesso em: 23 ago. 2026.</w:t>
      </w:r>
    </w:p>
    <w:p w14:paraId="28D669AD" w14:textId="77777777" w:rsidR="00015EB4" w:rsidRDefault="00015EB4" w:rsidP="00E018DF">
      <w:pPr>
        <w:spacing w:line="360" w:lineRule="auto"/>
        <w:jc w:val="both"/>
        <w:rPr>
          <w:bCs/>
          <w:sz w:val="24"/>
          <w:szCs w:val="24"/>
        </w:rPr>
      </w:pPr>
    </w:p>
    <w:p w14:paraId="44A0D655" w14:textId="77777777" w:rsidR="007B0E7F" w:rsidRPr="00E018DF" w:rsidRDefault="007B0E7F" w:rsidP="00E018DF">
      <w:pPr>
        <w:spacing w:line="360" w:lineRule="auto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PIRES, Patrícia </w:t>
      </w:r>
      <w:proofErr w:type="spellStart"/>
      <w:r w:rsidRPr="00E018DF">
        <w:rPr>
          <w:bCs/>
          <w:sz w:val="24"/>
          <w:szCs w:val="24"/>
        </w:rPr>
        <w:t>Cantisani</w:t>
      </w:r>
      <w:proofErr w:type="spellEnd"/>
      <w:r w:rsidRPr="00E018DF">
        <w:rPr>
          <w:bCs/>
          <w:sz w:val="24"/>
          <w:szCs w:val="24"/>
        </w:rPr>
        <w:t xml:space="preserve"> Schaffer; AMAZARRAY, Mayte Raya. O nexo causal no adoecimento mental relacionado ao trabalho: desafios e perspectivas jurídicas. Revista Brasileira de Saúde Ocupacio</w:t>
      </w:r>
      <w:r w:rsidR="00E018DF">
        <w:rPr>
          <w:bCs/>
          <w:sz w:val="24"/>
          <w:szCs w:val="24"/>
        </w:rPr>
        <w:t>nal, v. 48, p. 2345-2358, 2023.</w:t>
      </w:r>
    </w:p>
    <w:p w14:paraId="694B5577" w14:textId="77777777" w:rsidR="00015EB4" w:rsidRDefault="00015EB4" w:rsidP="00E018DF">
      <w:pPr>
        <w:spacing w:line="360" w:lineRule="auto"/>
        <w:jc w:val="both"/>
        <w:rPr>
          <w:bCs/>
          <w:sz w:val="24"/>
          <w:szCs w:val="24"/>
        </w:rPr>
      </w:pPr>
    </w:p>
    <w:p w14:paraId="0A1AA73A" w14:textId="77777777" w:rsidR="007B0E7F" w:rsidRPr="00E018DF" w:rsidRDefault="007B0E7F" w:rsidP="00E018DF">
      <w:pPr>
        <w:spacing w:line="360" w:lineRule="auto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PREDICTUS. Levantamento analítico de ações trabalhistas por Síndrome de Burnout no Brasil (2016-2026). São Paulo: </w:t>
      </w:r>
      <w:proofErr w:type="spellStart"/>
      <w:r w:rsidRPr="00E018DF">
        <w:rPr>
          <w:bCs/>
          <w:sz w:val="24"/>
          <w:szCs w:val="24"/>
        </w:rPr>
        <w:t>Predictus</w:t>
      </w:r>
      <w:proofErr w:type="spellEnd"/>
      <w:r w:rsidRPr="00E018DF">
        <w:rPr>
          <w:bCs/>
          <w:sz w:val="24"/>
          <w:szCs w:val="24"/>
        </w:rPr>
        <w:t>, 2026. Disponível em: https://www.predictus.com.br/es</w:t>
      </w:r>
      <w:r w:rsidR="00E018DF">
        <w:rPr>
          <w:bCs/>
          <w:sz w:val="24"/>
          <w:szCs w:val="24"/>
        </w:rPr>
        <w:t>tudos. Acesso em: 23 ago. 2026.</w:t>
      </w:r>
    </w:p>
    <w:p w14:paraId="3B8E0C40" w14:textId="77777777" w:rsidR="00015EB4" w:rsidRDefault="00015EB4" w:rsidP="00E018DF">
      <w:pPr>
        <w:spacing w:line="360" w:lineRule="auto"/>
        <w:jc w:val="both"/>
        <w:rPr>
          <w:bCs/>
          <w:sz w:val="24"/>
          <w:szCs w:val="24"/>
        </w:rPr>
      </w:pPr>
    </w:p>
    <w:p w14:paraId="5378C538" w14:textId="77777777" w:rsidR="007B0E7F" w:rsidRPr="00E018DF" w:rsidRDefault="007B0E7F" w:rsidP="00E018DF">
      <w:pPr>
        <w:spacing w:line="360" w:lineRule="auto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 xml:space="preserve">TARTUCE, Flávio. Direito Civil: Direito das Obrigações e Responsabilidade Civil. 19. ed. São </w:t>
      </w:r>
      <w:r w:rsidR="00E018DF">
        <w:rPr>
          <w:bCs/>
          <w:sz w:val="24"/>
          <w:szCs w:val="24"/>
        </w:rPr>
        <w:t>Paulo: GEN Forense, 2024. v. 2.</w:t>
      </w:r>
    </w:p>
    <w:p w14:paraId="5B32EA9B" w14:textId="77777777" w:rsidR="007B0E7F" w:rsidRPr="00E018DF" w:rsidRDefault="007B0E7F" w:rsidP="00E018DF">
      <w:pPr>
        <w:spacing w:line="360" w:lineRule="auto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lastRenderedPageBreak/>
        <w:t xml:space="preserve">TRIBUNAL SUPERIOR DO TRABALHO (Brasil). Primeira Turma. Agravo de Instrumento em Recurso de Revista nº Ag-AIRR-0000146-09.2023.5.06.0013. Dano Extrapatrimonial - Burnout - Nexo </w:t>
      </w:r>
      <w:proofErr w:type="spellStart"/>
      <w:r w:rsidRPr="00E018DF">
        <w:rPr>
          <w:bCs/>
          <w:sz w:val="24"/>
          <w:szCs w:val="24"/>
        </w:rPr>
        <w:t>Concausal</w:t>
      </w:r>
      <w:proofErr w:type="spellEnd"/>
      <w:r w:rsidRPr="00E018DF">
        <w:rPr>
          <w:bCs/>
          <w:sz w:val="24"/>
          <w:szCs w:val="24"/>
        </w:rPr>
        <w:t>. Relator: Amaury Rodrigues Pinto Júnior. Brasília, DF, 16 jun. 2026. Diário Eletrônico da Justiça do Trabalho, Brasília, DF. Disponível em: https://www.tst.j</w:t>
      </w:r>
      <w:r w:rsidR="00E018DF">
        <w:rPr>
          <w:bCs/>
          <w:sz w:val="24"/>
          <w:szCs w:val="24"/>
        </w:rPr>
        <w:t>us.br. Acesso em: 23 ago. 2026.</w:t>
      </w:r>
    </w:p>
    <w:p w14:paraId="4B5F206A" w14:textId="77777777" w:rsidR="00015EB4" w:rsidRDefault="00015EB4" w:rsidP="00E018DF">
      <w:pPr>
        <w:spacing w:line="360" w:lineRule="auto"/>
        <w:jc w:val="both"/>
        <w:rPr>
          <w:bCs/>
          <w:sz w:val="24"/>
          <w:szCs w:val="24"/>
        </w:rPr>
      </w:pPr>
    </w:p>
    <w:p w14:paraId="1B6B4FC3" w14:textId="77777777" w:rsidR="007B0E7F" w:rsidRPr="00E018DF" w:rsidRDefault="007B0E7F" w:rsidP="00E018DF">
      <w:pPr>
        <w:spacing w:line="360" w:lineRule="auto"/>
        <w:jc w:val="both"/>
        <w:rPr>
          <w:bCs/>
          <w:sz w:val="24"/>
          <w:szCs w:val="24"/>
        </w:rPr>
      </w:pPr>
      <w:r w:rsidRPr="00E018DF">
        <w:rPr>
          <w:bCs/>
          <w:sz w:val="24"/>
          <w:szCs w:val="24"/>
        </w:rPr>
        <w:t>TRIBUNAL SUPERIOR DO TRABALHO (Brasil). Subseção I Especializada em Dissídios Individuais. Agravo em Embargos em Recurso de Revista nº Ag-0067500-50.2012.5.21.0003. Relator: Walmir Oliveira da Costa. Brasília, DF, 21 ago. 2020. Diário Eletrônico da Justiça do Trabalho, Brasília, DF. Disponível em: https://www.tst.jus.br. Acesso em: 23 ago. 2026.</w:t>
      </w:r>
    </w:p>
    <w:p w14:paraId="7EDFA9BA" w14:textId="77777777" w:rsidR="00692AE9" w:rsidRPr="00E018DF" w:rsidRDefault="00692AE9" w:rsidP="00E018DF">
      <w:pPr>
        <w:spacing w:line="360" w:lineRule="auto"/>
        <w:ind w:hanging="1418"/>
        <w:jc w:val="both"/>
        <w:rPr>
          <w:sz w:val="24"/>
          <w:szCs w:val="24"/>
        </w:rPr>
      </w:pPr>
    </w:p>
    <w:sectPr w:rsidR="00692AE9" w:rsidRPr="00E018DF">
      <w:headerReference w:type="default" r:id="rId8"/>
      <w:footerReference w:type="default" r:id="rId9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7D721" w14:textId="77777777" w:rsidR="00CE1BA0" w:rsidRDefault="00CE1BA0">
      <w:r>
        <w:separator/>
      </w:r>
    </w:p>
  </w:endnote>
  <w:endnote w:type="continuationSeparator" w:id="0">
    <w:p w14:paraId="127797C2" w14:textId="77777777" w:rsidR="00CE1BA0" w:rsidRDefault="00CE1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A192DBB-1DF2-44CC-B086-B4ABFC85CECD}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01CDE0A9-2529-4776-A74A-E10FE2384B8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A65AF08-0975-4607-B37A-278B40D6903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3717878-0499-43EC-BDCF-97D3CCE590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22AFA" w14:textId="77777777" w:rsidR="00692AE9" w:rsidRDefault="00AC5C4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B33F9D7" wp14:editId="14049D93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FC79655" w14:textId="77777777" w:rsidR="00692AE9" w:rsidRDefault="00692A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66DF08BA" w14:textId="77777777" w:rsidR="00692AE9" w:rsidRDefault="00692A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7D127" w14:textId="77777777" w:rsidR="00CE1BA0" w:rsidRDefault="00CE1BA0">
      <w:r>
        <w:separator/>
      </w:r>
    </w:p>
  </w:footnote>
  <w:footnote w:type="continuationSeparator" w:id="0">
    <w:p w14:paraId="23C26009" w14:textId="77777777" w:rsidR="00CE1BA0" w:rsidRDefault="00CE1BA0">
      <w:r>
        <w:continuationSeparator/>
      </w:r>
    </w:p>
  </w:footnote>
  <w:footnote w:id="1">
    <w:p w14:paraId="44AE42C0" w14:textId="77777777" w:rsidR="00FC7DC1" w:rsidRDefault="00FC7DC1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F931E5">
        <w:t>Acadêmica do 6º período de Direito</w:t>
      </w:r>
    </w:p>
  </w:footnote>
  <w:footnote w:id="2">
    <w:p w14:paraId="6C43A5E0" w14:textId="77777777" w:rsidR="00F931E5" w:rsidRDefault="00F931E5">
      <w:pPr>
        <w:pStyle w:val="Textodenotaderodap"/>
      </w:pPr>
      <w:r>
        <w:rPr>
          <w:rStyle w:val="Refdenotaderodap"/>
        </w:rPr>
        <w:footnoteRef/>
      </w:r>
      <w:r>
        <w:t xml:space="preserve"> Acadêmica do 6º período de Direito</w:t>
      </w:r>
    </w:p>
  </w:footnote>
  <w:footnote w:id="3">
    <w:p w14:paraId="7A3F7251" w14:textId="77777777" w:rsidR="00F931E5" w:rsidRDefault="00F931E5">
      <w:pPr>
        <w:pStyle w:val="Textodenotaderodap"/>
      </w:pPr>
      <w:r>
        <w:rPr>
          <w:rStyle w:val="Refdenotaderodap"/>
        </w:rPr>
        <w:footnoteRef/>
      </w:r>
      <w:r>
        <w:t xml:space="preserve"> Acadêmica do 6º período de Direito</w:t>
      </w:r>
    </w:p>
  </w:footnote>
  <w:footnote w:id="4">
    <w:p w14:paraId="6F1175A6" w14:textId="77777777" w:rsidR="00F931E5" w:rsidRDefault="00F931E5">
      <w:pPr>
        <w:pStyle w:val="Textodenotaderodap"/>
      </w:pPr>
      <w:r>
        <w:rPr>
          <w:rStyle w:val="Refdenotaderodap"/>
        </w:rPr>
        <w:footnoteRef/>
      </w:r>
      <w:r>
        <w:t xml:space="preserve"> Professora Mestre UNICHRISFAPI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86C82" w14:textId="77777777" w:rsidR="00692AE9" w:rsidRDefault="00E018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E5BBCD1" wp14:editId="60676FAC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72375" cy="1066800"/>
          <wp:effectExtent l="0" t="0" r="952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2375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AC5C4A">
      <w:rPr>
        <w:color w:val="000000"/>
      </w:rPr>
      <w:tab/>
    </w:r>
    <w:r w:rsidR="00AC5C4A">
      <w:rPr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AE9"/>
    <w:rsid w:val="00015EB4"/>
    <w:rsid w:val="00175BC3"/>
    <w:rsid w:val="001C076C"/>
    <w:rsid w:val="001F43C5"/>
    <w:rsid w:val="00264867"/>
    <w:rsid w:val="003E6296"/>
    <w:rsid w:val="004A11BF"/>
    <w:rsid w:val="006034DD"/>
    <w:rsid w:val="00692AE9"/>
    <w:rsid w:val="007B0E7F"/>
    <w:rsid w:val="00893DA8"/>
    <w:rsid w:val="008A28EF"/>
    <w:rsid w:val="008C5CBF"/>
    <w:rsid w:val="009B10E8"/>
    <w:rsid w:val="00A378E7"/>
    <w:rsid w:val="00AC5C4A"/>
    <w:rsid w:val="00B05E45"/>
    <w:rsid w:val="00B1703C"/>
    <w:rsid w:val="00C45E53"/>
    <w:rsid w:val="00CE1BA0"/>
    <w:rsid w:val="00CE4766"/>
    <w:rsid w:val="00DB2FE8"/>
    <w:rsid w:val="00E018DF"/>
    <w:rsid w:val="00E46C4B"/>
    <w:rsid w:val="00F931E5"/>
    <w:rsid w:val="00FC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A3A4E"/>
  <w15:docId w15:val="{4C61CEF8-53C7-4C98-A6FC-D059047E4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E46C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FC7DC1"/>
    <w:pPr>
      <w:widowControl w:val="0"/>
      <w:autoSpaceDE w:val="0"/>
      <w:autoSpaceDN w:val="0"/>
      <w:spacing w:before="201"/>
      <w:ind w:left="710"/>
      <w:jc w:val="both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C7DC1"/>
    <w:rPr>
      <w:rFonts w:ascii="Arial MT" w:eastAsia="Arial MT" w:hAnsi="Arial MT" w:cs="Arial MT"/>
      <w:sz w:val="24"/>
      <w:szCs w:val="24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FC7DC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C7DC1"/>
  </w:style>
  <w:style w:type="paragraph" w:styleId="Rodap">
    <w:name w:val="footer"/>
    <w:basedOn w:val="Normal"/>
    <w:link w:val="RodapChar"/>
    <w:uiPriority w:val="99"/>
    <w:unhideWhenUsed/>
    <w:rsid w:val="00FC7DC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C7DC1"/>
  </w:style>
  <w:style w:type="paragraph" w:styleId="Textodebalo">
    <w:name w:val="Balloon Text"/>
    <w:basedOn w:val="Normal"/>
    <w:link w:val="TextodebaloChar"/>
    <w:uiPriority w:val="99"/>
    <w:semiHidden/>
    <w:unhideWhenUsed/>
    <w:rsid w:val="00FC7DC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7DC1"/>
    <w:rPr>
      <w:rFonts w:ascii="Tahoma" w:hAnsi="Tahoma" w:cs="Tahoma"/>
      <w:sz w:val="16"/>
      <w:szCs w:val="16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C7DC1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C7DC1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FC7DC1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C7DC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C7DC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C7DC1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E01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eylahis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D51B1-F666-4DAF-A83C-9D109E99B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4216</Words>
  <Characters>22770</Characters>
  <Application>Microsoft Office Word</Application>
  <DocSecurity>0</DocSecurity>
  <Lines>189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Luana Lopes</dc:creator>
  <cp:lastModifiedBy>Luana Lopes</cp:lastModifiedBy>
  <cp:revision>2</cp:revision>
  <dcterms:created xsi:type="dcterms:W3CDTF">2026-09-03T18:21:00Z</dcterms:created>
  <dcterms:modified xsi:type="dcterms:W3CDTF">2026-09-03T18:21:00Z</dcterms:modified>
</cp:coreProperties>
</file>