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ED487" w14:textId="77777777" w:rsidR="00844052" w:rsidRPr="005C354F" w:rsidRDefault="00AA5867">
      <w:pPr>
        <w:spacing w:line="240" w:lineRule="auto"/>
        <w:jc w:val="center"/>
        <w:rPr>
          <w:rFonts w:ascii="Arial" w:eastAsia="Arial" w:hAnsi="Arial" w:cs="Arial"/>
          <w:sz w:val="26"/>
          <w:szCs w:val="26"/>
          <w:lang w:val="pt-BR"/>
        </w:rPr>
      </w:pPr>
      <w:r w:rsidRPr="00BB0AAC">
        <w:rPr>
          <w:rFonts w:ascii="Arial" w:eastAsia="Times New Roman" w:hAnsi="Arial" w:cs="Arial"/>
          <w:b/>
          <w:bCs/>
          <w:sz w:val="26"/>
          <w:szCs w:val="26"/>
          <w:lang w:val="pt-BR"/>
        </w:rPr>
        <w:t>O ENSACAMENTO DE FRUTOS COMO RESISTÊNCIA AO MODELO QUÍMICO NA GOIABEIRA</w:t>
      </w:r>
      <w:r w:rsidRPr="005C354F">
        <w:rPr>
          <w:rFonts w:ascii="Arial" w:eastAsia="Arial" w:hAnsi="Arial" w:cs="Arial"/>
          <w:b/>
          <w:bCs/>
          <w:sz w:val="26"/>
          <w:szCs w:val="26"/>
          <w:lang w:val="pt-BR"/>
        </w:rPr>
        <w:t xml:space="preserve"> </w:t>
      </w:r>
    </w:p>
    <w:p w14:paraId="6D3C2637" w14:textId="77777777" w:rsidR="00AA5867" w:rsidRPr="00BE7B04" w:rsidRDefault="00AA5867" w:rsidP="00AA5867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6"/>
          <w:szCs w:val="26"/>
          <w:lang w:val="pt-BR"/>
        </w:rPr>
      </w:pPr>
      <w:r w:rsidRPr="00BE7B04">
        <w:rPr>
          <w:rFonts w:ascii="Arial" w:eastAsia="Times New Roman" w:hAnsi="Arial" w:cs="Arial"/>
          <w:b/>
          <w:bCs/>
          <w:sz w:val="26"/>
          <w:szCs w:val="26"/>
          <w:lang w:val="pt-BR"/>
        </w:rPr>
        <w:t xml:space="preserve">Juliana </w:t>
      </w:r>
      <w:proofErr w:type="spellStart"/>
      <w:r w:rsidRPr="00BE7B04">
        <w:rPr>
          <w:rFonts w:ascii="Arial" w:eastAsia="Times New Roman" w:hAnsi="Arial" w:cs="Arial"/>
          <w:b/>
          <w:bCs/>
          <w:sz w:val="26"/>
          <w:szCs w:val="26"/>
          <w:lang w:val="pt-BR"/>
        </w:rPr>
        <w:t>Altafin</w:t>
      </w:r>
      <w:proofErr w:type="spellEnd"/>
      <w:r w:rsidRPr="00BE7B04">
        <w:rPr>
          <w:rFonts w:ascii="Arial" w:eastAsia="Times New Roman" w:hAnsi="Arial" w:cs="Arial"/>
          <w:b/>
          <w:bCs/>
          <w:sz w:val="26"/>
          <w:szCs w:val="26"/>
          <w:lang w:val="pt-BR"/>
        </w:rPr>
        <w:t xml:space="preserve"> </w:t>
      </w:r>
      <w:proofErr w:type="spellStart"/>
      <w:r w:rsidRPr="00BE7B04">
        <w:rPr>
          <w:rFonts w:ascii="Arial" w:eastAsia="Times New Roman" w:hAnsi="Arial" w:cs="Arial"/>
          <w:b/>
          <w:bCs/>
          <w:sz w:val="26"/>
          <w:szCs w:val="26"/>
          <w:lang w:val="pt-BR"/>
        </w:rPr>
        <w:t>Galli</w:t>
      </w:r>
      <w:proofErr w:type="spellEnd"/>
    </w:p>
    <w:p w14:paraId="379310C1" w14:textId="588A2F2A" w:rsidR="00844052" w:rsidRPr="00BA6323" w:rsidRDefault="00AA5867">
      <w:pPr>
        <w:spacing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pt-BR"/>
        </w:rPr>
      </w:pPr>
      <w:r w:rsidRPr="00BE7B04">
        <w:rPr>
          <w:rFonts w:ascii="Arial" w:eastAsia="Times New Roman" w:hAnsi="Arial" w:cs="Arial"/>
          <w:b/>
          <w:bCs/>
          <w:sz w:val="26"/>
          <w:szCs w:val="26"/>
          <w:lang w:val="pt-BR"/>
        </w:rPr>
        <w:t>Maria Beatriz Bernardes Soares; Maria Teresa Vilela Nogueira Abdo</w:t>
      </w:r>
      <w:r w:rsidR="00BA6323">
        <w:rPr>
          <w:rFonts w:ascii="Arial" w:eastAsia="Times New Roman" w:hAnsi="Arial" w:cs="Arial"/>
          <w:b/>
          <w:bCs/>
          <w:sz w:val="26"/>
          <w:szCs w:val="26"/>
          <w:lang w:val="pt-BR"/>
        </w:rPr>
        <w:t xml:space="preserve">; </w:t>
      </w:r>
      <w:r w:rsidR="00BA6323" w:rsidRPr="00BA6323">
        <w:rPr>
          <w:rFonts w:ascii="Arial" w:eastAsia="Times New Roman" w:hAnsi="Arial" w:cs="Arial"/>
          <w:b/>
          <w:bCs/>
          <w:sz w:val="26"/>
          <w:szCs w:val="26"/>
          <w:lang w:val="pt-BR"/>
        </w:rPr>
        <w:t xml:space="preserve">Luís Carlos </w:t>
      </w:r>
      <w:proofErr w:type="spellStart"/>
      <w:proofErr w:type="gramStart"/>
      <w:r w:rsidR="00BA6323" w:rsidRPr="00BA6323">
        <w:rPr>
          <w:rFonts w:ascii="Arial" w:eastAsia="Times New Roman" w:hAnsi="Arial" w:cs="Arial"/>
          <w:b/>
          <w:bCs/>
          <w:sz w:val="26"/>
          <w:szCs w:val="26"/>
          <w:lang w:val="pt-BR"/>
        </w:rPr>
        <w:t>Bernacci</w:t>
      </w:r>
      <w:proofErr w:type="spellEnd"/>
      <w:proofErr w:type="gramEnd"/>
      <w:r w:rsidRPr="00BA6323">
        <w:rPr>
          <w:rFonts w:ascii="Arial" w:eastAsia="Times New Roman" w:hAnsi="Arial" w:cs="Arial"/>
          <w:b/>
          <w:bCs/>
          <w:sz w:val="26"/>
          <w:szCs w:val="26"/>
          <w:lang w:val="pt-BR"/>
        </w:rPr>
        <w:t xml:space="preserve"> </w:t>
      </w:r>
    </w:p>
    <w:p w14:paraId="1FF690DC" w14:textId="77777777" w:rsidR="00844052" w:rsidRPr="005C354F" w:rsidRDefault="00AA5867">
      <w:pPr>
        <w:spacing w:line="240" w:lineRule="auto"/>
        <w:jc w:val="center"/>
        <w:rPr>
          <w:rFonts w:ascii="Arial" w:eastAsia="Arial" w:hAnsi="Arial" w:cs="Arial"/>
          <w:sz w:val="26"/>
          <w:szCs w:val="26"/>
          <w:lang w:val="pt-BR"/>
        </w:rPr>
      </w:pPr>
      <w:r w:rsidRPr="00BE7B04">
        <w:rPr>
          <w:rFonts w:ascii="Arial" w:eastAsia="Times New Roman" w:hAnsi="Arial" w:cs="Arial"/>
          <w:bCs/>
          <w:sz w:val="26"/>
          <w:szCs w:val="26"/>
          <w:lang w:val="pt-BR"/>
        </w:rPr>
        <w:t>Apta Regional de Pindorama – SAA/SP</w:t>
      </w:r>
    </w:p>
    <w:p w14:paraId="51200C1B" w14:textId="77777777" w:rsidR="00844052" w:rsidRPr="00AA5867" w:rsidRDefault="00AA5867" w:rsidP="00AA5867">
      <w:pPr>
        <w:spacing w:line="240" w:lineRule="auto"/>
        <w:jc w:val="center"/>
        <w:rPr>
          <w:rFonts w:ascii="Arial" w:eastAsia="Arial" w:hAnsi="Arial" w:cs="Arial"/>
          <w:sz w:val="20"/>
          <w:szCs w:val="20"/>
          <w:lang w:val="pt-BR"/>
        </w:rPr>
        <w:sectPr w:rsidR="00844052" w:rsidRPr="00AA5867">
          <w:headerReference w:type="default" r:id="rId9"/>
          <w:pgSz w:w="11906" w:h="16838"/>
          <w:pgMar w:top="1871" w:right="1474" w:bottom="2381" w:left="1474" w:header="709" w:footer="709" w:gutter="0"/>
          <w:pgNumType w:start="1"/>
          <w:cols w:space="720"/>
        </w:sectPr>
      </w:pPr>
      <w:r>
        <w:rPr>
          <w:rFonts w:ascii="Arial" w:eastAsia="Arial" w:hAnsi="Arial" w:cs="Arial"/>
          <w:sz w:val="20"/>
          <w:szCs w:val="20"/>
          <w:lang w:val="pt-BR"/>
        </w:rPr>
        <w:t xml:space="preserve"> </w:t>
      </w:r>
      <w:r w:rsidR="0075087C" w:rsidRPr="005C354F">
        <w:rPr>
          <w:rFonts w:ascii="Arial" w:eastAsia="Arial" w:hAnsi="Arial" w:cs="Arial"/>
          <w:sz w:val="20"/>
          <w:szCs w:val="20"/>
          <w:lang w:val="pt-BR"/>
        </w:rPr>
        <w:t xml:space="preserve"> </w:t>
      </w:r>
      <w:r w:rsidRPr="00BE7B04">
        <w:rPr>
          <w:rFonts w:ascii="Arial" w:eastAsia="Times New Roman" w:hAnsi="Arial" w:cs="Arial"/>
          <w:bCs/>
          <w:sz w:val="20"/>
          <w:szCs w:val="20"/>
          <w:lang w:val="pt-BR"/>
        </w:rPr>
        <w:t>juliana.galli@sp.gov.br</w:t>
      </w:r>
      <w:r w:rsidRPr="005C354F">
        <w:rPr>
          <w:rFonts w:ascii="Arial" w:eastAsia="Arial" w:hAnsi="Arial" w:cs="Arial"/>
          <w:sz w:val="20"/>
          <w:szCs w:val="20"/>
          <w:lang w:val="pt-BR"/>
        </w:rPr>
        <w:t xml:space="preserve"> </w:t>
      </w:r>
    </w:p>
    <w:p w14:paraId="557D4CE3" w14:textId="77777777" w:rsidR="00844052" w:rsidRPr="005C354F" w:rsidRDefault="0075087C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  <w:lang w:val="pt-BR"/>
        </w:rPr>
      </w:pPr>
      <w:r w:rsidRPr="005C354F">
        <w:rPr>
          <w:rFonts w:ascii="Arial" w:eastAsia="Arial" w:hAnsi="Arial" w:cs="Arial"/>
          <w:b/>
          <w:bCs/>
          <w:sz w:val="26"/>
          <w:szCs w:val="26"/>
          <w:lang w:val="pt-BR"/>
        </w:rPr>
        <w:lastRenderedPageBreak/>
        <w:t>Objetivos</w:t>
      </w:r>
    </w:p>
    <w:p w14:paraId="2F723242" w14:textId="5991B513" w:rsidR="00844052" w:rsidRDefault="00AA5867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val="pt-BR"/>
        </w:rPr>
      </w:pPr>
      <w:r w:rsidRPr="00BB0AAC">
        <w:rPr>
          <w:rFonts w:ascii="Arial" w:eastAsia="Times New Roman" w:hAnsi="Arial" w:cs="Arial"/>
          <w:sz w:val="20"/>
          <w:szCs w:val="20"/>
          <w:lang w:val="pt-BR"/>
        </w:rPr>
        <w:t xml:space="preserve">A questão agrária contemporânea é marcada pelo embate entre o modelo hegemônico do agronegócio e a busca por sistemas produtivos que respeitem a vida. 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t>O uso crescente e indiscriminado de defensivos agrícolas na cultura da goiabeira tem colocado em risco a saúde de consumidores e produtores rurais, além de provocar sérios problemas ambientais</w:t>
      </w:r>
      <w:r w:rsidRPr="00BB0AAC">
        <w:rPr>
          <w:rFonts w:ascii="Arial" w:eastAsia="Times New Roman" w:hAnsi="Arial" w:cs="Arial"/>
          <w:sz w:val="20"/>
          <w:szCs w:val="20"/>
          <w:lang w:val="pt-BR"/>
        </w:rPr>
        <w:t xml:space="preserve">. 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t>No contexto do desenvolvimento rural sustentável, o cultivo orgânico da goiabeira utiliza princípios que integram o manejo de pragas ao equilíbrio do ecossistema</w:t>
      </w:r>
      <w:r w:rsidRPr="00BB0AAC">
        <w:rPr>
          <w:rFonts w:ascii="Arial" w:eastAsia="Times New Roman" w:hAnsi="Arial" w:cs="Arial"/>
          <w:sz w:val="20"/>
          <w:szCs w:val="20"/>
          <w:lang w:val="pt-BR"/>
        </w:rPr>
        <w:t xml:space="preserve">. 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t>Entre essas práticas, destaca-se o ensacamento dos frutos, técnica que protege contra pragas e doenças enquanto mantém sua qualidade</w:t>
      </w:r>
      <w:r w:rsidRPr="00BB0AAC">
        <w:rPr>
          <w:rFonts w:ascii="Arial" w:eastAsia="Times New Roman" w:hAnsi="Arial" w:cs="Arial"/>
          <w:sz w:val="20"/>
          <w:szCs w:val="20"/>
          <w:lang w:val="pt-BR"/>
        </w:rPr>
        <w:t xml:space="preserve">. </w:t>
      </w:r>
      <w:r w:rsidR="001F3BA5">
        <w:rPr>
          <w:rFonts w:ascii="Arial" w:eastAsia="Times New Roman" w:hAnsi="Arial" w:cs="Arial"/>
          <w:sz w:val="20"/>
          <w:szCs w:val="20"/>
          <w:lang w:val="pt-BR"/>
        </w:rPr>
        <w:t xml:space="preserve"> 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t xml:space="preserve"> Quando comparado com a prática do controle químico, o ensacamento dos frutos demanda maior investimento em material, mão de obra e tempo. No entanto, constitui-se em uma técnica que possibilita, mesmo em condições de altas</w:t>
      </w:r>
      <w:r w:rsidR="001F3BA5">
        <w:rPr>
          <w:rFonts w:ascii="Arial" w:eastAsia="Times New Roman" w:hAnsi="Arial" w:cs="Arial"/>
          <w:sz w:val="20"/>
          <w:szCs w:val="20"/>
          <w:lang w:val="pt-BR"/>
        </w:rPr>
        <w:t xml:space="preserve"> 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t>pressões populacionais de pragas, colher frutos de qualidade sem a utilização de pesticidas, o que os torna altamente apreciados pelos consumidores (Teixeira et al., 2011).</w:t>
      </w:r>
      <w:r w:rsidRPr="00BE7B04">
        <w:rPr>
          <w:rFonts w:ascii="Arial" w:hAnsi="Arial" w:cs="Arial"/>
          <w:sz w:val="20"/>
          <w:szCs w:val="20"/>
          <w:lang w:val="pt-BR"/>
        </w:rPr>
        <w:t xml:space="preserve"> 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t>Diante da necessidade de consolidar métodos que viabilizem a tran</w:t>
      </w:r>
      <w:r w:rsidR="005C3506">
        <w:rPr>
          <w:rFonts w:ascii="Arial" w:eastAsia="Times New Roman" w:hAnsi="Arial" w:cs="Arial"/>
          <w:sz w:val="20"/>
          <w:szCs w:val="20"/>
          <w:lang w:val="pt-BR"/>
        </w:rPr>
        <w:t xml:space="preserve">sição agroecológica, o objetivo 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t>deste trabalho foi determinar o momento adequado de ensacamento da goiabeira, a partir da avaliação das características físic</w:t>
      </w:r>
      <w:r w:rsidR="00A7110D">
        <w:rPr>
          <w:rFonts w:ascii="Arial" w:eastAsia="Times New Roman" w:hAnsi="Arial" w:cs="Arial"/>
          <w:sz w:val="20"/>
          <w:szCs w:val="20"/>
          <w:lang w:val="pt-BR"/>
        </w:rPr>
        <w:t xml:space="preserve">as 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t>dos frutos</w:t>
      </w:r>
      <w:r w:rsidR="00A7110D">
        <w:rPr>
          <w:rFonts w:ascii="Arial" w:eastAsia="Times New Roman" w:hAnsi="Arial" w:cs="Arial"/>
          <w:sz w:val="20"/>
          <w:szCs w:val="20"/>
          <w:lang w:val="pt-BR"/>
        </w:rPr>
        <w:t>.</w:t>
      </w:r>
    </w:p>
    <w:p w14:paraId="38FDD66B" w14:textId="77777777" w:rsidR="005C3506" w:rsidRPr="005C3506" w:rsidRDefault="005C3506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val="pt-BR"/>
        </w:rPr>
      </w:pPr>
    </w:p>
    <w:p w14:paraId="4AFEE292" w14:textId="77777777" w:rsidR="00844052" w:rsidRPr="005C354F" w:rsidRDefault="0075087C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  <w:lang w:val="pt-BR"/>
        </w:rPr>
      </w:pPr>
      <w:r w:rsidRPr="005C354F">
        <w:rPr>
          <w:rFonts w:ascii="Arial" w:eastAsia="Arial" w:hAnsi="Arial" w:cs="Arial"/>
          <w:b/>
          <w:bCs/>
          <w:sz w:val="26"/>
          <w:szCs w:val="26"/>
          <w:lang w:val="pt-BR"/>
        </w:rPr>
        <w:t>Métodos e Procedimentos</w:t>
      </w:r>
    </w:p>
    <w:p w14:paraId="2F46D7A7" w14:textId="0B3B9D4C" w:rsidR="00AA5867" w:rsidRDefault="00AA5867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pt-BR"/>
        </w:rPr>
      </w:pPr>
      <w:r w:rsidRPr="00BE7B04">
        <w:rPr>
          <w:rFonts w:ascii="Arial" w:eastAsia="Times New Roman" w:hAnsi="Arial" w:cs="Arial"/>
          <w:sz w:val="20"/>
          <w:szCs w:val="20"/>
          <w:lang w:val="pt-BR"/>
        </w:rPr>
        <w:t xml:space="preserve">Os frutos ensacados foram identificados com etiquetas, contendo informações referentes à data e o diâmetro do fruto. Foram ensacados frutos com três faixas de diâmetro transversal: T1: de 1,0 a 1,5 cm; T2, de 2,0 a 2,5 cm e T3: de 3,0 a 3,5 cm. As embalagens (sacos de papel amanteigados) foram presas ao pedúnculo do fruto com o auxílio de um grampeador, monitoradas a cada dois dias e imediatamente substituídas por novas quando danificadas. O experimento foi instalado em delineamento inteiramente </w:t>
      </w:r>
      <w:proofErr w:type="spellStart"/>
      <w:r w:rsidRPr="00BE7B04">
        <w:rPr>
          <w:rFonts w:ascii="Arial" w:eastAsia="Times New Roman" w:hAnsi="Arial" w:cs="Arial"/>
          <w:sz w:val="20"/>
          <w:szCs w:val="20"/>
          <w:lang w:val="pt-BR"/>
        </w:rPr>
        <w:t>casualizado</w:t>
      </w:r>
      <w:proofErr w:type="spellEnd"/>
      <w:r w:rsidRPr="00BE7B04">
        <w:rPr>
          <w:rFonts w:ascii="Arial" w:eastAsia="Times New Roman" w:hAnsi="Arial" w:cs="Arial"/>
          <w:sz w:val="20"/>
          <w:szCs w:val="20"/>
          <w:lang w:val="pt-BR"/>
        </w:rPr>
        <w:t>, com quatro tratamentos (três estádios de ensacamento e o controle, com frutos não ensacad</w:t>
      </w:r>
      <w:r w:rsidR="001F3BA5">
        <w:rPr>
          <w:rFonts w:ascii="Arial" w:eastAsia="Times New Roman" w:hAnsi="Arial" w:cs="Arial"/>
          <w:sz w:val="20"/>
          <w:szCs w:val="20"/>
          <w:lang w:val="pt-BR"/>
        </w:rPr>
        <w:t>os) e seis repetições (frutos).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t xml:space="preserve"> Foram realizadas as seguintes avaliações físicas, individualmente para cada fruto: Massa do Fruto (MF), em gramas (g); </w:t>
      </w:r>
      <w:r w:rsidRPr="00BA6323">
        <w:rPr>
          <w:rFonts w:ascii="Arial" w:eastAsia="Times New Roman" w:hAnsi="Arial" w:cs="Arial"/>
          <w:sz w:val="20"/>
          <w:szCs w:val="20"/>
          <w:lang w:val="pt-BR"/>
        </w:rPr>
        <w:t>Diâmetro Longitudinal (DL) e Diâmetro Transversal (DT) em milímetros (mm); relação DL/DT; Largura da Polpa (LP), em mm; Firmeza da polpa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t xml:space="preserve"> (F), em Newton (N). Após essas avaliações, os frutos foram seccionados em quatro partes, para a avaliação da presença ou ausência de larvas de </w:t>
      </w:r>
      <w:r w:rsidR="001F3BA5">
        <w:rPr>
          <w:rFonts w:ascii="Arial" w:eastAsia="Times New Roman" w:hAnsi="Arial" w:cs="Arial"/>
          <w:sz w:val="20"/>
          <w:szCs w:val="20"/>
          <w:lang w:val="pt-BR"/>
        </w:rPr>
        <w:t>mosca-das-frutas e de gorgulho</w:t>
      </w:r>
      <w:r w:rsidR="005C3506">
        <w:rPr>
          <w:rFonts w:ascii="Arial" w:eastAsia="Times New Roman" w:hAnsi="Arial" w:cs="Arial"/>
          <w:sz w:val="20"/>
          <w:szCs w:val="20"/>
          <w:lang w:val="pt-BR"/>
        </w:rPr>
        <w:t>.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t xml:space="preserve"> Para avaliar qual a época de ensacamento os frutos obtiveram melhor resposta, foi realizada uma análise multivariada utilizando-se técnicas de análise de agrupamento pelo método UPGMA, 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lastRenderedPageBreak/>
        <w:t xml:space="preserve">utilizando-se como medida de semelhança a distância euclidiana, e análise de Componentes Principais. Para </w:t>
      </w:r>
      <w:r>
        <w:rPr>
          <w:rFonts w:ascii="Arial" w:eastAsia="Times New Roman" w:hAnsi="Arial" w:cs="Arial"/>
          <w:sz w:val="20"/>
          <w:szCs w:val="20"/>
          <w:lang w:val="pt-BR"/>
        </w:rPr>
        <w:t>tanto</w:t>
      </w:r>
      <w:r w:rsidRPr="00BE7B04">
        <w:rPr>
          <w:rFonts w:ascii="Arial" w:eastAsia="Times New Roman" w:hAnsi="Arial" w:cs="Arial"/>
          <w:sz w:val="20"/>
          <w:szCs w:val="20"/>
          <w:lang w:val="pt-BR"/>
        </w:rPr>
        <w:t xml:space="preserve">, foi utilizado o programa </w:t>
      </w:r>
      <w:proofErr w:type="spellStart"/>
      <w:r w:rsidRPr="00BE7B04">
        <w:rPr>
          <w:rFonts w:ascii="Arial" w:eastAsia="Times New Roman" w:hAnsi="Arial" w:cs="Arial"/>
          <w:sz w:val="20"/>
          <w:szCs w:val="20"/>
          <w:lang w:val="pt-BR"/>
        </w:rPr>
        <w:t>Statistica</w:t>
      </w:r>
      <w:proofErr w:type="spellEnd"/>
      <w:r w:rsidRPr="00BE7B04">
        <w:rPr>
          <w:rFonts w:ascii="Arial" w:eastAsia="Times New Roman" w:hAnsi="Arial" w:cs="Arial"/>
          <w:sz w:val="20"/>
          <w:szCs w:val="20"/>
          <w:lang w:val="pt-BR"/>
        </w:rPr>
        <w:t xml:space="preserve"> 7.0.</w:t>
      </w:r>
    </w:p>
    <w:p w14:paraId="4BCBE8A0" w14:textId="77777777" w:rsidR="00844052" w:rsidRPr="005C354F" w:rsidRDefault="0075087C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  <w:lang w:val="pt-BR"/>
        </w:rPr>
      </w:pPr>
      <w:r w:rsidRPr="005C354F">
        <w:rPr>
          <w:rFonts w:ascii="Arial" w:eastAsia="Arial" w:hAnsi="Arial" w:cs="Arial"/>
          <w:b/>
          <w:bCs/>
          <w:sz w:val="26"/>
          <w:szCs w:val="26"/>
          <w:lang w:val="pt-BR"/>
        </w:rPr>
        <w:t>Resultados</w:t>
      </w:r>
    </w:p>
    <w:p w14:paraId="68A81C7D" w14:textId="0A51FA5F" w:rsidR="00844052" w:rsidRDefault="00AA5867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pt-BR"/>
        </w:rPr>
      </w:pPr>
      <w:r w:rsidRPr="00816334">
        <w:rPr>
          <w:rFonts w:ascii="Arial" w:eastAsia="Times New Roman" w:hAnsi="Arial" w:cs="Arial"/>
          <w:sz w:val="20"/>
          <w:szCs w:val="20"/>
          <w:lang w:val="pt-BR"/>
        </w:rPr>
        <w:t>Todos os frutos ensacados, independente da época, se apresentaram livres de infestação por mosca-das-frutas e gorgulho, assim como danos ocasionados pelo perce</w:t>
      </w:r>
      <w:r w:rsidR="001F3BA5">
        <w:rPr>
          <w:rFonts w:ascii="Arial" w:eastAsia="Times New Roman" w:hAnsi="Arial" w:cs="Arial"/>
          <w:sz w:val="20"/>
          <w:szCs w:val="20"/>
          <w:lang w:val="pt-BR"/>
        </w:rPr>
        <w:t xml:space="preserve">vejo. Os frutos do tratamento 1 </w:t>
      </w:r>
      <w:r w:rsidRPr="00816334">
        <w:rPr>
          <w:rFonts w:ascii="Arial" w:eastAsia="Times New Roman" w:hAnsi="Arial" w:cs="Arial"/>
          <w:sz w:val="20"/>
          <w:szCs w:val="20"/>
          <w:lang w:val="pt-BR"/>
        </w:rPr>
        <w:t xml:space="preserve">apresentaram, em muitos casos, apodrecimento da base e/ou mumificação dentro dos saquinhos, não sendo, portanto, uma opção de tratamento. A relação entre os diâmetros (DL/DT) apresentou significância, com os frutos não ensacados diferindo dos demais. Segundo Pinheiro (2006), os frutos de goiaba ensacados com diâmetro entre 2,0 e 2,5 cm apresentaram qualidade física superior à de frutos ensacados com diâmetro </w:t>
      </w:r>
      <w:r w:rsidR="001F3BA5">
        <w:rPr>
          <w:rFonts w:ascii="Arial" w:eastAsia="Times New Roman" w:hAnsi="Arial" w:cs="Arial"/>
          <w:sz w:val="20"/>
          <w:szCs w:val="20"/>
          <w:lang w:val="pt-BR"/>
        </w:rPr>
        <w:t xml:space="preserve">entre 1,0 e 1,5 cm. </w:t>
      </w:r>
      <w:r w:rsidRPr="00816334">
        <w:rPr>
          <w:rFonts w:ascii="Arial" w:eastAsia="Times New Roman" w:hAnsi="Arial" w:cs="Arial"/>
          <w:sz w:val="20"/>
          <w:szCs w:val="20"/>
          <w:lang w:val="pt-BR"/>
        </w:rPr>
        <w:t xml:space="preserve">Na análise de componentes principais, 92,82% da variação presente nos dados originais foram explicadas pelos dois primeiros componentes principais. O primeiro CP explicou 82,35% da variância total. O segundo componente principal representou 10,47% da variância total. Os frutos dos tratamentos </w:t>
      </w:r>
      <w:proofErr w:type="gramStart"/>
      <w:r w:rsidRPr="00816334">
        <w:rPr>
          <w:rFonts w:ascii="Arial" w:eastAsia="Times New Roman" w:hAnsi="Arial" w:cs="Arial"/>
          <w:sz w:val="20"/>
          <w:szCs w:val="20"/>
          <w:lang w:val="pt-BR"/>
        </w:rPr>
        <w:t>2</w:t>
      </w:r>
      <w:proofErr w:type="gramEnd"/>
      <w:r w:rsidRPr="00816334">
        <w:rPr>
          <w:rFonts w:ascii="Arial" w:eastAsia="Times New Roman" w:hAnsi="Arial" w:cs="Arial"/>
          <w:sz w:val="20"/>
          <w:szCs w:val="20"/>
          <w:lang w:val="pt-BR"/>
        </w:rPr>
        <w:t xml:space="preserve"> e 3 representados à esquerda no gráfico </w:t>
      </w:r>
      <w:r w:rsidR="001F3BA5">
        <w:rPr>
          <w:rFonts w:ascii="Arial" w:eastAsia="Times New Roman" w:hAnsi="Arial" w:cs="Arial"/>
          <w:sz w:val="20"/>
          <w:szCs w:val="20"/>
          <w:lang w:val="pt-BR"/>
        </w:rPr>
        <w:t xml:space="preserve"> </w:t>
      </w:r>
      <w:r w:rsidRPr="00816334">
        <w:rPr>
          <w:rFonts w:ascii="Arial" w:eastAsia="Times New Roman" w:hAnsi="Arial" w:cs="Arial"/>
          <w:sz w:val="20"/>
          <w:szCs w:val="20"/>
          <w:lang w:val="pt-BR"/>
        </w:rPr>
        <w:t xml:space="preserve"> (Figura </w:t>
      </w:r>
      <w:r>
        <w:rPr>
          <w:rFonts w:ascii="Arial" w:eastAsia="Times New Roman" w:hAnsi="Arial" w:cs="Arial"/>
          <w:sz w:val="20"/>
          <w:szCs w:val="20"/>
          <w:lang w:val="pt-BR"/>
        </w:rPr>
        <w:t>1</w:t>
      </w:r>
      <w:r w:rsidRPr="00816334">
        <w:rPr>
          <w:rFonts w:ascii="Arial" w:eastAsia="Times New Roman" w:hAnsi="Arial" w:cs="Arial"/>
          <w:sz w:val="20"/>
          <w:szCs w:val="20"/>
          <w:lang w:val="pt-BR"/>
        </w:rPr>
        <w:t xml:space="preserve">) foram guiados pelos vetores </w:t>
      </w:r>
      <w:r w:rsidR="00A7110D">
        <w:rPr>
          <w:rFonts w:ascii="Arial" w:eastAsia="Times New Roman" w:hAnsi="Arial" w:cs="Arial"/>
          <w:sz w:val="20"/>
          <w:szCs w:val="20"/>
          <w:lang w:val="pt-BR"/>
        </w:rPr>
        <w:t xml:space="preserve">massa do fruto </w:t>
      </w:r>
      <w:r w:rsidRPr="00816334">
        <w:rPr>
          <w:rFonts w:ascii="Arial" w:eastAsia="Times New Roman" w:hAnsi="Arial" w:cs="Arial"/>
          <w:sz w:val="20"/>
          <w:szCs w:val="20"/>
          <w:lang w:val="pt-BR"/>
        </w:rPr>
        <w:t xml:space="preserve">(T2), relação entre diâmetros e largura da polpa (T3). Os frutos não ensacados (T0) e ensacados com diâmetro entre 1-1,5 cm (T1) apresentaram menor tamanho dos frutos. Os menores valores de peso e largura de polpa também foram observados na análise de variância, para esses mesmos tratamentos. Parâmetros mensuráveis tais como o diâmetro transversal do fruto são utilizados para garantir a homogeneidade do lote, em relação ao tamanho e qualidade dos frutos. </w:t>
      </w:r>
      <w:r w:rsidR="001F3BA5">
        <w:rPr>
          <w:rFonts w:ascii="Arial" w:eastAsia="Times New Roman" w:hAnsi="Arial" w:cs="Arial"/>
          <w:sz w:val="20"/>
          <w:szCs w:val="20"/>
          <w:lang w:val="pt-BR"/>
        </w:rPr>
        <w:t xml:space="preserve"> </w:t>
      </w:r>
      <w:r w:rsidR="008B6176" w:rsidRPr="008E5FC9">
        <w:rPr>
          <w:rFonts w:ascii="Arial" w:eastAsia="Times New Roman" w:hAnsi="Arial" w:cs="Arial"/>
          <w:sz w:val="20"/>
          <w:szCs w:val="20"/>
          <w:lang w:val="pt-BR"/>
        </w:rPr>
        <w:t xml:space="preserve">Apesar de não diferir, observou-se que os frutos ensacados com 2 – 2,5 cm de diâmetro devem ser recomendados, pela facilidade de ensacamento e pela qualidade inicial dos mesmos. Na ocasião do ensacamento para os frutos com 3 - 3,5 cm, muitos se encontravam </w:t>
      </w:r>
      <w:r w:rsidR="008B6176" w:rsidRPr="008E5FC9">
        <w:rPr>
          <w:rFonts w:ascii="Arial" w:eastAsia="Times New Roman" w:hAnsi="Arial" w:cs="Arial"/>
          <w:sz w:val="20"/>
          <w:szCs w:val="20"/>
          <w:lang w:val="pt-BR"/>
        </w:rPr>
        <w:lastRenderedPageBreak/>
        <w:t>com sintomas visíveis de ataque de percevejos, dificultando o trabalho de escolha dos frutos.</w:t>
      </w:r>
      <w:r>
        <w:rPr>
          <w:rFonts w:ascii="Arial" w:eastAsia="Times New Roman" w:hAnsi="Arial" w:cs="Arial"/>
          <w:sz w:val="20"/>
          <w:szCs w:val="20"/>
          <w:lang w:val="pt-BR"/>
        </w:rPr>
        <w:t xml:space="preserve"> </w:t>
      </w:r>
      <w:r>
        <w:rPr>
          <w:rFonts w:ascii="Arial" w:eastAsia="Arial" w:hAnsi="Arial" w:cs="Arial"/>
          <w:sz w:val="20"/>
          <w:szCs w:val="20"/>
          <w:lang w:val="pt-BR"/>
        </w:rPr>
        <w:t xml:space="preserve"> </w:t>
      </w:r>
    </w:p>
    <w:p w14:paraId="1459C380" w14:textId="13564DE2" w:rsidR="00844052" w:rsidRPr="005C354F" w:rsidRDefault="00BA6323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pt-BR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6A3B42C" wp14:editId="14D7D70C">
            <wp:extent cx="2615565" cy="1607492"/>
            <wp:effectExtent l="0" t="0" r="0" b="0"/>
            <wp:docPr id="3" name="Imagem 3" descr="D:\Meus Documentos\Downloads\WhatsApp Image 2026-03-03 at 13.40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eus Documentos\Downloads\WhatsApp Image 2026-03-03 at 13.40.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60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9F0D7" w14:textId="1FA1CAC5" w:rsidR="00844052" w:rsidRPr="005C354F" w:rsidRDefault="00AA5867" w:rsidP="008B6176">
      <w:pPr>
        <w:spacing w:before="0" w:after="0" w:line="240" w:lineRule="auto"/>
        <w:rPr>
          <w:rFonts w:ascii="Arial" w:eastAsia="Arial" w:hAnsi="Arial" w:cs="Arial"/>
          <w:sz w:val="18"/>
          <w:szCs w:val="18"/>
          <w:lang w:val="pt-BR"/>
        </w:rPr>
      </w:pPr>
      <w:r w:rsidRPr="005C354F">
        <w:rPr>
          <w:rFonts w:ascii="Arial" w:eastAsia="Arial" w:hAnsi="Arial" w:cs="Arial"/>
          <w:sz w:val="18"/>
          <w:szCs w:val="18"/>
          <w:lang w:val="pt-BR"/>
        </w:rPr>
        <w:t>Figura 1:</w:t>
      </w:r>
      <w:r>
        <w:rPr>
          <w:rFonts w:ascii="Arial" w:eastAsia="Arial" w:hAnsi="Arial" w:cs="Arial"/>
          <w:sz w:val="18"/>
          <w:szCs w:val="18"/>
          <w:lang w:val="pt-BR"/>
        </w:rPr>
        <w:t xml:space="preserve"> </w:t>
      </w:r>
      <w:bookmarkStart w:id="0" w:name="_GoBack"/>
      <w:bookmarkEnd w:id="0"/>
      <w:r w:rsidR="00A7110D">
        <w:rPr>
          <w:rFonts w:ascii="Arial" w:eastAsia="Arial" w:hAnsi="Arial" w:cs="Arial"/>
          <w:sz w:val="18"/>
          <w:szCs w:val="18"/>
          <w:lang w:val="pt-BR"/>
        </w:rPr>
        <w:t>C</w:t>
      </w:r>
      <w:r w:rsidRPr="008E5FC9">
        <w:rPr>
          <w:rFonts w:ascii="Arial" w:eastAsia="Arial" w:hAnsi="Arial" w:cs="Arial"/>
          <w:sz w:val="18"/>
          <w:szCs w:val="18"/>
          <w:lang w:val="pt-BR"/>
        </w:rPr>
        <w:t>aracterísticas físicas de frutos de goiaba, em função da época de ensacamento dos frutos.</w:t>
      </w:r>
    </w:p>
    <w:p w14:paraId="059967F0" w14:textId="77777777" w:rsidR="00844052" w:rsidRPr="005C354F" w:rsidRDefault="001F3BA5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  <w:lang w:val="pt-BR"/>
        </w:rPr>
      </w:pPr>
      <w:r>
        <w:rPr>
          <w:rFonts w:ascii="Arial" w:eastAsia="Arial" w:hAnsi="Arial" w:cs="Arial"/>
          <w:sz w:val="26"/>
          <w:szCs w:val="26"/>
          <w:lang w:val="pt-BR"/>
        </w:rPr>
        <w:t xml:space="preserve">       </w:t>
      </w:r>
    </w:p>
    <w:p w14:paraId="6935112A" w14:textId="77777777" w:rsidR="00844052" w:rsidRPr="005C354F" w:rsidRDefault="0075087C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  <w:lang w:val="pt-BR"/>
        </w:rPr>
      </w:pPr>
      <w:r w:rsidRPr="005C354F">
        <w:rPr>
          <w:rFonts w:ascii="Arial" w:eastAsia="Arial" w:hAnsi="Arial" w:cs="Arial"/>
          <w:b/>
          <w:bCs/>
          <w:sz w:val="26"/>
          <w:szCs w:val="26"/>
          <w:lang w:val="pt-BR"/>
        </w:rPr>
        <w:t>Conclusões</w:t>
      </w:r>
    </w:p>
    <w:p w14:paraId="33E07431" w14:textId="77777777" w:rsidR="00844052" w:rsidRPr="005C354F" w:rsidRDefault="008B6176" w:rsidP="008B6176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pt-BR"/>
        </w:rPr>
      </w:pPr>
      <w:r w:rsidRPr="008E5FC9">
        <w:rPr>
          <w:rFonts w:ascii="Arial" w:eastAsia="Times New Roman" w:hAnsi="Arial" w:cs="Arial"/>
          <w:sz w:val="20"/>
          <w:szCs w:val="20"/>
          <w:lang w:val="pt-BR"/>
        </w:rPr>
        <w:t>O ensacamento dos frutos foi eficiente na prevenção do ataque de mosca-das-frutas, gorgulhos e percevejos, devendo ser recomendados para frutos ensacados com 2 – 2,5 cm de diâmetro. A análise multivariada foi eficiente na discriminação de épocas de ensacamento dos frutos, e sugerem que frutos ensacados com 2 – 2,5 cm de diâmetro apresentam maior peso.</w:t>
      </w:r>
      <w:r w:rsidR="0075087C" w:rsidRPr="008B6176">
        <w:rPr>
          <w:rFonts w:ascii="Arial" w:eastAsia="Arial" w:hAnsi="Arial" w:cs="Arial"/>
          <w:sz w:val="20"/>
          <w:szCs w:val="20"/>
          <w:lang w:val="pt-BR"/>
        </w:rPr>
        <w:t xml:space="preserve"> </w:t>
      </w:r>
    </w:p>
    <w:p w14:paraId="44D63FE9" w14:textId="77777777" w:rsidR="008B6176" w:rsidRPr="00113759" w:rsidRDefault="0075087C" w:rsidP="001F3BA5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val="pt-BR"/>
        </w:rPr>
      </w:pPr>
      <w:r w:rsidRPr="005C354F">
        <w:rPr>
          <w:rFonts w:ascii="Arial" w:eastAsia="Arial" w:hAnsi="Arial" w:cs="Arial"/>
          <w:b/>
          <w:bCs/>
          <w:sz w:val="26"/>
          <w:szCs w:val="26"/>
          <w:lang w:val="pt-BR"/>
        </w:rPr>
        <w:t>Referências</w:t>
      </w:r>
      <w:r w:rsidR="001F3BA5">
        <w:rPr>
          <w:rFonts w:ascii="Arial" w:eastAsia="Times New Roman" w:hAnsi="Arial" w:cs="Arial"/>
          <w:sz w:val="20"/>
          <w:szCs w:val="20"/>
          <w:lang w:val="pt-BR"/>
        </w:rPr>
        <w:t xml:space="preserve">   </w:t>
      </w:r>
    </w:p>
    <w:p w14:paraId="6A5EABC1" w14:textId="77777777" w:rsidR="008B6176" w:rsidRPr="00113759" w:rsidRDefault="008B6176" w:rsidP="008B617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pt-BR"/>
        </w:rPr>
      </w:pPr>
      <w:r w:rsidRPr="00113759">
        <w:rPr>
          <w:rFonts w:ascii="Arial" w:eastAsia="Times New Roman" w:hAnsi="Arial" w:cs="Arial"/>
          <w:sz w:val="20"/>
          <w:szCs w:val="20"/>
          <w:lang w:val="pt-BR"/>
        </w:rPr>
        <w:t>PINHEIRO, S.S.C. Qualidade de goiabas ensacadas e manejadas com diferentes produtos fitossanitários, sob manejo orgânico. Tese (Doutorado em Agronomia), Universidade Federal de Viçosa, Viçosa-MG. 2006, 106f.</w:t>
      </w:r>
    </w:p>
    <w:p w14:paraId="4CEFEA59" w14:textId="77777777" w:rsidR="00844052" w:rsidRPr="005C354F" w:rsidRDefault="008B6176" w:rsidP="008B6176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pt-BR"/>
        </w:rPr>
      </w:pPr>
      <w:r w:rsidRPr="00113759">
        <w:rPr>
          <w:rFonts w:ascii="Arial" w:eastAsia="Times New Roman" w:hAnsi="Arial" w:cs="Arial"/>
          <w:sz w:val="20"/>
          <w:szCs w:val="20"/>
          <w:lang w:val="pt-BR"/>
        </w:rPr>
        <w:t>TEIXEIRA, R.; AMARANTE, C.V.T. do; BOFF, M.I.C.; RIBEIRO, L. G.. Controle de pragas e doenças, maturação e qualidade de maçãs 'imperial gala' submetidas ao ensacamento. Revista Brasileira de Fruticultura, v.33, n.2, p.394-401, 2011.</w:t>
      </w:r>
    </w:p>
    <w:sectPr w:rsidR="00844052" w:rsidRPr="005C354F">
      <w:type w:val="continuous"/>
      <w:pgSz w:w="11906" w:h="16838"/>
      <w:pgMar w:top="1871" w:right="1474" w:bottom="2381" w:left="1474" w:header="709" w:footer="709" w:gutter="0"/>
      <w:cols w:num="2" w:space="720" w:equalWidth="0">
        <w:col w:w="4251" w:space="454"/>
        <w:col w:w="4251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A0112" w14:textId="77777777" w:rsidR="00412979" w:rsidRDefault="00412979">
      <w:pPr>
        <w:spacing w:before="0" w:after="0" w:line="240" w:lineRule="auto"/>
      </w:pPr>
      <w:r>
        <w:separator/>
      </w:r>
    </w:p>
  </w:endnote>
  <w:endnote w:type="continuationSeparator" w:id="0">
    <w:p w14:paraId="6C4C7B24" w14:textId="77777777" w:rsidR="00412979" w:rsidRDefault="0041297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9E23168-CBD6-4C8B-9E32-32D9E9853558}"/>
    <w:embedBold r:id="rId2" w:fontKey="{98585FA0-AAE0-4CDC-85F8-ED97EACAD4D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AE3508B-61F4-4864-8E70-5B277BDE555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1485EF7-9FAC-44A8-914E-E96D07CF577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8A7CFE5C-3DDF-4394-80F7-A84D17B4111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19EE64" w14:textId="77777777" w:rsidR="00412979" w:rsidRDefault="00412979">
      <w:pPr>
        <w:spacing w:before="0" w:after="0" w:line="240" w:lineRule="auto"/>
      </w:pPr>
      <w:r>
        <w:separator/>
      </w:r>
    </w:p>
  </w:footnote>
  <w:footnote w:type="continuationSeparator" w:id="0">
    <w:p w14:paraId="1FF194B1" w14:textId="77777777" w:rsidR="00412979" w:rsidRDefault="0041297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CD75C" w14:textId="77777777" w:rsidR="00844052" w:rsidRDefault="007508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inline distT="114300" distB="114300" distL="114300" distR="114300" wp14:anchorId="780BEBA9" wp14:editId="7C5CB092">
          <wp:extent cx="1316673" cy="1316673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6673" cy="13166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52"/>
    <w:rsid w:val="001F3BA5"/>
    <w:rsid w:val="00280826"/>
    <w:rsid w:val="00412979"/>
    <w:rsid w:val="00471487"/>
    <w:rsid w:val="005C3506"/>
    <w:rsid w:val="005C354F"/>
    <w:rsid w:val="00737B93"/>
    <w:rsid w:val="0075087C"/>
    <w:rsid w:val="00844052"/>
    <w:rsid w:val="008B6176"/>
    <w:rsid w:val="00A7110D"/>
    <w:rsid w:val="00A8186B"/>
    <w:rsid w:val="00AA28DA"/>
    <w:rsid w:val="00AA5867"/>
    <w:rsid w:val="00BA6323"/>
    <w:rsid w:val="00CE101E"/>
    <w:rsid w:val="00DE6BA2"/>
    <w:rsid w:val="00EE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7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pt-BR"/>
    </w:r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pt-BR"/>
    </w:r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54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5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pt-BR"/>
    </w:r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pt-BR"/>
    </w:r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54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5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qxLvr5MWdIPXdJFgQGmco1CrXA==">CgMxLjA4AHIhMVNjVDlsQUdWZ1NmQ1Z1NGJUa1pFYXNteVZBRndRSEEx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49BA569-6113-4CA1-8DF7-EB609135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5</cp:revision>
  <dcterms:created xsi:type="dcterms:W3CDTF">2026-03-03T11:51:00Z</dcterms:created>
  <dcterms:modified xsi:type="dcterms:W3CDTF">2026-03-03T16:47:00Z</dcterms:modified>
</cp:coreProperties>
</file>