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0A4B2373" w:rsidR="0027518C" w:rsidRDefault="0050526E">
          <w:r>
            <w:rPr>
              <w:noProof/>
              <w:lang w:eastAsia="pt-BR"/>
            </w:rPr>
            <mc:AlternateContent>
              <mc:Choice Requires="wps">
                <w:drawing>
                  <wp:anchor distT="0" distB="0" distL="114300" distR="114300" simplePos="0" relativeHeight="251665408" behindDoc="0" locked="0" layoutInCell="1" allowOverlap="1" wp14:anchorId="784170F8" wp14:editId="79988459">
                    <wp:simplePos x="0" y="0"/>
                    <wp:positionH relativeFrom="column">
                      <wp:posOffset>523477</wp:posOffset>
                    </wp:positionH>
                    <wp:positionV relativeFrom="paragraph">
                      <wp:posOffset>6852389</wp:posOffset>
                    </wp:positionV>
                    <wp:extent cx="914400"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w="6350">
                              <a:noFill/>
                            </a:ln>
                          </wps:spPr>
                          <wps:txbx>
                            <w:txbxContent>
                              <w:p w14:paraId="7AC046C5" w14:textId="02EDB2B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50526E">
                                  <w:rPr>
                                    <w:rFonts w:ascii="Antonio" w:hAnsi="Antonio"/>
                                    <w:color w:val="F8EDD1"/>
                                    <w:sz w:val="44"/>
                                    <w:szCs w:val="44"/>
                                  </w:rPr>
                                  <w:t>:1</w:t>
                                </w:r>
                                <w:r w:rsidRPr="00733AFB">
                                  <w:rPr>
                                    <w:rFonts w:ascii="Antonio" w:hAnsi="Antonio"/>
                                    <w:color w:val="F8EDD1"/>
                                    <w:sz w:val="44"/>
                                    <w:szCs w:val="44"/>
                                  </w:rPr>
                                  <w:t xml:space="preserve"> </w:t>
                                </w:r>
                                <w:r w:rsidR="0050526E">
                                  <w:rPr>
                                    <w:rFonts w:ascii="Antonio" w:hAnsi="Antonio"/>
                                    <w:color w:val="F8EDD1"/>
                                    <w:sz w:val="44"/>
                                    <w:szCs w:val="44"/>
                                  </w:rPr>
                                  <w:t>:</w:t>
                                </w:r>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84170F8" id="_x0000_t202" coordsize="21600,21600" o:spt="202" path="m,l,21600r21600,l21600,xe">
                    <v:stroke joinstyle="miter"/>
                    <v:path gradientshapeok="t" o:connecttype="rect"/>
                  </v:shapetype>
                  <v:shape id="Caixa de Texto 4" o:spid="_x0000_s1026" type="#_x0000_t202" style="position:absolute;margin-left:41.2pt;margin-top:539.55pt;width:1in;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" filled="f" stroked="f" strokeweight=".5pt">
                    <v:textbox>
                      <w:txbxContent>
                        <w:p w14:paraId="7AC046C5" w14:textId="02EDB2B1"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50526E">
                            <w:rPr>
                              <w:rFonts w:ascii="Antonio" w:hAnsi="Antonio"/>
                              <w:color w:val="F8EDD1"/>
                              <w:sz w:val="44"/>
                              <w:szCs w:val="44"/>
                            </w:rPr>
                            <w:t>:1</w:t>
                          </w:r>
                          <w:r w:rsidRPr="00733AFB">
                            <w:rPr>
                              <w:rFonts w:ascii="Antonio" w:hAnsi="Antonio"/>
                              <w:color w:val="F8EDD1"/>
                              <w:sz w:val="44"/>
                              <w:szCs w:val="44"/>
                            </w:rPr>
                            <w:t xml:space="preserve"> </w:t>
                          </w:r>
                          <w:r w:rsidR="0050526E">
                            <w:rPr>
                              <w:rFonts w:ascii="Antonio" w:hAnsi="Antonio"/>
                              <w:color w:val="F8EDD1"/>
                              <w:sz w:val="44"/>
                              <w:szCs w:val="44"/>
                            </w:rPr>
                            <w:t>:</w:t>
                          </w:r>
                          <w:r w:rsidRPr="00733AFB">
                            <w:rPr>
                              <w:rFonts w:ascii="Antonio" w:hAnsi="Antonio"/>
                              <w:color w:val="F8EDD1"/>
                              <w:sz w:val="44"/>
                              <w:szCs w:val="44"/>
                            </w:rPr>
                            <w:t>01:</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DCD489"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rPr>
              <w:noProof/>
              <w:lang w:eastAsia="pt-BR"/>
            </w:rPr>
            <mc:AlternateContent>
              <mc:Choice Requires="wps">
                <w:drawing>
                  <wp:anchor distT="0" distB="0" distL="114300" distR="114300" simplePos="0" relativeHeight="251664384" behindDoc="0" locked="0" layoutInCell="1" allowOverlap="1" wp14:anchorId="5E65D060" wp14:editId="6A68A415">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2A9C3CC8" w:rsidR="0053021A" w:rsidRPr="00733AFB" w:rsidRDefault="000F370D" w:rsidP="0053021A">
                                <w:pPr>
                                  <w:rPr>
                                    <w:rFonts w:ascii="Antonio" w:hAnsi="Antonio"/>
                                    <w:color w:val="1A9B3C"/>
                                    <w:sz w:val="36"/>
                                    <w:szCs w:val="36"/>
                                  </w:rPr>
                                </w:pPr>
                                <w:r>
                                  <w:rPr>
                                    <w:rFonts w:ascii="Antonio" w:hAnsi="Antonio"/>
                                    <w:color w:val="1A9B3C"/>
                                    <w:sz w:val="36"/>
                                    <w:szCs w:val="36"/>
                                  </w:rPr>
                                  <w:t xml:space="preserve">ESTADO, POLÍTICA PÚBLICA E SISTEMAS ALIMENTARES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65D060" id="Caixa de Texto 2" o:spid="_x0000_s1027"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37GQ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" filled="f" stroked="f" strokeweight=".5pt">
                    <v:textbox>
                      <w:txbxContent>
                        <w:p w14:paraId="638EDCFA" w14:textId="2A9C3CC8" w:rsidR="0053021A" w:rsidRPr="00733AFB" w:rsidRDefault="000F370D" w:rsidP="0053021A">
                          <w:pPr>
                            <w:rPr>
                              <w:rFonts w:ascii="Antonio" w:hAnsi="Antonio"/>
                              <w:color w:val="1A9B3C"/>
                              <w:sz w:val="36"/>
                              <w:szCs w:val="36"/>
                            </w:rPr>
                          </w:pPr>
                          <w:r>
                            <w:rPr>
                              <w:rFonts w:ascii="Antonio" w:hAnsi="Antonio"/>
                              <w:color w:val="1A9B3C"/>
                              <w:sz w:val="36"/>
                              <w:szCs w:val="36"/>
                            </w:rPr>
                            <w:t xml:space="preserve">ESTADO, POLÍTICA PÚBLICA E SISTEMAS ALIMENTARES </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0D249CF3" w14:textId="683D6816" w:rsidR="00216EFF" w:rsidRDefault="000F370D" w:rsidP="00B14E2C">
      <w:pPr>
        <w:jc w:val="center"/>
        <w:rPr>
          <w:b/>
          <w:bCs/>
        </w:rPr>
      </w:pPr>
      <w:r w:rsidRPr="000F370D">
        <w:rPr>
          <w:b/>
          <w:bCs/>
        </w:rPr>
        <w:t xml:space="preserve">A construção de políticas sanitárias subnacionais no Brasil: </w:t>
      </w:r>
      <w:proofErr w:type="spellStart"/>
      <w:r w:rsidRPr="000F370D">
        <w:rPr>
          <w:b/>
          <w:bCs/>
        </w:rPr>
        <w:t>SUSAFs</w:t>
      </w:r>
      <w:proofErr w:type="spellEnd"/>
      <w:r w:rsidRPr="000F370D">
        <w:rPr>
          <w:b/>
          <w:bCs/>
        </w:rPr>
        <w:t xml:space="preserve"> sob a perspectiva do Isomorfismo Institucional</w:t>
      </w:r>
    </w:p>
    <w:p w14:paraId="16CEF34E" w14:textId="77777777" w:rsidR="00B14E2C" w:rsidRPr="00B14E2C" w:rsidRDefault="00B14E2C" w:rsidP="00B14E2C">
      <w:pPr>
        <w:jc w:val="center"/>
        <w:rPr>
          <w:b/>
          <w:bCs/>
        </w:rPr>
      </w:pPr>
    </w:p>
    <w:p w14:paraId="50A5D750" w14:textId="459B4F8C" w:rsidR="00216EFF" w:rsidRPr="00216EFF" w:rsidRDefault="000F370D" w:rsidP="00B14E2C">
      <w:pPr>
        <w:ind w:hanging="2"/>
        <w:jc w:val="center"/>
        <w:rPr>
          <w:rFonts w:eastAsia="Arial" w:cs="Arial"/>
          <w:vertAlign w:val="superscript"/>
        </w:rPr>
      </w:pPr>
      <w:r>
        <w:rPr>
          <w:rFonts w:eastAsia="Arial" w:cs="Arial"/>
        </w:rPr>
        <w:t>Elizabeth Lima Pereira</w:t>
      </w:r>
      <w:r w:rsidR="00216EFF" w:rsidRPr="00216EFF">
        <w:rPr>
          <w:rStyle w:val="Refdenotaderodap"/>
          <w:rFonts w:eastAsia="Arial" w:cs="Arial"/>
        </w:rPr>
        <w:footnoteReference w:id="1"/>
      </w:r>
    </w:p>
    <w:p w14:paraId="05420B62" w14:textId="30C9853F" w:rsidR="00216EFF" w:rsidRDefault="000F370D" w:rsidP="00B14E2C">
      <w:pPr>
        <w:ind w:hanging="2"/>
        <w:jc w:val="center"/>
        <w:rPr>
          <w:rFonts w:eastAsia="Arial" w:cs="Arial"/>
        </w:rPr>
      </w:pPr>
      <w:r>
        <w:rPr>
          <w:rFonts w:eastAsia="Arial" w:cs="Arial"/>
        </w:rPr>
        <w:t>Fabiana Thomé da Cruz</w:t>
      </w:r>
      <w:r w:rsidR="00216EFF" w:rsidRPr="00216EFF">
        <w:rPr>
          <w:rStyle w:val="Refdenotaderodap"/>
          <w:rFonts w:eastAsia="Arial" w:cs="Arial"/>
        </w:rPr>
        <w:footnoteReference w:id="2"/>
      </w:r>
    </w:p>
    <w:p w14:paraId="1A10A913" w14:textId="57660D2F" w:rsidR="00216EFF" w:rsidRDefault="000F370D" w:rsidP="00B14E2C">
      <w:pPr>
        <w:ind w:hanging="2"/>
        <w:jc w:val="center"/>
        <w:rPr>
          <w:rFonts w:eastAsia="Arial" w:cs="Arial"/>
        </w:rPr>
      </w:pPr>
      <w:proofErr w:type="spellStart"/>
      <w:proofErr w:type="gramStart"/>
      <w:r>
        <w:rPr>
          <w:rFonts w:eastAsia="Arial" w:cs="Arial"/>
        </w:rPr>
        <w:t>Catia</w:t>
      </w:r>
      <w:proofErr w:type="spellEnd"/>
      <w:r>
        <w:rPr>
          <w:rFonts w:eastAsia="Arial" w:cs="Arial"/>
        </w:rPr>
        <w:t xml:space="preserve"> Grisa</w:t>
      </w:r>
      <w:proofErr w:type="gramEnd"/>
      <w:r>
        <w:rPr>
          <w:rFonts w:eastAsia="Arial" w:cs="Arial"/>
        </w:rPr>
        <w:t>³</w:t>
      </w:r>
    </w:p>
    <w:p w14:paraId="0114AFD3" w14:textId="77777777" w:rsidR="00B14E2C" w:rsidRPr="00B14E2C" w:rsidRDefault="00B14E2C" w:rsidP="00B14E2C">
      <w:pPr>
        <w:ind w:hanging="2"/>
        <w:jc w:val="center"/>
        <w:rPr>
          <w:rFonts w:eastAsia="Arial" w:cs="Arial"/>
        </w:rPr>
      </w:pPr>
    </w:p>
    <w:p w14:paraId="0C32F20E" w14:textId="7F250ED2" w:rsidR="00216EFF" w:rsidRPr="00216EFF" w:rsidRDefault="00216EFF" w:rsidP="00B14E2C">
      <w:pPr>
        <w:ind w:hanging="2"/>
        <w:rPr>
          <w:rFonts w:eastAsia="Arial" w:cs="Arial"/>
        </w:rPr>
      </w:pPr>
      <w:r w:rsidRPr="00216EFF">
        <w:rPr>
          <w:rFonts w:eastAsia="Arial" w:cs="Arial"/>
          <w:b/>
        </w:rPr>
        <w:t xml:space="preserve">GT </w:t>
      </w:r>
      <w:r w:rsidR="00D1715C">
        <w:rPr>
          <w:rFonts w:eastAsia="Arial" w:cs="Arial"/>
          <w:b/>
        </w:rPr>
        <w:t>1</w:t>
      </w:r>
      <w:r w:rsidRPr="00216EFF">
        <w:rPr>
          <w:rFonts w:eastAsia="Arial" w:cs="Arial"/>
          <w:b/>
        </w:rPr>
        <w:t>:</w:t>
      </w:r>
      <w:r w:rsidRPr="00216EFF">
        <w:rPr>
          <w:rFonts w:eastAsia="Arial" w:cs="Arial"/>
        </w:rPr>
        <w:t xml:space="preserve"> </w:t>
      </w:r>
      <w:r w:rsidR="00D1715C">
        <w:rPr>
          <w:rFonts w:ascii="Trebuchet MS" w:hAnsi="Trebuchet MS"/>
          <w:color w:val="000000"/>
        </w:rPr>
        <w:t>ESTADO, POLÍTICAS PÚBLICAS E SISTEMAS ALIMENTARES.</w:t>
      </w:r>
    </w:p>
    <w:p w14:paraId="197CC6C0" w14:textId="77777777" w:rsidR="00216EFF" w:rsidRPr="00216EFF" w:rsidRDefault="00216EFF" w:rsidP="00B14E2C">
      <w:pPr>
        <w:tabs>
          <w:tab w:val="left" w:pos="3544"/>
        </w:tabs>
        <w:ind w:hanging="2"/>
        <w:jc w:val="center"/>
        <w:rPr>
          <w:rFonts w:eastAsia="Arial" w:cs="Arial"/>
          <w:color w:val="FF0000"/>
        </w:rPr>
      </w:pPr>
    </w:p>
    <w:p w14:paraId="7C618C51" w14:textId="77777777" w:rsidR="00216EFF" w:rsidRPr="00216EFF" w:rsidRDefault="00216EFF" w:rsidP="00B14E2C">
      <w:pPr>
        <w:ind w:hanging="2"/>
        <w:jc w:val="center"/>
        <w:rPr>
          <w:rFonts w:eastAsia="Arial" w:cs="Arial"/>
          <w:b/>
        </w:rPr>
      </w:pPr>
      <w:r w:rsidRPr="00216EFF">
        <w:rPr>
          <w:rFonts w:eastAsia="Arial" w:cs="Arial"/>
          <w:b/>
        </w:rPr>
        <w:t xml:space="preserve">RESUMO </w:t>
      </w:r>
    </w:p>
    <w:p w14:paraId="164BABD5" w14:textId="77777777" w:rsidR="00D1715C" w:rsidRDefault="00D1715C" w:rsidP="00B14E2C">
      <w:pPr>
        <w:pStyle w:val="NormalWeb"/>
        <w:spacing w:before="0" w:beforeAutospacing="0" w:after="0" w:afterAutospacing="0"/>
        <w:ind w:left="-2" w:hanging="2"/>
        <w:jc w:val="both"/>
      </w:pPr>
      <w:r>
        <w:rPr>
          <w:rFonts w:ascii="Trebuchet MS" w:hAnsi="Trebuchet MS"/>
          <w:color w:val="000000"/>
        </w:rPr>
        <w:t xml:space="preserve">A regulamentação sanitária de produtos de origem animal no Brasil foi historicamente orientada por normas voltadas às grandes indústrias, limitando a inclusão da agricultura familiar nos mercados formais. A criação do Sistema Unificado de Atenção à Sanidade Agropecuária (SUASA) buscou uniformizar os serviços de inspeção e permitir a equivalência entre as instâncias, mas diante das dificuldades dos estados em aderirem ao sistema, o estado do Rio Grande do Sul instituiu o Sistema Unificado Estadual de Sanidade Agroindustrial Familiar, Artesanal e de Pequeno Porte (SUSAF-RS), posteriormente replicado por outros estados. Este artigo analisa comparativamente os </w:t>
      </w:r>
      <w:proofErr w:type="spellStart"/>
      <w:r>
        <w:rPr>
          <w:rFonts w:ascii="Trebuchet MS" w:hAnsi="Trebuchet MS"/>
          <w:color w:val="000000"/>
        </w:rPr>
        <w:t>SUSAFs</w:t>
      </w:r>
      <w:proofErr w:type="spellEnd"/>
      <w:r>
        <w:rPr>
          <w:rFonts w:ascii="Trebuchet MS" w:hAnsi="Trebuchet MS"/>
          <w:color w:val="000000"/>
        </w:rPr>
        <w:t xml:space="preserve"> estaduais à luz do isomorfismo institucional — coercitivo, mimético e normativo. Para responder a esse objetivo, foi feita pesquisa documental, que identificou diferentes graus de isomorfismo em relação ao modelo gaúcho. Os resultados evidenciam que a combinação entre pressões normativas federais e estratégias locais de legitimação impulsionou a difusão desses sistemas, refletindo tanto adaptações quanto limitações na institucionalização da sanidade agroindustrial da agricultura familiar e da produção artesanal.</w:t>
      </w:r>
    </w:p>
    <w:p w14:paraId="700BCC77" w14:textId="77777777" w:rsidR="00D1715C" w:rsidRDefault="00D1715C" w:rsidP="00D1715C">
      <w:pPr>
        <w:pStyle w:val="NormalWeb"/>
        <w:spacing w:before="0" w:beforeAutospacing="0" w:after="0" w:afterAutospacing="0"/>
        <w:ind w:left="-2" w:hanging="2"/>
        <w:jc w:val="both"/>
      </w:pPr>
      <w:r w:rsidRPr="00512181">
        <w:rPr>
          <w:rFonts w:ascii="Trebuchet MS" w:hAnsi="Trebuchet MS"/>
          <w:color w:val="000000"/>
        </w:rPr>
        <w:t>Palavras-chave:</w:t>
      </w:r>
      <w:r>
        <w:rPr>
          <w:rFonts w:ascii="Trebuchet MS" w:hAnsi="Trebuchet MS"/>
          <w:color w:val="000000"/>
        </w:rPr>
        <w:t xml:space="preserve"> agricultura familiar, defesa agropecuária, formalização, produção artesanal, normas sanitárias.</w:t>
      </w: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512181">
      <w:pPr>
        <w:spacing w:line="360" w:lineRule="auto"/>
        <w:jc w:val="both"/>
        <w:rPr>
          <w:rFonts w:eastAsia="Arial" w:cs="Arial"/>
          <w:b/>
        </w:rPr>
      </w:pPr>
      <w:r w:rsidRPr="00216EFF">
        <w:rPr>
          <w:rFonts w:eastAsia="Arial" w:cs="Arial"/>
          <w:b/>
        </w:rPr>
        <w:t>INTRODUÇÃO</w:t>
      </w:r>
    </w:p>
    <w:p w14:paraId="3CADF354" w14:textId="77777777" w:rsidR="00CD1F0F" w:rsidRPr="00CD1F0F" w:rsidRDefault="00CD1F0F" w:rsidP="00CD1F0F">
      <w:pPr>
        <w:pStyle w:val="NormalWeb"/>
        <w:spacing w:before="0" w:beforeAutospacing="0" w:after="0" w:afterAutospacing="0" w:line="360" w:lineRule="auto"/>
        <w:jc w:val="both"/>
        <w:rPr>
          <w:rFonts w:asciiTheme="minorHAnsi" w:hAnsiTheme="minorHAnsi"/>
        </w:rPr>
      </w:pPr>
      <w:r w:rsidRPr="00CD1F0F">
        <w:rPr>
          <w:rFonts w:asciiTheme="minorHAnsi" w:hAnsiTheme="minorHAnsi"/>
          <w:color w:val="000000"/>
        </w:rPr>
        <w:t xml:space="preserve">No Brasil, normas sanitárias remontam ao período imperial, com avanços nas primeiras décadas do século XX. Transformações significativas ocorreram apenas com a Lei nº 1.283/1950, que instituiu a obrigatoriedade da fiscalização prévia dos produtos de origem animal (POA). Em 1952, o Decreto nº 30.691 regulamentou essa lei e instituiu o primeiro Regulamento da Inspeção Industrial e Sanitária de Produtos </w:t>
      </w:r>
      <w:r w:rsidRPr="00CD1F0F">
        <w:rPr>
          <w:rFonts w:asciiTheme="minorHAnsi" w:hAnsiTheme="minorHAnsi"/>
          <w:color w:val="000000"/>
        </w:rPr>
        <w:lastRenderedPageBreak/>
        <w:t>de Origem Animal (RIISPOA), conferindo maior complexidade ao código sanitário nacional (Brasil, 1950; 1952). Essas normas foram concebidas com foco em grandes indústrias e serviram como instrumentos para demonstrar ao mercado externo a efetividade no controle sanitário do país, visando às exportações. </w:t>
      </w:r>
    </w:p>
    <w:p w14:paraId="785CB5EE" w14:textId="77777777" w:rsidR="00CD1F0F" w:rsidRPr="00CD1F0F" w:rsidRDefault="00CD1F0F" w:rsidP="00CD1F0F">
      <w:pPr>
        <w:pStyle w:val="NormalWeb"/>
        <w:spacing w:before="0" w:beforeAutospacing="0" w:after="0" w:afterAutospacing="0" w:line="360" w:lineRule="auto"/>
        <w:jc w:val="both"/>
        <w:rPr>
          <w:rFonts w:asciiTheme="minorHAnsi" w:hAnsiTheme="minorHAnsi"/>
        </w:rPr>
      </w:pPr>
      <w:r w:rsidRPr="00CD1F0F">
        <w:rPr>
          <w:rFonts w:asciiTheme="minorHAnsi" w:hAnsiTheme="minorHAnsi"/>
          <w:color w:val="000000"/>
        </w:rPr>
        <w:t>Contudo, essas normas eram inalcançáveis para as agroindústrias familiares, o que gerou um cenário de exclusão da produção familiar de POA dos mercados formais (</w:t>
      </w:r>
      <w:proofErr w:type="spellStart"/>
      <w:r w:rsidRPr="00CD1F0F">
        <w:rPr>
          <w:rFonts w:asciiTheme="minorHAnsi" w:hAnsiTheme="minorHAnsi"/>
          <w:color w:val="000000"/>
        </w:rPr>
        <w:t>Prezotto</w:t>
      </w:r>
      <w:proofErr w:type="spellEnd"/>
      <w:r w:rsidRPr="00CD1F0F">
        <w:rPr>
          <w:rFonts w:asciiTheme="minorHAnsi" w:hAnsiTheme="minorHAnsi"/>
          <w:color w:val="000000"/>
        </w:rPr>
        <w:t>, 2005). A Constituição Federal de 1988 abriu espaço para um arranjo institucional mais flexível e aberto a políticas diferenciadas, porém as normas sanitárias continuavam impactando a inclusão da produção familiar (Brasil, 1988). No final da década de 1990, alterações na Lei agrícola (Lei n° 8.171/1991) mostraram-se promissoras em ampliar a inclusão com alterações nos dispositivos a Defesa Agropecuária, propondo a unificação dos serviços de inspeção sanitária no Sistema Unificado de Atenção à Sanidade Agropecuária (SUASA) (Brasil, 1991). A proposta, articulada ao Sistema Único de Saúde (SUS) devido às interfaces com saúde pública, previa promover saúde e organizar ações de vigilância e defesa sanitária ampliando a comercialização de estabelecimentos inspecionados - na esfera estadual e municipal - para todo o território nacional. </w:t>
      </w:r>
    </w:p>
    <w:p w14:paraId="17BC5231" w14:textId="77777777" w:rsidR="00CD1F0F" w:rsidRPr="00CD1F0F" w:rsidRDefault="00CD1F0F" w:rsidP="00CD1F0F">
      <w:pPr>
        <w:pStyle w:val="NormalWeb"/>
        <w:spacing w:before="0" w:beforeAutospacing="0" w:after="0" w:afterAutospacing="0" w:line="360" w:lineRule="auto"/>
        <w:jc w:val="both"/>
        <w:rPr>
          <w:rFonts w:asciiTheme="minorHAnsi" w:hAnsiTheme="minorHAnsi"/>
        </w:rPr>
      </w:pPr>
      <w:r w:rsidRPr="00CD1F0F">
        <w:rPr>
          <w:rFonts w:asciiTheme="minorHAnsi" w:hAnsiTheme="minorHAnsi"/>
          <w:color w:val="000000"/>
        </w:rPr>
        <w:t xml:space="preserve">No entanto, o sistema foi regulamentado apenas em 2006 (Decreto nº 5.741) (Brasil, 2006a). O decreto avançou ao detalhar subsistemas para grandes frentes de atuação, dos quais, cabe enfatizar a criação do Sistema Brasileiro de Inspeção de Produtos de Origem Animal (SISBI-POA). Mas inúmeras eram as dificuldades dos entes subnacionais para se adequarem às exigências do sistema, o que gerou uma baixa adesão, perpetuando o cenário excludente.  Neste contexto, o estado do Rio Grande do Sul, sob a perspectiva de incluir e regularizar estabelecimentos de diferentes características e portes, iniciou um debate para a construção de um sistema estadual nos moldes do federal. Denominado de Sistema Unificado Estadual de Sanidade Agroindustrial Familiar, Artesanal e de Pequeno Porte (SUSAF-RS), o sistema foi instituído pela Lei nº 13.825/2011, e regulamentado pelo Decreto nº 49.340/2012 </w:t>
      </w:r>
      <w:r w:rsidRPr="00CD1F0F">
        <w:rPr>
          <w:rFonts w:asciiTheme="minorHAnsi" w:hAnsiTheme="minorHAnsi"/>
          <w:color w:val="000000"/>
        </w:rPr>
        <w:lastRenderedPageBreak/>
        <w:t>(Rio Grande do Sul, 2011; 2012). Em seguida, sistemas análogos foram instituídos em nove estados e regulamentados em sete. Os novos sistemas buscaram evidenciar a sanidade agroindustrial dos estabelecimentos familiares, artesanais e de pequeno porte. No entanto, Stepan (2019) concluiu que a existência de um sistema estadual no RS é uma das causas da baixa adesão ao SISBI-POA, além de sugerir que a omissão ou falha na coordenação federal sobre ações estaduais possibilitou a criação destes sistemas, com potencial de dificultar ainda mais a implementação do sistema federal.</w:t>
      </w:r>
    </w:p>
    <w:p w14:paraId="2EA9D67A" w14:textId="77777777" w:rsidR="00CD1F0F" w:rsidRPr="00CD1F0F" w:rsidRDefault="00CD1F0F" w:rsidP="00CD1F0F">
      <w:pPr>
        <w:pStyle w:val="NormalWeb"/>
        <w:spacing w:before="0" w:beforeAutospacing="0" w:after="0" w:afterAutospacing="0" w:line="360" w:lineRule="auto"/>
        <w:jc w:val="both"/>
        <w:rPr>
          <w:rFonts w:asciiTheme="minorHAnsi" w:hAnsiTheme="minorHAnsi"/>
        </w:rPr>
      </w:pPr>
      <w:r w:rsidRPr="00CD1F0F">
        <w:rPr>
          <w:rFonts w:asciiTheme="minorHAnsi" w:hAnsiTheme="minorHAnsi"/>
          <w:color w:val="000000"/>
        </w:rPr>
        <w:t>A federação brasileira é “marcada por políticas públicas federais que se impõem às instâncias subnacionais” com limitada atribuição de competências exclusivas a estados e municípios, apesar de sua autonomia e responsabilidade pela implementação (Souza, 2005, p. 111). No caso da agropecuária e do abastecimento alimentar, a responsabilidade é compartilhada, mas a ausência de mecanismos de estímulo à cooperação torna o sistema competitivo, mesmo em programas desenhados para que haja a participação de todos os entes (Souza, 2005). A autoridade do governo federal de induzir as decisões dos governos locais em coincidir com suas prioridades é limitada, pois estados são autônomos e podem adotar agendas próprias (</w:t>
      </w:r>
      <w:proofErr w:type="spellStart"/>
      <w:r w:rsidRPr="00CD1F0F">
        <w:rPr>
          <w:rFonts w:asciiTheme="minorHAnsi" w:hAnsiTheme="minorHAnsi"/>
          <w:color w:val="000000"/>
        </w:rPr>
        <w:t>Arretche</w:t>
      </w:r>
      <w:proofErr w:type="spellEnd"/>
      <w:r w:rsidRPr="00CD1F0F">
        <w:rPr>
          <w:rFonts w:asciiTheme="minorHAnsi" w:hAnsiTheme="minorHAnsi"/>
          <w:color w:val="000000"/>
        </w:rPr>
        <w:t xml:space="preserve">, 2004), o que pode favorecer novos arranjos institucionais, como é o caso dos </w:t>
      </w:r>
      <w:proofErr w:type="spellStart"/>
      <w:r w:rsidRPr="00CD1F0F">
        <w:rPr>
          <w:rFonts w:asciiTheme="minorHAnsi" w:hAnsiTheme="minorHAnsi"/>
          <w:color w:val="000000"/>
        </w:rPr>
        <w:t>SUSAFs</w:t>
      </w:r>
      <w:proofErr w:type="spellEnd"/>
      <w:r w:rsidRPr="00CD1F0F">
        <w:rPr>
          <w:rFonts w:asciiTheme="minorHAnsi" w:hAnsiTheme="minorHAnsi"/>
          <w:color w:val="000000"/>
        </w:rPr>
        <w:t>. </w:t>
      </w:r>
    </w:p>
    <w:p w14:paraId="4495D465" w14:textId="3184FBBB" w:rsidR="00CD1F0F" w:rsidRDefault="00CD1F0F" w:rsidP="00CD1F0F">
      <w:pPr>
        <w:pStyle w:val="NormalWeb"/>
        <w:spacing w:before="0" w:beforeAutospacing="0" w:after="0" w:afterAutospacing="0" w:line="360" w:lineRule="auto"/>
        <w:jc w:val="both"/>
        <w:rPr>
          <w:rFonts w:asciiTheme="minorHAnsi" w:hAnsiTheme="minorHAnsi"/>
          <w:color w:val="000000"/>
        </w:rPr>
      </w:pPr>
      <w:r w:rsidRPr="00CD1F0F">
        <w:rPr>
          <w:rFonts w:asciiTheme="minorHAnsi" w:hAnsiTheme="minorHAnsi"/>
          <w:color w:val="000000"/>
        </w:rPr>
        <w:t xml:space="preserve">Uma das possibilidades para interpretar o </w:t>
      </w:r>
      <w:proofErr w:type="spellStart"/>
      <w:r w:rsidRPr="00CD1F0F">
        <w:rPr>
          <w:rFonts w:asciiTheme="minorHAnsi" w:hAnsiTheme="minorHAnsi"/>
          <w:color w:val="000000"/>
        </w:rPr>
        <w:t>SUSAFs</w:t>
      </w:r>
      <w:proofErr w:type="spellEnd"/>
      <w:r w:rsidRPr="00CD1F0F">
        <w:rPr>
          <w:rFonts w:asciiTheme="minorHAnsi" w:hAnsiTheme="minorHAnsi"/>
          <w:color w:val="000000"/>
        </w:rPr>
        <w:t xml:space="preserve"> no federalismo brasileiro é a partir da perspectiva do isomorfismo institucional, desenvolvida por </w:t>
      </w:r>
      <w:proofErr w:type="spellStart"/>
      <w:r w:rsidRPr="00CD1F0F">
        <w:rPr>
          <w:rFonts w:asciiTheme="minorHAnsi" w:hAnsiTheme="minorHAnsi"/>
          <w:color w:val="000000"/>
        </w:rPr>
        <w:t>DiMaggio</w:t>
      </w:r>
      <w:proofErr w:type="spellEnd"/>
      <w:r w:rsidRPr="00CD1F0F">
        <w:rPr>
          <w:rFonts w:asciiTheme="minorHAnsi" w:hAnsiTheme="minorHAnsi"/>
          <w:color w:val="000000"/>
        </w:rPr>
        <w:t xml:space="preserve"> e Powell (1991). Esta abordagem busca explicar a tendência de organizações em contextos semelhantes se tornarem mais similares ao longo do tempo. Com base nesse referencial, este artigo realiza uma análise comparativa dos </w:t>
      </w:r>
      <w:proofErr w:type="spellStart"/>
      <w:r w:rsidRPr="00CD1F0F">
        <w:rPr>
          <w:rFonts w:asciiTheme="minorHAnsi" w:hAnsiTheme="minorHAnsi"/>
          <w:color w:val="000000"/>
        </w:rPr>
        <w:t>SUSAFs</w:t>
      </w:r>
      <w:proofErr w:type="spellEnd"/>
      <w:r w:rsidRPr="00CD1F0F">
        <w:rPr>
          <w:rFonts w:asciiTheme="minorHAnsi" w:hAnsiTheme="minorHAnsi"/>
          <w:color w:val="000000"/>
        </w:rPr>
        <w:t>, buscando compreender o quanto esses sistemas se assemelham desde suas concepções a suas instituições. </w:t>
      </w:r>
    </w:p>
    <w:p w14:paraId="4E1DAB39" w14:textId="653E525D" w:rsidR="00216EFF" w:rsidRDefault="00CD1F0F" w:rsidP="00C1134E">
      <w:pPr>
        <w:spacing w:after="240" w:line="360" w:lineRule="auto"/>
        <w:rPr>
          <w:rFonts w:ascii="Trebuchet MS" w:hAnsi="Trebuchet MS"/>
          <w:b/>
          <w:bCs/>
          <w:color w:val="000000"/>
        </w:rPr>
      </w:pPr>
      <w:r>
        <w:rPr>
          <w:rFonts w:ascii="Trebuchet MS" w:hAnsi="Trebuchet MS"/>
          <w:b/>
          <w:bCs/>
          <w:color w:val="000000"/>
        </w:rPr>
        <w:t xml:space="preserve">REFERENCIAL TEÓRICO </w:t>
      </w:r>
    </w:p>
    <w:p w14:paraId="5D47B1DA" w14:textId="77777777" w:rsidR="0089120B" w:rsidRDefault="0089120B" w:rsidP="0089120B">
      <w:pPr>
        <w:pStyle w:val="NormalWeb"/>
        <w:spacing w:after="240" w:afterAutospacing="0"/>
        <w:jc w:val="both"/>
      </w:pPr>
      <w:r>
        <w:rPr>
          <w:rFonts w:ascii="Trebuchet MS" w:hAnsi="Trebuchet MS"/>
          <w:color w:val="000000"/>
        </w:rPr>
        <w:lastRenderedPageBreak/>
        <w:t>Isomorfismo Institucional: coercitivo, mimético e normativo</w:t>
      </w:r>
    </w:p>
    <w:p w14:paraId="4F95C99D" w14:textId="77777777" w:rsidR="00EF2E24" w:rsidRPr="00EF2E24" w:rsidRDefault="00EF2E24" w:rsidP="00C1134E">
      <w:pPr>
        <w:spacing w:line="360" w:lineRule="auto"/>
        <w:jc w:val="both"/>
        <w:rPr>
          <w:rFonts w:ascii="Trebuchet MS" w:eastAsia="Times New Roman" w:hAnsi="Trebuchet MS" w:cs="Times New Roman"/>
          <w:color w:val="000000"/>
          <w:kern w:val="0"/>
          <w:lang w:eastAsia="pt-BR"/>
          <w14:ligatures w14:val="none"/>
        </w:rPr>
      </w:pPr>
      <w:proofErr w:type="spellStart"/>
      <w:r w:rsidRPr="00EF2E24">
        <w:rPr>
          <w:rFonts w:ascii="Trebuchet MS" w:eastAsia="Times New Roman" w:hAnsi="Trebuchet MS" w:cs="Times New Roman"/>
          <w:color w:val="000000"/>
          <w:kern w:val="0"/>
          <w:lang w:eastAsia="pt-BR"/>
          <w14:ligatures w14:val="none"/>
        </w:rPr>
        <w:t>DiMaggio</w:t>
      </w:r>
      <w:proofErr w:type="spellEnd"/>
      <w:r w:rsidRPr="00EF2E24">
        <w:rPr>
          <w:rFonts w:ascii="Trebuchet MS" w:eastAsia="Times New Roman" w:hAnsi="Trebuchet MS" w:cs="Times New Roman"/>
          <w:color w:val="000000"/>
          <w:kern w:val="0"/>
          <w:lang w:eastAsia="pt-BR"/>
          <w14:ligatures w14:val="none"/>
        </w:rPr>
        <w:t xml:space="preserve"> e Powell (1991), ao observarem um aumento da homogeneidade organizacional, buscaram entender por que as organizações se assemelham. Para eles, esse processo decorre mais de forças institucionais do que por pressões do mercado, busca de eficiência ou expectativas culturais. A mudança organizacional pode ser uma resposta a mandatos governamentais ou influenciada por um ambiente jurídico comum – como no federalismo brasileiro. As organizações competem não apenas recursos e clientes, mas também por legitimidade institucional, poder político e adequação social. Uma abordagem útil para analisar estes comportamentos é o de isomorfismo institucional, que pode ser coercitivo, mimético e normativo. O isomorfismo coercitivo é resultado de pressões formais e informais que são exercidas por outras organizações ou por expectativas sociais de como estas devem funcionar. As pressões podem assumir a forma de força legal, pressão política ou convencionalismo cultural. Além disso, a existência de um ambiente legal comum pode afetar o comportamento e a estrutura das organizações. Este tipo de isomorfismo decorre da influência política e de problemas de legitimidade. </w:t>
      </w:r>
    </w:p>
    <w:p w14:paraId="76C19E7D" w14:textId="77777777" w:rsidR="00EF2E24" w:rsidRDefault="00EF2E24" w:rsidP="00C1134E">
      <w:pPr>
        <w:spacing w:line="360" w:lineRule="auto"/>
        <w:jc w:val="both"/>
        <w:rPr>
          <w:rFonts w:ascii="Trebuchet MS" w:eastAsia="Times New Roman" w:hAnsi="Trebuchet MS" w:cs="Times New Roman"/>
          <w:color w:val="000000"/>
          <w:kern w:val="0"/>
          <w:lang w:eastAsia="pt-BR"/>
          <w14:ligatures w14:val="none"/>
        </w:rPr>
      </w:pPr>
      <w:r w:rsidRPr="00EF2E24">
        <w:rPr>
          <w:rFonts w:ascii="Trebuchet MS" w:eastAsia="Times New Roman" w:hAnsi="Trebuchet MS" w:cs="Times New Roman"/>
          <w:color w:val="000000"/>
          <w:kern w:val="0"/>
          <w:lang w:eastAsia="pt-BR"/>
          <w14:ligatures w14:val="none"/>
        </w:rPr>
        <w:t>No entanto, nem todo isomorfismo institucional deriva da coerção. Em contextos de incerteza e em reação a ela, as organizações tendem a imitar modelos já instituídos, considerados legítimos ou bem-sucedidos, denominado de isomorfismo mimético. Isso ocorre quando há ambiguidade sobre a interpretação de um problema ou de um ambiente com incertezas simbólicas (</w:t>
      </w:r>
      <w:proofErr w:type="spellStart"/>
      <w:r w:rsidRPr="00EF2E24">
        <w:rPr>
          <w:rFonts w:ascii="Trebuchet MS" w:eastAsia="Times New Roman" w:hAnsi="Trebuchet MS" w:cs="Times New Roman"/>
          <w:color w:val="000000"/>
          <w:kern w:val="0"/>
          <w:lang w:eastAsia="pt-BR"/>
          <w14:ligatures w14:val="none"/>
        </w:rPr>
        <w:t>DiMaggio</w:t>
      </w:r>
      <w:proofErr w:type="spellEnd"/>
      <w:r w:rsidRPr="00EF2E24">
        <w:rPr>
          <w:rFonts w:ascii="Trebuchet MS" w:eastAsia="Times New Roman" w:hAnsi="Trebuchet MS" w:cs="Times New Roman"/>
          <w:color w:val="000000"/>
          <w:kern w:val="0"/>
          <w:lang w:eastAsia="pt-BR"/>
          <w14:ligatures w14:val="none"/>
        </w:rPr>
        <w:t>; Powell, 1991). O terceiro tipo, normativo, decorre sobretudo da profissionalização e fundamenta-se na dependência da educação formal e na legitimação por especialistas, bem como da circulação de profissionais entre organizações. Universidades e instituições de formação profissional exercem papel central na produção de normas organizacionais. O reconhecimento de organizações como modelos bem-sucedidos pode reforçar sua legitimidade e levar à reprodução de seus aspectos estruturais ou procedimentos.</w:t>
      </w:r>
    </w:p>
    <w:p w14:paraId="22EA9DD1" w14:textId="69798A75" w:rsidR="00CD1F0F" w:rsidRPr="00216EFF" w:rsidRDefault="00CD1F0F" w:rsidP="00EF2E24">
      <w:pPr>
        <w:spacing w:after="240" w:line="360" w:lineRule="auto"/>
        <w:rPr>
          <w:rFonts w:eastAsia="Arial" w:cs="Arial"/>
        </w:rPr>
      </w:pPr>
      <w:r>
        <w:rPr>
          <w:rFonts w:ascii="Trebuchet MS" w:hAnsi="Trebuchet MS"/>
          <w:b/>
          <w:bCs/>
          <w:color w:val="000000"/>
        </w:rPr>
        <w:t>METODOLOGIA</w:t>
      </w:r>
    </w:p>
    <w:p w14:paraId="04FE429C" w14:textId="77777777" w:rsidR="001A7413" w:rsidRDefault="001A7413" w:rsidP="001A7413">
      <w:pPr>
        <w:pStyle w:val="NormalWeb"/>
        <w:spacing w:before="0" w:beforeAutospacing="0" w:after="0" w:afterAutospacing="0" w:line="360" w:lineRule="auto"/>
        <w:jc w:val="both"/>
      </w:pPr>
      <w:r>
        <w:rPr>
          <w:rFonts w:ascii="Trebuchet MS" w:hAnsi="Trebuchet MS"/>
          <w:color w:val="000000"/>
        </w:rPr>
        <w:lastRenderedPageBreak/>
        <w:t xml:space="preserve">As análises fundamentaram-se em pesquisa documental. No âmbito federal, analisou-se decreto de instituição do SUASA e suas atualizações até 2010 e o Anexo 1 da IN nº 19/2006 (Brasil, 2006c) e da IN nº 36/2011 que estabelecem requisitos de reconhecimento de equivalência e adesão dos entes ao SISBI-POA (Brasil, 2011). Nos estados, das 18 proposições de criação de </w:t>
      </w:r>
      <w:proofErr w:type="spellStart"/>
      <w:r>
        <w:rPr>
          <w:rFonts w:ascii="Trebuchet MS" w:hAnsi="Trebuchet MS"/>
          <w:color w:val="000000"/>
        </w:rPr>
        <w:t>SUSAFs</w:t>
      </w:r>
      <w:proofErr w:type="spellEnd"/>
      <w:r>
        <w:rPr>
          <w:rFonts w:ascii="Trebuchet MS" w:hAnsi="Trebuchet MS"/>
          <w:color w:val="000000"/>
        </w:rPr>
        <w:t xml:space="preserve"> identificadas nas Assembleias Legislativas Estaduais, analisou-se os projetos de lei e leis de constituição dos </w:t>
      </w:r>
      <w:proofErr w:type="gramStart"/>
      <w:r>
        <w:rPr>
          <w:rFonts w:ascii="Trebuchet MS" w:hAnsi="Trebuchet MS"/>
          <w:color w:val="000000"/>
        </w:rPr>
        <w:t>sistemas  do</w:t>
      </w:r>
      <w:proofErr w:type="gramEnd"/>
      <w:r>
        <w:rPr>
          <w:rFonts w:ascii="Trebuchet MS" w:hAnsi="Trebuchet MS"/>
          <w:color w:val="000000"/>
        </w:rPr>
        <w:t xml:space="preserve"> Quadro 1. As análises ocorreram em 3 etapas: 1) Das normas do SISBI-POA em relação aos estados; 2) Comparativo das normas do SISBI-POA e SUSAF-RS; 3) Comparativo dos PL e das leis </w:t>
      </w:r>
      <w:proofErr w:type="spellStart"/>
      <w:r>
        <w:rPr>
          <w:rFonts w:ascii="Trebuchet MS" w:hAnsi="Trebuchet MS"/>
          <w:color w:val="000000"/>
        </w:rPr>
        <w:t>SUSAFs</w:t>
      </w:r>
      <w:proofErr w:type="spellEnd"/>
      <w:r>
        <w:rPr>
          <w:rFonts w:ascii="Trebuchet MS" w:hAnsi="Trebuchet MS"/>
          <w:color w:val="000000"/>
        </w:rPr>
        <w:t xml:space="preserve"> em relação ao SUSAF-RS. No item 3, ao comparar as leis, diante da extensão das normas, optou-se por utilizar uma escala de notas de 0 a 10 para medir o mimetismo. Atribuiu-se nota 10 quando há cópia integral ou quase integral do SUSAF-RS, constituindo um mimetismo altíssimo; nota 8 quando há mimetismo alto ou adaptações mínimas; nota 6 ou mimetismo médio quando há cópia parcial com ajustes no conteúdo ou forma; nota 4 ou mimetismo baixo quando há inspiração na norma gaúcha; 2 ou mimetismo baixíssimo quando está distante do conteúdo original e; nota 0 quando nada consta.</w:t>
      </w:r>
    </w:p>
    <w:p w14:paraId="09DB1AB1" w14:textId="40B50DD3" w:rsidR="001A7413" w:rsidRPr="00FC7895" w:rsidRDefault="001A7413" w:rsidP="001A7413">
      <w:pPr>
        <w:pStyle w:val="NormalWeb"/>
        <w:spacing w:before="0" w:beforeAutospacing="0" w:after="0" w:afterAutospacing="0" w:line="360" w:lineRule="auto"/>
        <w:jc w:val="both"/>
        <w:rPr>
          <w:rFonts w:ascii="Trebuchet MS" w:hAnsi="Trebuchet MS"/>
          <w:color w:val="000000"/>
        </w:rPr>
      </w:pPr>
      <w:r>
        <w:rPr>
          <w:rFonts w:ascii="Trebuchet MS" w:hAnsi="Trebuchet MS"/>
          <w:color w:val="000000"/>
        </w:rPr>
        <w:t xml:space="preserve">Nesta pesquisa, partiu-se de três hipóteses: 1) A existência de um marco regulatório federal exerceu pressão coercitiva sobre os estados, por exigir o cumprimento de normas padronizadas; 2) Ao construir o SUSAF-RS, o RS mimetiza parcialmente o SISBI-POA, mas buscou diferenciação ao incorporar adaptações à realidade regional; 3) Os novos </w:t>
      </w:r>
      <w:proofErr w:type="spellStart"/>
      <w:r>
        <w:rPr>
          <w:rFonts w:ascii="Trebuchet MS" w:hAnsi="Trebuchet MS"/>
          <w:color w:val="000000"/>
        </w:rPr>
        <w:t>SUSAFs</w:t>
      </w:r>
      <w:proofErr w:type="spellEnd"/>
      <w:r>
        <w:rPr>
          <w:rFonts w:ascii="Trebuchet MS" w:hAnsi="Trebuchet MS"/>
          <w:color w:val="000000"/>
        </w:rPr>
        <w:t xml:space="preserve"> mimetizam o modelo gaúcho ao reconhecê-lo como bem-sucedido, e como estratégia para reduzir as incertezas institucionais relativas à sanidade agroindustrial da produção familiar. No caso do SUSAF-MT, foram analisadas as versões de 2012 (MT12) e 2017 (MT17), visto que ocorreu uma total reformulação do sistema na segunda versão.</w:t>
      </w:r>
    </w:p>
    <w:p w14:paraId="609E170C" w14:textId="77777777" w:rsidR="001A7413" w:rsidRPr="001A7413" w:rsidRDefault="001A7413" w:rsidP="001A7413">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lang w:eastAsia="pt-BR"/>
          <w14:ligatures w14:val="none"/>
        </w:rPr>
        <w:t>Quadro 1 - Sistemas Unificados de Sanidade Estaduais, período de 2011-2025.</w:t>
      </w:r>
    </w:p>
    <w:tbl>
      <w:tblPr>
        <w:tblW w:w="0" w:type="auto"/>
        <w:tblCellMar>
          <w:top w:w="15" w:type="dxa"/>
          <w:left w:w="15" w:type="dxa"/>
          <w:bottom w:w="15" w:type="dxa"/>
          <w:right w:w="15" w:type="dxa"/>
        </w:tblCellMar>
        <w:tblLook w:val="04A0" w:firstRow="1" w:lastRow="0" w:firstColumn="1" w:lastColumn="0" w:noHBand="0" w:noVBand="1"/>
      </w:tblPr>
      <w:tblGrid>
        <w:gridCol w:w="2262"/>
        <w:gridCol w:w="2263"/>
        <w:gridCol w:w="2262"/>
        <w:gridCol w:w="2263"/>
      </w:tblGrid>
      <w:tr w:rsidR="001A7413" w:rsidRPr="001A7413" w14:paraId="05BF14DE" w14:textId="77777777" w:rsidTr="00D309FD">
        <w:trPr>
          <w:trHeight w:val="275"/>
        </w:trPr>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E71CEC" w14:textId="77777777" w:rsidR="001A7413" w:rsidRPr="001A7413" w:rsidRDefault="001A7413" w:rsidP="00B14E2C">
            <w:pPr>
              <w:jc w:val="cente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b/>
                <w:bCs/>
                <w:color w:val="000000"/>
                <w:kern w:val="0"/>
                <w:sz w:val="20"/>
                <w:szCs w:val="20"/>
                <w:lang w:eastAsia="pt-BR"/>
                <w14:ligatures w14:val="none"/>
              </w:rPr>
              <w:t>Projeto de lei e Lei</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4D6359" w14:textId="77777777" w:rsidR="001A7413" w:rsidRPr="001A7413" w:rsidRDefault="001A7413" w:rsidP="00B14E2C">
            <w:pPr>
              <w:jc w:val="cente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b/>
                <w:bCs/>
                <w:color w:val="000000"/>
                <w:kern w:val="0"/>
                <w:sz w:val="20"/>
                <w:szCs w:val="20"/>
                <w:lang w:eastAsia="pt-BR"/>
                <w14:ligatures w14:val="none"/>
              </w:rPr>
              <w:t>Sigla-UF</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93077" w14:textId="77777777" w:rsidR="001A7413" w:rsidRPr="001A7413" w:rsidRDefault="001A7413" w:rsidP="00B14E2C">
            <w:pPr>
              <w:jc w:val="cente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b/>
                <w:bCs/>
                <w:color w:val="000000"/>
                <w:kern w:val="0"/>
                <w:sz w:val="20"/>
                <w:szCs w:val="20"/>
                <w:lang w:eastAsia="pt-BR"/>
                <w14:ligatures w14:val="none"/>
              </w:rPr>
              <w:t>Projeto de lei e Lei</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F5049F" w14:textId="77777777" w:rsidR="001A7413" w:rsidRPr="001A7413" w:rsidRDefault="001A7413" w:rsidP="00B14E2C">
            <w:pPr>
              <w:jc w:val="cente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b/>
                <w:bCs/>
                <w:color w:val="000000"/>
                <w:kern w:val="0"/>
                <w:sz w:val="20"/>
                <w:szCs w:val="20"/>
                <w:lang w:eastAsia="pt-BR"/>
                <w14:ligatures w14:val="none"/>
              </w:rPr>
              <w:t>Sigla-UF</w:t>
            </w:r>
          </w:p>
        </w:tc>
      </w:tr>
      <w:tr w:rsidR="001A7413" w:rsidRPr="001A7413" w14:paraId="5ADA0A00" w14:textId="77777777" w:rsidTr="00D309FD">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90389B"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66/2011</w:t>
            </w:r>
          </w:p>
          <w:p w14:paraId="4DD84F60"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lastRenderedPageBreak/>
              <w:t>Lei nº 13.825/2011</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9F122"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lastRenderedPageBreak/>
              <w:t>SUSAF-RS</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54AEB2"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418/2013 </w:t>
            </w:r>
          </w:p>
          <w:p w14:paraId="68BEBA8E"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lastRenderedPageBreak/>
              <w:t>Lei nº 17.773/2013 </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07B5E5"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lastRenderedPageBreak/>
              <w:t>SUSAF-PR</w:t>
            </w:r>
          </w:p>
        </w:tc>
      </w:tr>
      <w:tr w:rsidR="001A7413" w:rsidRPr="001A7413" w14:paraId="3A74B61F" w14:textId="77777777" w:rsidTr="00D309FD">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E8CEB"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lastRenderedPageBreak/>
              <w:t>Lei Complementar nº 618/2012</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311B4B"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SUSAF-ES</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F0D2E7"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368/2019 </w:t>
            </w:r>
          </w:p>
          <w:p w14:paraId="1DD7CCC6"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Lei nº 11.166/2019</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D78E22"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SUSAF-MA</w:t>
            </w:r>
          </w:p>
        </w:tc>
      </w:tr>
      <w:tr w:rsidR="001A7413" w:rsidRPr="001A7413" w14:paraId="160143B7" w14:textId="77777777" w:rsidTr="00D309FD">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7BA233"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242/2012/Lei Ord. nº 9.790/2012 PL 413/2016 e Lei nº 10.502/2017</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0A3752"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SUSAF-MT</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F938DA"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92/2022 </w:t>
            </w:r>
          </w:p>
          <w:p w14:paraId="5206EAE5"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Lei n° 18.143/2022</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6E3C03"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SUSAP-CE</w:t>
            </w:r>
          </w:p>
        </w:tc>
      </w:tr>
      <w:tr w:rsidR="001A7413" w:rsidRPr="001A7413" w14:paraId="75D8DE7A" w14:textId="77777777" w:rsidTr="00D309FD">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F8A70"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98/2012</w:t>
            </w:r>
          </w:p>
          <w:p w14:paraId="22BEC50E"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Lei nº 2.673/2012</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9A5FD0"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SUSAF-TO</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5A6B1B"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PL 25.046/2023 </w:t>
            </w:r>
          </w:p>
          <w:p w14:paraId="73CBBBA7" w14:textId="77777777" w:rsidR="001A7413" w:rsidRPr="001A7413" w:rsidRDefault="001A7413" w:rsidP="00B14E2C">
            <w:pPr>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Lei nº 14.636/2023 </w:t>
            </w:r>
          </w:p>
        </w:tc>
        <w:tc>
          <w:tcPr>
            <w:tcW w:w="2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EAF57E" w14:textId="77777777" w:rsidR="001A7413" w:rsidRPr="001A7413" w:rsidRDefault="001A7413" w:rsidP="00B14E2C">
            <w:pPr>
              <w:jc w:val="both"/>
              <w:rPr>
                <w:rFonts w:ascii="Times New Roman" w:eastAsia="Times New Roman" w:hAnsi="Times New Roman" w:cs="Times New Roman"/>
                <w:kern w:val="0"/>
                <w:lang w:eastAsia="pt-BR"/>
                <w14:ligatures w14:val="none"/>
              </w:rPr>
            </w:pPr>
            <w:r w:rsidRPr="001A7413">
              <w:rPr>
                <w:rFonts w:ascii="Trebuchet MS" w:eastAsia="Times New Roman" w:hAnsi="Trebuchet MS" w:cs="Times New Roman"/>
                <w:color w:val="000000"/>
                <w:kern w:val="0"/>
                <w:sz w:val="20"/>
                <w:szCs w:val="20"/>
                <w:lang w:eastAsia="pt-BR"/>
                <w14:ligatures w14:val="none"/>
              </w:rPr>
              <w:t>SUSAF-BA</w:t>
            </w:r>
          </w:p>
        </w:tc>
      </w:tr>
    </w:tbl>
    <w:p w14:paraId="633E8B43" w14:textId="77777777" w:rsidR="00216EFF" w:rsidRPr="00216EFF" w:rsidRDefault="00216EFF" w:rsidP="00216EFF">
      <w:pPr>
        <w:spacing w:line="360" w:lineRule="auto"/>
        <w:jc w:val="both"/>
        <w:rPr>
          <w:rFonts w:eastAsia="Arial" w:cs="Arial"/>
        </w:rPr>
      </w:pPr>
    </w:p>
    <w:p w14:paraId="71717635" w14:textId="54529664" w:rsidR="00216EFF" w:rsidRDefault="00FC7895" w:rsidP="00216EFF">
      <w:pPr>
        <w:spacing w:line="360" w:lineRule="auto"/>
        <w:jc w:val="both"/>
        <w:rPr>
          <w:rFonts w:ascii="Trebuchet MS" w:hAnsi="Trebuchet MS"/>
          <w:b/>
          <w:bCs/>
          <w:color w:val="000000"/>
        </w:rPr>
      </w:pPr>
      <w:r>
        <w:rPr>
          <w:rFonts w:ascii="Trebuchet MS" w:hAnsi="Trebuchet MS"/>
          <w:b/>
          <w:bCs/>
          <w:color w:val="000000"/>
        </w:rPr>
        <w:t>DESENVOLVIMENTO</w:t>
      </w:r>
    </w:p>
    <w:p w14:paraId="547F9038" w14:textId="77777777" w:rsidR="00FC7895" w:rsidRPr="00FC7895" w:rsidRDefault="00FC7895" w:rsidP="00FC7895">
      <w:pPr>
        <w:spacing w:after="240"/>
        <w:jc w:val="both"/>
        <w:rPr>
          <w:rFonts w:ascii="Times New Roman" w:eastAsia="Times New Roman" w:hAnsi="Times New Roman" w:cs="Times New Roman"/>
          <w:kern w:val="0"/>
          <w:lang w:eastAsia="pt-BR"/>
          <w14:ligatures w14:val="none"/>
        </w:rPr>
      </w:pPr>
      <w:r w:rsidRPr="00FC7895">
        <w:rPr>
          <w:rFonts w:ascii="Trebuchet MS" w:eastAsia="Times New Roman" w:hAnsi="Trebuchet MS" w:cs="Times New Roman"/>
          <w:color w:val="000000"/>
          <w:kern w:val="0"/>
          <w:lang w:eastAsia="pt-BR"/>
          <w14:ligatures w14:val="none"/>
        </w:rPr>
        <w:t>Semelhanças e diferenciações entre SISBI-POA e SUSAF-RS</w:t>
      </w:r>
    </w:p>
    <w:p w14:paraId="5FF05B19" w14:textId="77777777" w:rsidR="00632A99" w:rsidRPr="00632A99" w:rsidRDefault="00632A99" w:rsidP="00D309FD">
      <w:pPr>
        <w:spacing w:line="360" w:lineRule="auto"/>
        <w:jc w:val="both"/>
        <w:rPr>
          <w:rFonts w:ascii="Trebuchet MS" w:eastAsia="Times New Roman" w:hAnsi="Trebuchet MS" w:cs="Times New Roman"/>
          <w:color w:val="000000"/>
          <w:kern w:val="0"/>
          <w:lang w:eastAsia="pt-BR"/>
          <w14:ligatures w14:val="none"/>
        </w:rPr>
      </w:pPr>
      <w:r w:rsidRPr="00632A99">
        <w:rPr>
          <w:rFonts w:ascii="Trebuchet MS" w:eastAsia="Times New Roman" w:hAnsi="Trebuchet MS" w:cs="Times New Roman"/>
          <w:color w:val="000000"/>
          <w:kern w:val="0"/>
          <w:lang w:eastAsia="pt-BR"/>
          <w14:ligatures w14:val="none"/>
        </w:rPr>
        <w:t>No Brasil, desde 1989, a inspeção sanitária de POA é realizada por três instâncias: federal, estadual e municipal. No RS, os serviços de inspeção foram estruturados com a Lei nº 10.69/1996 e seu regulamento, o Decreto nº 39.688/1999 (Rio Grande do Sul, 1996; 1999). Em 2011, os serviços foram reconfigurados com a criação do SUSAF-RS. Como se verá, confirma-se as hipóteses que os estados, ao instituírem seus sistemas, passam por isomorfismo coercitivo, devido à existência de um marco regulatório federal que impõe normas padronizadas, mas também mimético, ao reproduzirem parcialmente o sistema federal. No primeiro caso, verificou-se que o federalismo brasileiro concentra autoridade normativa no governo federal (</w:t>
      </w:r>
      <w:proofErr w:type="spellStart"/>
      <w:r w:rsidRPr="00632A99">
        <w:rPr>
          <w:rFonts w:ascii="Trebuchet MS" w:eastAsia="Times New Roman" w:hAnsi="Trebuchet MS" w:cs="Times New Roman"/>
          <w:color w:val="000000"/>
          <w:kern w:val="0"/>
          <w:lang w:eastAsia="pt-BR"/>
          <w14:ligatures w14:val="none"/>
        </w:rPr>
        <w:t>Arretche</w:t>
      </w:r>
      <w:proofErr w:type="spellEnd"/>
      <w:r w:rsidRPr="00632A99">
        <w:rPr>
          <w:rFonts w:ascii="Trebuchet MS" w:eastAsia="Times New Roman" w:hAnsi="Trebuchet MS" w:cs="Times New Roman"/>
          <w:color w:val="000000"/>
          <w:kern w:val="0"/>
          <w:lang w:eastAsia="pt-BR"/>
          <w14:ligatures w14:val="none"/>
        </w:rPr>
        <w:t>, 2004), gerando um ambiente institucional coercitivo. Nos POA, isso ocorre por meio da existência do SISBI-POA. Embora a adesão seja voluntária, a comercialização dos POA nacionalmente está condicionada a adesão ou o comércio ficará limitado à jurisdição da instância inspecionadora. Assim, estados estão sob coerção externa da parte do Ministério da Agricultura e Pecuária (MAPA) que estabelece requisitos para adesão, como a adequação de procedimentos, a harmonização da legislação, a submissão a auditorias e comprovação da estrutura.</w:t>
      </w:r>
    </w:p>
    <w:p w14:paraId="22E3A5AD" w14:textId="77777777" w:rsidR="00632A99" w:rsidRPr="00632A99" w:rsidRDefault="00632A99" w:rsidP="00D309FD">
      <w:pPr>
        <w:spacing w:line="360" w:lineRule="auto"/>
        <w:jc w:val="both"/>
        <w:rPr>
          <w:rFonts w:ascii="Trebuchet MS" w:eastAsia="Times New Roman" w:hAnsi="Trebuchet MS" w:cs="Times New Roman"/>
          <w:color w:val="000000"/>
          <w:kern w:val="0"/>
          <w:lang w:eastAsia="pt-BR"/>
          <w14:ligatures w14:val="none"/>
        </w:rPr>
      </w:pPr>
      <w:r w:rsidRPr="00632A99">
        <w:rPr>
          <w:rFonts w:ascii="Trebuchet MS" w:eastAsia="Times New Roman" w:hAnsi="Trebuchet MS" w:cs="Times New Roman"/>
          <w:color w:val="000000"/>
          <w:kern w:val="0"/>
          <w:lang w:eastAsia="pt-BR"/>
          <w14:ligatures w14:val="none"/>
        </w:rPr>
        <w:t xml:space="preserve">A coerção para alteração dos serviços também é interna, sobretudo, da parte dos municípios que, até 2011, tinham a adesão ao SISBI-POA condicionada à adesão do </w:t>
      </w:r>
      <w:r w:rsidRPr="00632A99">
        <w:rPr>
          <w:rFonts w:ascii="Trebuchet MS" w:eastAsia="Times New Roman" w:hAnsi="Trebuchet MS" w:cs="Times New Roman"/>
          <w:color w:val="000000"/>
          <w:kern w:val="0"/>
          <w:lang w:eastAsia="pt-BR"/>
          <w14:ligatures w14:val="none"/>
        </w:rPr>
        <w:lastRenderedPageBreak/>
        <w:t>estado de origem. No RS, as pressões internas ocorrem por meio da Federação das Associações de Municípios do RS (</w:t>
      </w:r>
      <w:proofErr w:type="spellStart"/>
      <w:r w:rsidRPr="00632A99">
        <w:rPr>
          <w:rFonts w:ascii="Trebuchet MS" w:eastAsia="Times New Roman" w:hAnsi="Trebuchet MS" w:cs="Times New Roman"/>
          <w:color w:val="000000"/>
          <w:kern w:val="0"/>
          <w:lang w:eastAsia="pt-BR"/>
          <w14:ligatures w14:val="none"/>
        </w:rPr>
        <w:t>Famurs</w:t>
      </w:r>
      <w:proofErr w:type="spellEnd"/>
      <w:r w:rsidRPr="00632A99">
        <w:rPr>
          <w:rFonts w:ascii="Trebuchet MS" w:eastAsia="Times New Roman" w:hAnsi="Trebuchet MS" w:cs="Times New Roman"/>
          <w:color w:val="000000"/>
          <w:kern w:val="0"/>
          <w:lang w:eastAsia="pt-BR"/>
          <w14:ligatures w14:val="none"/>
        </w:rPr>
        <w:t>); pelas secretarias e suas equipes técnicas; por organizações representantes da agricultura familiar como a Federação dos Trabalhadores e Trabalhadoras na Agricultura Familiar do Rio Grande do Sul (FETRAF-RS) e Federação dos Trabalhadores na Agricultura no Rio Grande do Sul (FETAG-RS), movimentos sociais, cooperativas, agroindústrias (formais e informais), outras indústrias e grupos de profissionais. Também há a pressão do poder legislativo sobre o poder executivo, responsável legal para implementar as políticas.</w:t>
      </w:r>
    </w:p>
    <w:p w14:paraId="12579E4A" w14:textId="77777777" w:rsidR="00632A99" w:rsidRPr="00632A99" w:rsidRDefault="00632A99" w:rsidP="00D309FD">
      <w:pPr>
        <w:spacing w:line="360" w:lineRule="auto"/>
        <w:jc w:val="both"/>
        <w:rPr>
          <w:rFonts w:ascii="Trebuchet MS" w:eastAsia="Times New Roman" w:hAnsi="Trebuchet MS" w:cs="Times New Roman"/>
          <w:color w:val="000000"/>
          <w:kern w:val="0"/>
          <w:lang w:eastAsia="pt-BR"/>
          <w14:ligatures w14:val="none"/>
        </w:rPr>
      </w:pPr>
      <w:r w:rsidRPr="00632A99">
        <w:rPr>
          <w:rFonts w:ascii="Trebuchet MS" w:eastAsia="Times New Roman" w:hAnsi="Trebuchet MS" w:cs="Times New Roman"/>
          <w:color w:val="000000"/>
          <w:kern w:val="0"/>
          <w:lang w:eastAsia="pt-BR"/>
          <w14:ligatures w14:val="none"/>
        </w:rPr>
        <w:t xml:space="preserve">Quanto à segunda hipótese, o SISBI-POA oferece ao RS um modelo a ser mimetizado, mas também uma oportunidade de inovação. O RS historicamente questionou as três instâncias de inspeção, especialmente após a instauração da Subcomissão de Agroindústrias, em 2005, na Assembleia Legislativa do RS que debateu as dificuldades de formalização das agroindústrias familiares. O RS também participou ativamente dos debates para criação do SISBI-POA. Em 2006, o regulamento do SISBI-POA e a IN nº 19 geraram expectativas de avanços na regularização, que não se concretizaram, pois até 2010, apenas Bahia e Paraná haviam conseguido adesão. Até 2011, quando há adesão do RS, </w:t>
      </w:r>
      <w:proofErr w:type="spellStart"/>
      <w:r w:rsidRPr="00632A99">
        <w:rPr>
          <w:rFonts w:ascii="Trebuchet MS" w:eastAsia="Times New Roman" w:hAnsi="Trebuchet MS" w:cs="Times New Roman"/>
          <w:color w:val="000000"/>
          <w:kern w:val="0"/>
          <w:lang w:eastAsia="pt-BR"/>
          <w14:ligatures w14:val="none"/>
        </w:rPr>
        <w:t>POAs</w:t>
      </w:r>
      <w:proofErr w:type="spellEnd"/>
      <w:r w:rsidRPr="00632A99">
        <w:rPr>
          <w:rFonts w:ascii="Trebuchet MS" w:eastAsia="Times New Roman" w:hAnsi="Trebuchet MS" w:cs="Times New Roman"/>
          <w:color w:val="000000"/>
          <w:kern w:val="0"/>
          <w:lang w:eastAsia="pt-BR"/>
          <w14:ligatures w14:val="none"/>
        </w:rPr>
        <w:t xml:space="preserve"> das agroindústrias familiares com inspeção municipal (SIM) eram vendidos em feiras agropecuárias pelo estado apenas mediante a publicação de portarias de autorização excepcionais, já que, por norma, estes produtos só podem ser comercializados no município de origem. O cenário não foi alterado pela adesão, devido à morosidade na implementação do sistema. Como alternativa, o RS criou, em 2011, o SUSAF-RS, permitindo a comercialização estadual dos produtos sob inspeção municipal. Mas até que ponto o SUSAF-RS mimetiza o SISBI-POA ou inova? </w:t>
      </w:r>
    </w:p>
    <w:p w14:paraId="46603873" w14:textId="77777777" w:rsidR="00632A99" w:rsidRPr="00632A99" w:rsidRDefault="00632A99" w:rsidP="00D309FD">
      <w:pPr>
        <w:spacing w:line="360" w:lineRule="auto"/>
        <w:jc w:val="both"/>
        <w:rPr>
          <w:rFonts w:ascii="Trebuchet MS" w:eastAsia="Times New Roman" w:hAnsi="Trebuchet MS" w:cs="Times New Roman"/>
          <w:color w:val="000000"/>
          <w:kern w:val="0"/>
          <w:lang w:eastAsia="pt-BR"/>
          <w14:ligatures w14:val="none"/>
        </w:rPr>
      </w:pPr>
      <w:r w:rsidRPr="00632A99">
        <w:rPr>
          <w:rFonts w:ascii="Trebuchet MS" w:eastAsia="Times New Roman" w:hAnsi="Trebuchet MS" w:cs="Times New Roman"/>
          <w:color w:val="000000"/>
          <w:kern w:val="0"/>
          <w:lang w:eastAsia="pt-BR"/>
          <w14:ligatures w14:val="none"/>
        </w:rPr>
        <w:t xml:space="preserve">O Art. 1º do SUSAF-RS, além de instituir o sistema, estabelece que ele poderá estar vinculado ao sistema federal, continuando a proposta de integração internível. Seus objetivos reproduzem parte dos princípios e obrigações gerais do SISBI-POA quanto à garantia de inocuidade, qualidade e segurança sanitária, mas diferem ao estabelecer que a edição de normas se orientará e respeitará as “especificidades locais e as </w:t>
      </w:r>
      <w:r w:rsidRPr="00632A99">
        <w:rPr>
          <w:rFonts w:ascii="Trebuchet MS" w:eastAsia="Times New Roman" w:hAnsi="Trebuchet MS" w:cs="Times New Roman"/>
          <w:color w:val="000000"/>
          <w:kern w:val="0"/>
          <w:lang w:eastAsia="pt-BR"/>
          <w14:ligatures w14:val="none"/>
        </w:rPr>
        <w:lastRenderedPageBreak/>
        <w:t xml:space="preserve">diferentes escalas de produção [...] aspectos sociais, geográficos, históricos e os valores culturais agregados aos produtos”. Para ampliar a </w:t>
      </w:r>
      <w:proofErr w:type="gramStart"/>
      <w:r w:rsidRPr="00632A99">
        <w:rPr>
          <w:rFonts w:ascii="Trebuchet MS" w:eastAsia="Times New Roman" w:hAnsi="Trebuchet MS" w:cs="Times New Roman"/>
          <w:color w:val="000000"/>
          <w:kern w:val="0"/>
          <w:lang w:eastAsia="pt-BR"/>
          <w14:ligatures w14:val="none"/>
        </w:rPr>
        <w:t>comercialização  -</w:t>
      </w:r>
      <w:proofErr w:type="gramEnd"/>
      <w:r w:rsidRPr="00632A99">
        <w:rPr>
          <w:rFonts w:ascii="Trebuchet MS" w:eastAsia="Times New Roman" w:hAnsi="Trebuchet MS" w:cs="Times New Roman"/>
          <w:color w:val="000000"/>
          <w:kern w:val="0"/>
          <w:lang w:eastAsia="pt-BR"/>
          <w14:ligatures w14:val="none"/>
        </w:rPr>
        <w:t xml:space="preserve"> no RS via SUSAF-RS e em âmbito nacional via SISBI-POA – os municípios (ou estados) devem ter seus serviços de inspeção instituídos e a adesão, em ambos, está condicionada a garantia de inocuidade e qualidade dos produtos. Para tanto, </w:t>
      </w:r>
      <w:proofErr w:type="spellStart"/>
      <w:r w:rsidRPr="00632A99">
        <w:rPr>
          <w:rFonts w:ascii="Trebuchet MS" w:eastAsia="Times New Roman" w:hAnsi="Trebuchet MS" w:cs="Times New Roman"/>
          <w:color w:val="000000"/>
          <w:kern w:val="0"/>
          <w:lang w:eastAsia="pt-BR"/>
          <w14:ligatures w14:val="none"/>
        </w:rPr>
        <w:t>exigi-se</w:t>
      </w:r>
      <w:proofErr w:type="spellEnd"/>
      <w:r w:rsidRPr="00632A99">
        <w:rPr>
          <w:rFonts w:ascii="Trebuchet MS" w:eastAsia="Times New Roman" w:hAnsi="Trebuchet MS" w:cs="Times New Roman"/>
          <w:color w:val="000000"/>
          <w:kern w:val="0"/>
          <w:lang w:eastAsia="pt-BR"/>
          <w14:ligatures w14:val="none"/>
        </w:rPr>
        <w:t xml:space="preserve"> que os serviços possuam infraestrutura administrativa, adotem boas práticas, prevenção e combate à fraude econômica e controle ambiental. Para </w:t>
      </w:r>
      <w:proofErr w:type="spellStart"/>
      <w:r w:rsidRPr="00632A99">
        <w:rPr>
          <w:rFonts w:ascii="Trebuchet MS" w:eastAsia="Times New Roman" w:hAnsi="Trebuchet MS" w:cs="Times New Roman"/>
          <w:color w:val="000000"/>
          <w:kern w:val="0"/>
          <w:lang w:eastAsia="pt-BR"/>
          <w14:ligatures w14:val="none"/>
        </w:rPr>
        <w:t>DiMaggio</w:t>
      </w:r>
      <w:proofErr w:type="spellEnd"/>
      <w:r w:rsidRPr="00632A99">
        <w:rPr>
          <w:rFonts w:ascii="Trebuchet MS" w:eastAsia="Times New Roman" w:hAnsi="Trebuchet MS" w:cs="Times New Roman"/>
          <w:color w:val="000000"/>
          <w:kern w:val="0"/>
          <w:lang w:eastAsia="pt-BR"/>
          <w14:ligatures w14:val="none"/>
        </w:rPr>
        <w:t xml:space="preserve"> e Powell (1991), as organizações podem mimetizar outras por haver incertezas simbólicas no ambiente. No que se refere ao tema deste artigo, a produção em agroindústrias familiares e artesanais foi historicamente questionada quanto à qualidade dos seus produtos e sobre o risco à saúde pública. O SUSAF-RS, ao mimetizar critérios para garantia de inocuidade e qualidade e adesão, pode ser visto como uma forma de reduzir tais incertezas e questionamentos da esfera federal, ainda que haja autonomia federativa.</w:t>
      </w:r>
    </w:p>
    <w:p w14:paraId="36103250" w14:textId="74627D20" w:rsidR="00FC7895" w:rsidRPr="00FC7895" w:rsidRDefault="00632A99" w:rsidP="00D309FD">
      <w:pPr>
        <w:spacing w:line="360" w:lineRule="auto"/>
        <w:jc w:val="both"/>
        <w:rPr>
          <w:rFonts w:ascii="Times New Roman" w:eastAsia="Times New Roman" w:hAnsi="Times New Roman" w:cs="Times New Roman"/>
          <w:kern w:val="0"/>
          <w:lang w:eastAsia="pt-BR"/>
          <w14:ligatures w14:val="none"/>
        </w:rPr>
      </w:pPr>
      <w:r w:rsidRPr="00632A99">
        <w:rPr>
          <w:rFonts w:ascii="Trebuchet MS" w:eastAsia="Times New Roman" w:hAnsi="Trebuchet MS" w:cs="Times New Roman"/>
          <w:color w:val="000000"/>
          <w:kern w:val="0"/>
          <w:lang w:eastAsia="pt-BR"/>
          <w14:ligatures w14:val="none"/>
        </w:rPr>
        <w:t>Ambos sistemas preveem a articulação com o SUS, a emissão de um selo de identificação, sistema de informação e um órgão técnico consultivo - Conselho Gestor (SUSAF-RS) e Comitê Técnico (SISBI-POA) compostos por representantes estatais e da sociedade civil. Mas o SUSAF-RS inova ao ampliar a participação social, incluindo municípios, instituições de pesquisa, ensino e extensão, órgãos ligados à produção agropecuária, à saúde pública e ao meio ambiente. Sua principal inovação, no entanto, é a inclusão da definição de agroindústrias familiares e associada à Lei da Agricultura Familiar (Lei Federal n.º 11.326/2006) e de agroindústrias artesanais de pequeno porte, além das especificidades da agricultura familiar, até aquele momento, ausentes no SISBI-POA (Brasil, 2006b). Assim, embora o SUSAF-RS mimetize o SISBI-POA, mas diferencia-se ao atender demandas regionais, atuando em uma agenda própria, buscando se legitimar como um sistema adequado às necessidades da agricultura familiar.</w:t>
      </w:r>
    </w:p>
    <w:p w14:paraId="266704A6" w14:textId="77777777" w:rsidR="00FC7895" w:rsidRPr="00FC7895" w:rsidRDefault="00FC7895" w:rsidP="00FC7895">
      <w:pPr>
        <w:spacing w:after="240" w:line="360" w:lineRule="auto"/>
        <w:jc w:val="both"/>
        <w:rPr>
          <w:rFonts w:ascii="Times New Roman" w:eastAsia="Times New Roman" w:hAnsi="Times New Roman" w:cs="Times New Roman"/>
          <w:kern w:val="0"/>
          <w:lang w:eastAsia="pt-BR"/>
          <w14:ligatures w14:val="none"/>
        </w:rPr>
      </w:pPr>
      <w:r w:rsidRPr="00FC7895">
        <w:rPr>
          <w:rFonts w:ascii="Trebuchet MS" w:eastAsia="Times New Roman" w:hAnsi="Trebuchet MS" w:cs="Times New Roman"/>
          <w:color w:val="000000"/>
          <w:kern w:val="0"/>
          <w:lang w:eastAsia="pt-BR"/>
          <w14:ligatures w14:val="none"/>
        </w:rPr>
        <w:t xml:space="preserve">Do SUSAF-RS aos </w:t>
      </w:r>
      <w:proofErr w:type="spellStart"/>
      <w:r w:rsidRPr="00FC7895">
        <w:rPr>
          <w:rFonts w:ascii="Trebuchet MS" w:eastAsia="Times New Roman" w:hAnsi="Trebuchet MS" w:cs="Times New Roman"/>
          <w:color w:val="000000"/>
          <w:kern w:val="0"/>
          <w:lang w:eastAsia="pt-BR"/>
          <w14:ligatures w14:val="none"/>
        </w:rPr>
        <w:t>SUSAFs</w:t>
      </w:r>
      <w:proofErr w:type="spellEnd"/>
      <w:r w:rsidRPr="00FC7895">
        <w:rPr>
          <w:rFonts w:ascii="Trebuchet MS" w:eastAsia="Times New Roman" w:hAnsi="Trebuchet MS" w:cs="Times New Roman"/>
          <w:color w:val="000000"/>
          <w:kern w:val="0"/>
          <w:lang w:eastAsia="pt-BR"/>
          <w14:ligatures w14:val="none"/>
        </w:rPr>
        <w:t>: a conformação dos sistemas subnacionais</w:t>
      </w:r>
    </w:p>
    <w:p w14:paraId="5600876D" w14:textId="77777777" w:rsidR="00B33FAF" w:rsidRPr="00B33FAF" w:rsidRDefault="00B33FAF" w:rsidP="00B33FAF">
      <w:pPr>
        <w:spacing w:line="360" w:lineRule="auto"/>
        <w:jc w:val="both"/>
        <w:rPr>
          <w:rFonts w:ascii="Trebuchet MS" w:eastAsia="Times New Roman" w:hAnsi="Trebuchet MS" w:cs="Times New Roman"/>
          <w:color w:val="000000"/>
          <w:kern w:val="0"/>
          <w:lang w:eastAsia="pt-BR"/>
          <w14:ligatures w14:val="none"/>
        </w:rPr>
      </w:pPr>
      <w:r w:rsidRPr="00B33FAF">
        <w:rPr>
          <w:rFonts w:ascii="Trebuchet MS" w:eastAsia="Times New Roman" w:hAnsi="Trebuchet MS" w:cs="Times New Roman"/>
          <w:color w:val="000000"/>
          <w:kern w:val="0"/>
          <w:lang w:eastAsia="pt-BR"/>
          <w14:ligatures w14:val="none"/>
        </w:rPr>
        <w:lastRenderedPageBreak/>
        <w:t xml:space="preserve">Como exposto, o SUSAF-RS mimetiza parcialmente o SISBI-POA, no entanto, a terceira hipótese investigou se os novos </w:t>
      </w:r>
      <w:proofErr w:type="spellStart"/>
      <w:r w:rsidRPr="00B33FAF">
        <w:rPr>
          <w:rFonts w:ascii="Trebuchet MS" w:eastAsia="Times New Roman" w:hAnsi="Trebuchet MS" w:cs="Times New Roman"/>
          <w:color w:val="000000"/>
          <w:kern w:val="0"/>
          <w:lang w:eastAsia="pt-BR"/>
          <w14:ligatures w14:val="none"/>
        </w:rPr>
        <w:t>SUSAFs</w:t>
      </w:r>
      <w:proofErr w:type="spellEnd"/>
      <w:r w:rsidRPr="00B33FAF">
        <w:rPr>
          <w:rFonts w:ascii="Trebuchet MS" w:eastAsia="Times New Roman" w:hAnsi="Trebuchet MS" w:cs="Times New Roman"/>
          <w:color w:val="000000"/>
          <w:kern w:val="0"/>
          <w:lang w:eastAsia="pt-BR"/>
          <w14:ligatures w14:val="none"/>
        </w:rPr>
        <w:t xml:space="preserve"> mimetizam o sistema gaúcho e, se sim, até que ponto isso ocorre, e se isto é uma estratégia para reduzir incertezas institucionais quanto à sanidade da produção da agricultura familiar e/ou por reconhecê-lo como legítimo e bem-sucedido. Ao analisar as justificativas, verifica-se que a maior dos sistemas usa a sigla “SUSAF”, mas apenas o Paraná faz menção ao sistema gaúcho e os sistemas do ES, MT, CE não incluem o termo artesanal no nome. Os principais argumentos para a criação dos sistemas que mimetizam o SUSAF-RS são o estímulo à agricultura familiar, padronização dos procedimentos de inspeção e a garantia da qualidade final, além da ampliação do comércio intermunicipal de POA. Em menor grau, as justificativas, relacionam o </w:t>
      </w:r>
      <w:proofErr w:type="spellStart"/>
      <w:r w:rsidRPr="00B33FAF">
        <w:rPr>
          <w:rFonts w:ascii="Trebuchet MS" w:eastAsia="Times New Roman" w:hAnsi="Trebuchet MS" w:cs="Times New Roman"/>
          <w:color w:val="000000"/>
          <w:kern w:val="0"/>
          <w:lang w:eastAsia="pt-BR"/>
          <w14:ligatures w14:val="none"/>
        </w:rPr>
        <w:t>SUSAFs</w:t>
      </w:r>
      <w:proofErr w:type="spellEnd"/>
      <w:r w:rsidRPr="00B33FAF">
        <w:rPr>
          <w:rFonts w:ascii="Trebuchet MS" w:eastAsia="Times New Roman" w:hAnsi="Trebuchet MS" w:cs="Times New Roman"/>
          <w:color w:val="000000"/>
          <w:kern w:val="0"/>
          <w:lang w:eastAsia="pt-BR"/>
          <w14:ligatures w14:val="none"/>
        </w:rPr>
        <w:t xml:space="preserve"> à geração de trabalho e renda, a permanência da juventude do campo, à oferta de produtos locais e o fortalecimento de economias regionais. As justificativas mais similares à do RS são dos estados do PR e MT12, que inclusive questionam a relação entre qualidade do produto e infraestrutura, as instâncias de inspeção e sua associação à saúde pública, às exigências técnicas e burocráticas incompatíveis com a agricultura familiar e a exclusão resultante dessas exigências.</w:t>
      </w:r>
    </w:p>
    <w:p w14:paraId="6D583E08" w14:textId="77777777" w:rsidR="00B33FAF" w:rsidRPr="00B33FAF" w:rsidRDefault="00B33FAF" w:rsidP="00B33FAF">
      <w:pPr>
        <w:spacing w:line="360" w:lineRule="auto"/>
        <w:jc w:val="both"/>
        <w:rPr>
          <w:rFonts w:ascii="Trebuchet MS" w:eastAsia="Times New Roman" w:hAnsi="Trebuchet MS" w:cs="Times New Roman"/>
          <w:color w:val="000000"/>
          <w:kern w:val="0"/>
          <w:lang w:eastAsia="pt-BR"/>
          <w14:ligatures w14:val="none"/>
        </w:rPr>
      </w:pPr>
      <w:r w:rsidRPr="00B33FAF">
        <w:rPr>
          <w:rFonts w:ascii="Trebuchet MS" w:eastAsia="Times New Roman" w:hAnsi="Trebuchet MS" w:cs="Times New Roman"/>
          <w:color w:val="000000"/>
          <w:kern w:val="0"/>
          <w:lang w:eastAsia="pt-BR"/>
          <w14:ligatures w14:val="none"/>
        </w:rPr>
        <w:t xml:space="preserve">Quanto aos </w:t>
      </w:r>
      <w:proofErr w:type="spellStart"/>
      <w:r w:rsidRPr="00B33FAF">
        <w:rPr>
          <w:rFonts w:ascii="Trebuchet MS" w:eastAsia="Times New Roman" w:hAnsi="Trebuchet MS" w:cs="Times New Roman"/>
          <w:color w:val="000000"/>
          <w:kern w:val="0"/>
          <w:lang w:eastAsia="pt-BR"/>
          <w14:ligatures w14:val="none"/>
        </w:rPr>
        <w:t>conteúdos</w:t>
      </w:r>
      <w:proofErr w:type="spellEnd"/>
      <w:r w:rsidRPr="00B33FAF">
        <w:rPr>
          <w:rFonts w:ascii="Trebuchet MS" w:eastAsia="Times New Roman" w:hAnsi="Trebuchet MS" w:cs="Times New Roman"/>
          <w:color w:val="000000"/>
          <w:kern w:val="0"/>
          <w:lang w:eastAsia="pt-BR"/>
          <w14:ligatures w14:val="none"/>
        </w:rPr>
        <w:t xml:space="preserve"> das leis, na Tabela 1, observa-se os diferentes graus de mimetismo dos </w:t>
      </w:r>
      <w:proofErr w:type="spellStart"/>
      <w:r w:rsidRPr="00B33FAF">
        <w:rPr>
          <w:rFonts w:ascii="Trebuchet MS" w:eastAsia="Times New Roman" w:hAnsi="Trebuchet MS" w:cs="Times New Roman"/>
          <w:color w:val="000000"/>
          <w:kern w:val="0"/>
          <w:lang w:eastAsia="pt-BR"/>
          <w14:ligatures w14:val="none"/>
        </w:rPr>
        <w:t>SUSAFs</w:t>
      </w:r>
      <w:proofErr w:type="spellEnd"/>
      <w:r w:rsidRPr="00B33FAF">
        <w:rPr>
          <w:rFonts w:ascii="Trebuchet MS" w:eastAsia="Times New Roman" w:hAnsi="Trebuchet MS" w:cs="Times New Roman"/>
          <w:color w:val="000000"/>
          <w:kern w:val="0"/>
          <w:lang w:eastAsia="pt-BR"/>
          <w14:ligatures w14:val="none"/>
        </w:rPr>
        <w:t xml:space="preserve"> em relação ao SUSAF-RS. Verifica-se que os </w:t>
      </w:r>
      <w:proofErr w:type="gramStart"/>
      <w:r w:rsidRPr="00B33FAF">
        <w:rPr>
          <w:rFonts w:ascii="Trebuchet MS" w:eastAsia="Times New Roman" w:hAnsi="Trebuchet MS" w:cs="Times New Roman"/>
          <w:color w:val="000000"/>
          <w:kern w:val="0"/>
          <w:lang w:eastAsia="pt-BR"/>
          <w14:ligatures w14:val="none"/>
        </w:rPr>
        <w:t>sistemas mais recente</w:t>
      </w:r>
      <w:proofErr w:type="gramEnd"/>
      <w:r w:rsidRPr="00B33FAF">
        <w:rPr>
          <w:rFonts w:ascii="Trebuchet MS" w:eastAsia="Times New Roman" w:hAnsi="Trebuchet MS" w:cs="Times New Roman"/>
          <w:color w:val="000000"/>
          <w:kern w:val="0"/>
          <w:lang w:eastAsia="pt-BR"/>
          <w14:ligatures w14:val="none"/>
        </w:rPr>
        <w:t xml:space="preserve"> como MA (89%), CE (79%) e BA (93%), apresentam maior correspondência. O SUSAF-MT, na versão de 2012, tinha 93% de semelhança, mas amplas modificações na versão de 2017 o distanciaram do modelo gaúcho. O alto grau de mimetismo ao longo do tempo indica o reconhecimento do SUSAF-RS como modelo legítimo e bem-sucedido a ponto de ser “reproduzido”. Mas o que é mimetizado?</w:t>
      </w:r>
    </w:p>
    <w:p w14:paraId="6D50A626" w14:textId="77777777" w:rsidR="00B33FAF" w:rsidRPr="00B33FAF" w:rsidRDefault="00B33FAF" w:rsidP="00B33FAF">
      <w:pPr>
        <w:spacing w:line="360" w:lineRule="auto"/>
        <w:jc w:val="both"/>
        <w:rPr>
          <w:rFonts w:ascii="Trebuchet MS" w:eastAsia="Times New Roman" w:hAnsi="Trebuchet MS" w:cs="Times New Roman"/>
          <w:color w:val="000000"/>
          <w:kern w:val="0"/>
          <w:lang w:eastAsia="pt-BR"/>
          <w14:ligatures w14:val="none"/>
        </w:rPr>
      </w:pPr>
      <w:r w:rsidRPr="00B33FAF">
        <w:rPr>
          <w:rFonts w:ascii="Trebuchet MS" w:eastAsia="Times New Roman" w:hAnsi="Trebuchet MS" w:cs="Times New Roman"/>
          <w:color w:val="000000"/>
          <w:kern w:val="0"/>
          <w:lang w:eastAsia="pt-BR"/>
          <w14:ligatures w14:val="none"/>
        </w:rPr>
        <w:t xml:space="preserve">Os aspectos mais replicados são a possibilidade de celebrar convênios/parcerias e as finalidades. A reiteração das parcerias não surpreende, </w:t>
      </w:r>
      <w:proofErr w:type="gramStart"/>
      <w:r w:rsidRPr="00B33FAF">
        <w:rPr>
          <w:rFonts w:ascii="Trebuchet MS" w:eastAsia="Times New Roman" w:hAnsi="Trebuchet MS" w:cs="Times New Roman"/>
          <w:color w:val="000000"/>
          <w:kern w:val="0"/>
          <w:lang w:eastAsia="pt-BR"/>
          <w14:ligatures w14:val="none"/>
        </w:rPr>
        <w:t>pois</w:t>
      </w:r>
      <w:proofErr w:type="gramEnd"/>
      <w:r w:rsidRPr="00B33FAF">
        <w:rPr>
          <w:rFonts w:ascii="Trebuchet MS" w:eastAsia="Times New Roman" w:hAnsi="Trebuchet MS" w:cs="Times New Roman"/>
          <w:color w:val="000000"/>
          <w:kern w:val="0"/>
          <w:lang w:eastAsia="pt-BR"/>
          <w14:ligatures w14:val="none"/>
        </w:rPr>
        <w:t xml:space="preserve"> a concepção do sistema parte da interação de diferentes organizações públicas e privadas. O mesmo ocorre quanto às finalidades, pois estabelecem linhas gerais sobre como os sistemas </w:t>
      </w:r>
      <w:r w:rsidRPr="00B33FAF">
        <w:rPr>
          <w:rFonts w:ascii="Trebuchet MS" w:eastAsia="Times New Roman" w:hAnsi="Trebuchet MS" w:cs="Times New Roman"/>
          <w:color w:val="000000"/>
          <w:kern w:val="0"/>
          <w:lang w:eastAsia="pt-BR"/>
          <w14:ligatures w14:val="none"/>
        </w:rPr>
        <w:lastRenderedPageBreak/>
        <w:t xml:space="preserve">articulam os diferentes atores e estratégias, determinando a interlocução e o monitoramento dos </w:t>
      </w:r>
      <w:proofErr w:type="spellStart"/>
      <w:r w:rsidRPr="00B33FAF">
        <w:rPr>
          <w:rFonts w:ascii="Trebuchet MS" w:eastAsia="Times New Roman" w:hAnsi="Trebuchet MS" w:cs="Times New Roman"/>
          <w:color w:val="000000"/>
          <w:kern w:val="0"/>
          <w:lang w:eastAsia="pt-BR"/>
          <w14:ligatures w14:val="none"/>
        </w:rPr>
        <w:t>SIMs</w:t>
      </w:r>
      <w:proofErr w:type="spellEnd"/>
      <w:r w:rsidRPr="00B33FAF">
        <w:rPr>
          <w:rFonts w:ascii="Trebuchet MS" w:eastAsia="Times New Roman" w:hAnsi="Trebuchet MS" w:cs="Times New Roman"/>
          <w:color w:val="000000"/>
          <w:kern w:val="0"/>
          <w:lang w:eastAsia="pt-BR"/>
          <w14:ligatures w14:val="none"/>
        </w:rPr>
        <w:t xml:space="preserve">, a promoção da integração sistêmica, horizontal e descentralizada, e a definição de diretrizes sanitárias específicas para agricultura familiar e a elaboração de documentos técnicos adequados à categoria. Também preveem o estímulo a parcerias, autorização/descredenciamento para o comércio intermunicipal, autorização do uso do selo de qualidade e organização de cadastros das agroindústrias. </w:t>
      </w:r>
    </w:p>
    <w:p w14:paraId="4A02F9B6" w14:textId="77777777" w:rsidR="00B33FAF" w:rsidRPr="00B33FAF" w:rsidRDefault="00B33FAF" w:rsidP="00B33FAF">
      <w:pPr>
        <w:spacing w:line="360" w:lineRule="auto"/>
        <w:jc w:val="both"/>
        <w:rPr>
          <w:rFonts w:ascii="Trebuchet MS" w:eastAsia="Times New Roman" w:hAnsi="Trebuchet MS" w:cs="Times New Roman"/>
          <w:color w:val="000000"/>
          <w:kern w:val="0"/>
          <w:lang w:eastAsia="pt-BR"/>
          <w14:ligatures w14:val="none"/>
        </w:rPr>
      </w:pPr>
      <w:r w:rsidRPr="00B33FAF">
        <w:rPr>
          <w:rFonts w:ascii="Trebuchet MS" w:eastAsia="Times New Roman" w:hAnsi="Trebuchet MS" w:cs="Times New Roman"/>
          <w:color w:val="000000"/>
          <w:kern w:val="0"/>
          <w:lang w:eastAsia="pt-BR"/>
          <w14:ligatures w14:val="none"/>
        </w:rPr>
        <w:t xml:space="preserve">Outro item mimetizado do SUSAF-RS é a criação de um conselho gestor (88%). Nos estados do ES e TO, porém, esse conselho é deliberativo, inovando em relação ao modelo gaúcho, no qual é consultivo. No âmbito do conselho, a proposta de criação de câmaras temáticas foi replicada por 86% destes, bem como a instituição de selos de qualidade, a vinculação ao SISBI-POA (75%) e a articulação com o SUS (75%). Os procedimentos de adesão municipal também apresentam alta similaridade (70%). </w:t>
      </w:r>
    </w:p>
    <w:p w14:paraId="742CDABE" w14:textId="77777777" w:rsidR="00B33FAF" w:rsidRDefault="00B33FAF" w:rsidP="00B33FAF">
      <w:pPr>
        <w:spacing w:line="360" w:lineRule="auto"/>
        <w:jc w:val="both"/>
        <w:rPr>
          <w:rFonts w:ascii="Trebuchet MS" w:eastAsia="Times New Roman" w:hAnsi="Trebuchet MS" w:cs="Times New Roman"/>
          <w:color w:val="000000"/>
          <w:kern w:val="0"/>
          <w:lang w:eastAsia="pt-BR"/>
          <w14:ligatures w14:val="none"/>
        </w:rPr>
      </w:pPr>
      <w:r w:rsidRPr="00B33FAF">
        <w:rPr>
          <w:rFonts w:ascii="Trebuchet MS" w:eastAsia="Times New Roman" w:hAnsi="Trebuchet MS" w:cs="Times New Roman"/>
          <w:color w:val="000000"/>
          <w:kern w:val="0"/>
          <w:lang w:eastAsia="pt-BR"/>
          <w14:ligatures w14:val="none"/>
        </w:rPr>
        <w:t xml:space="preserve">A implementação de políticas voltadas à sanidade agroindustrial envolve desafios não apenas técnicos e regulatórios, mas também de governança. Em contextos de incerteza </w:t>
      </w:r>
      <w:proofErr w:type="gramStart"/>
      <w:r w:rsidRPr="00B33FAF">
        <w:rPr>
          <w:rFonts w:ascii="Trebuchet MS" w:eastAsia="Times New Roman" w:hAnsi="Trebuchet MS" w:cs="Times New Roman"/>
          <w:color w:val="000000"/>
          <w:kern w:val="0"/>
          <w:lang w:eastAsia="pt-BR"/>
          <w14:ligatures w14:val="none"/>
        </w:rPr>
        <w:t>institucional  -</w:t>
      </w:r>
      <w:proofErr w:type="gramEnd"/>
      <w:r w:rsidRPr="00B33FAF">
        <w:rPr>
          <w:rFonts w:ascii="Trebuchet MS" w:eastAsia="Times New Roman" w:hAnsi="Trebuchet MS" w:cs="Times New Roman"/>
          <w:color w:val="000000"/>
          <w:kern w:val="0"/>
          <w:lang w:eastAsia="pt-BR"/>
          <w14:ligatures w14:val="none"/>
        </w:rPr>
        <w:t xml:space="preserve"> como era no início dos anos de 2010, ainda mais com a busca por sistemas descentralizados voltados à agricultura familiar – tende-se a adotar modelos considerados bem-sucedidos, o que favorece a “cópia”. Assim, a reprodução de aspectos estruturais e de procedimentos do SUSAF-RS pode ser interpretada como reconhecimento de seu êxito, como defendido por </w:t>
      </w:r>
      <w:proofErr w:type="spellStart"/>
      <w:r w:rsidRPr="00B33FAF">
        <w:rPr>
          <w:rFonts w:ascii="Trebuchet MS" w:eastAsia="Times New Roman" w:hAnsi="Trebuchet MS" w:cs="Times New Roman"/>
          <w:color w:val="000000"/>
          <w:kern w:val="0"/>
          <w:lang w:eastAsia="pt-BR"/>
          <w14:ligatures w14:val="none"/>
        </w:rPr>
        <w:t>DiMaggio</w:t>
      </w:r>
      <w:proofErr w:type="spellEnd"/>
      <w:r w:rsidRPr="00B33FAF">
        <w:rPr>
          <w:rFonts w:ascii="Trebuchet MS" w:eastAsia="Times New Roman" w:hAnsi="Trebuchet MS" w:cs="Times New Roman"/>
          <w:color w:val="000000"/>
          <w:kern w:val="0"/>
          <w:lang w:eastAsia="pt-BR"/>
          <w14:ligatures w14:val="none"/>
        </w:rPr>
        <w:t xml:space="preserve"> e Powell (1991). Ao organizar o comércio intraestatal da produção familiar e artesanal, o RS ofereceu um modelo com legitimidade simbólica e técnica, tornando-se uma referência normativa, e quando outros estados o mimetizam, que passou a servir como referência normativa. Ao mimetizá-lo, outros estados além de acelerar a implementação de seus sistemas também podem buscar legitimidade institucional</w:t>
      </w:r>
    </w:p>
    <w:p w14:paraId="31E97EF3" w14:textId="6C11711A" w:rsidR="009236A9" w:rsidRPr="009236A9" w:rsidRDefault="009236A9" w:rsidP="00B33FAF">
      <w:pPr>
        <w:jc w:val="both"/>
        <w:rPr>
          <w:rFonts w:ascii="Times New Roman" w:eastAsia="Times New Roman" w:hAnsi="Times New Roman" w:cs="Times New Roman"/>
          <w:kern w:val="0"/>
          <w:lang w:eastAsia="pt-BR"/>
          <w14:ligatures w14:val="none"/>
        </w:rPr>
      </w:pPr>
      <w:r w:rsidRPr="009236A9">
        <w:rPr>
          <w:rFonts w:ascii="Trebuchet MS" w:eastAsia="Times New Roman" w:hAnsi="Trebuchet MS" w:cs="Times New Roman"/>
          <w:color w:val="000000"/>
          <w:kern w:val="0"/>
          <w:lang w:eastAsia="pt-BR"/>
          <w14:ligatures w14:val="none"/>
        </w:rPr>
        <w:t xml:space="preserve">Tabela 1 - Grau de Mimetismo dos </w:t>
      </w:r>
      <w:proofErr w:type="spellStart"/>
      <w:r w:rsidRPr="009236A9">
        <w:rPr>
          <w:rFonts w:ascii="Trebuchet MS" w:eastAsia="Times New Roman" w:hAnsi="Trebuchet MS" w:cs="Times New Roman"/>
          <w:color w:val="000000"/>
          <w:kern w:val="0"/>
          <w:lang w:eastAsia="pt-BR"/>
          <w14:ligatures w14:val="none"/>
        </w:rPr>
        <w:t>SUSAFs</w:t>
      </w:r>
      <w:proofErr w:type="spellEnd"/>
      <w:r w:rsidRPr="009236A9">
        <w:rPr>
          <w:rFonts w:ascii="Trebuchet MS" w:eastAsia="Times New Roman" w:hAnsi="Trebuchet MS" w:cs="Times New Roman"/>
          <w:color w:val="000000"/>
          <w:kern w:val="0"/>
          <w:lang w:eastAsia="pt-BR"/>
          <w14:ligatures w14:val="none"/>
        </w:rPr>
        <w:t xml:space="preserve"> em relação ao SUSAF-RS/2011.</w:t>
      </w:r>
    </w:p>
    <w:tbl>
      <w:tblPr>
        <w:tblW w:w="5000" w:type="pct"/>
        <w:tblCellMar>
          <w:top w:w="15" w:type="dxa"/>
          <w:left w:w="15" w:type="dxa"/>
          <w:bottom w:w="15" w:type="dxa"/>
          <w:right w:w="15" w:type="dxa"/>
        </w:tblCellMar>
        <w:tblLook w:val="04A0" w:firstRow="1" w:lastRow="0" w:firstColumn="1" w:lastColumn="0" w:noHBand="0" w:noVBand="1"/>
      </w:tblPr>
      <w:tblGrid>
        <w:gridCol w:w="4643"/>
        <w:gridCol w:w="449"/>
        <w:gridCol w:w="506"/>
        <w:gridCol w:w="493"/>
        <w:gridCol w:w="458"/>
        <w:gridCol w:w="506"/>
        <w:gridCol w:w="511"/>
        <w:gridCol w:w="453"/>
        <w:gridCol w:w="467"/>
        <w:gridCol w:w="574"/>
      </w:tblGrid>
      <w:tr w:rsidR="009236A9" w:rsidRPr="009236A9" w14:paraId="225E4AB1" w14:textId="77777777" w:rsidTr="00441269">
        <w:trPr>
          <w:trHeight w:val="330"/>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5B7F76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Descrição/Ano</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D9A52E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ES</w:t>
            </w:r>
          </w:p>
          <w:p w14:paraId="046B3BC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12</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0E08B7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MT</w:t>
            </w:r>
          </w:p>
          <w:p w14:paraId="615450F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12</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7AB2042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TO</w:t>
            </w:r>
          </w:p>
          <w:p w14:paraId="1A56BE9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12</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CD9652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PR</w:t>
            </w:r>
          </w:p>
          <w:p w14:paraId="0B0AE7B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13</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C67D05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MT</w:t>
            </w:r>
          </w:p>
          <w:p w14:paraId="75B14FC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17</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E4F91B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MA</w:t>
            </w:r>
          </w:p>
          <w:p w14:paraId="3D96DBE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19</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F7ED10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CE</w:t>
            </w:r>
          </w:p>
          <w:p w14:paraId="1F260EE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22</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215819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BA</w:t>
            </w:r>
          </w:p>
          <w:p w14:paraId="5E194C0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2"/>
                <w:szCs w:val="22"/>
                <w:lang w:eastAsia="pt-BR"/>
                <w14:ligatures w14:val="none"/>
              </w:rPr>
              <w:t>23</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B85AD8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w:t>
            </w:r>
          </w:p>
        </w:tc>
      </w:tr>
      <w:tr w:rsidR="009236A9" w:rsidRPr="009236A9" w14:paraId="51C11BD6"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642273"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Objetivos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A8A477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E4176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62208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186ED0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3F12E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C53C6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FAC076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A444D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9F1F14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60</w:t>
            </w:r>
          </w:p>
        </w:tc>
      </w:tr>
      <w:tr w:rsidR="009236A9" w:rsidRPr="009236A9" w14:paraId="1DABF83B"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55B6AF"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lastRenderedPageBreak/>
              <w:t>Finalidades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4E3E8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C18AB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2F2BDB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64A9E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D8263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C3EF78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6A9DC7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7AA6F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63B88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100</w:t>
            </w:r>
          </w:p>
        </w:tc>
      </w:tr>
      <w:tr w:rsidR="009236A9" w:rsidRPr="009236A9" w14:paraId="5B331207"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5E9E56"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Definição Agroindústrias Familiares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DED3E3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1783F7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D2855C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6FBC6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C9BF16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589779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BD3D3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6</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E20F4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717F7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83</w:t>
            </w:r>
          </w:p>
        </w:tc>
      </w:tr>
      <w:tr w:rsidR="009236A9" w:rsidRPr="009236A9" w14:paraId="47AC85CB"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14779AC"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 Vínculo a Lei da Agricultura Familiar</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E13A13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21D6E4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E1BD6A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06CE7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2B602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013B4F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F1265E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FDC70F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6E76F7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57</w:t>
            </w:r>
          </w:p>
        </w:tc>
      </w:tr>
      <w:tr w:rsidR="009236A9" w:rsidRPr="009236A9" w14:paraId="356D41B6"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0959ADB"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Definição Agroindústrias Artesanais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62A2C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10C1A6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85E381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19A8D3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6</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276B8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05565B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2B525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6</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02333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374730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50</w:t>
            </w:r>
          </w:p>
        </w:tc>
      </w:tr>
      <w:tr w:rsidR="009236A9" w:rsidRPr="009236A9" w14:paraId="53CB3378"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B7EB41E"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Adesão</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D0A3F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D2DFB2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085C7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CFE02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6</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D7F8D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4</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72F9F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EB939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989665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728D048"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70</w:t>
            </w:r>
          </w:p>
        </w:tc>
      </w:tr>
      <w:tr w:rsidR="009236A9" w:rsidRPr="009236A9" w14:paraId="34B45AFC"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827037"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Celebrar Convênios e Parcerias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817BDD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DB462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1F774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3087B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D40B1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B967D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D2573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6888D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3573C6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100</w:t>
            </w:r>
          </w:p>
        </w:tc>
      </w:tr>
      <w:tr w:rsidR="009236A9" w:rsidRPr="009236A9" w14:paraId="7C3E4150"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6135828"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Conselho Gestor</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F29AB8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CA55DC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F0CC84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86B61C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A929B9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56774E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FB95B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AC176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70A968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88</w:t>
            </w:r>
          </w:p>
        </w:tc>
      </w:tr>
      <w:tr w:rsidR="009236A9" w:rsidRPr="009236A9" w14:paraId="0199F046"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B5C8CB3"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 Câmaras Técnicas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8EABE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466C1E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5285DE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8A660B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1D966E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C4DB9F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CE4BB0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E719F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DCC5B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86</w:t>
            </w:r>
          </w:p>
        </w:tc>
      </w:tr>
      <w:tr w:rsidR="009236A9" w:rsidRPr="009236A9" w14:paraId="38B28F48"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9A36B66"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Selos de Identificação</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D5BE3D9"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940DF3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8C078B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E379E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3C8EEC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E7C5FC5"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472D37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4287B3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00AC84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88</w:t>
            </w:r>
          </w:p>
        </w:tc>
      </w:tr>
      <w:tr w:rsidR="009236A9" w:rsidRPr="009236A9" w14:paraId="7F8DC101"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2F932D"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Articulação com SUS</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D2DFA8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7F16E2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1AB45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F854AF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799CC0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234405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9944A3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8F0750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C56A5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75</w:t>
            </w:r>
          </w:p>
        </w:tc>
      </w:tr>
      <w:tr w:rsidR="009236A9" w:rsidRPr="009236A9" w14:paraId="6488E2C9"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C323A0C"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Vinculação ao SISBI-POA/SUASA</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DE9D3C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E6E1EA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19BEB8D"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5A8614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7A7DD1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DD8C8F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A19161"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53092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9942CD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75</w:t>
            </w:r>
          </w:p>
        </w:tc>
      </w:tr>
      <w:tr w:rsidR="009236A9" w:rsidRPr="009236A9" w14:paraId="383BA973" w14:textId="77777777" w:rsidTr="00441269">
        <w:trPr>
          <w:trHeight w:val="30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711913" w14:textId="77777777" w:rsidR="009236A9" w:rsidRPr="009236A9" w:rsidRDefault="009236A9" w:rsidP="009236A9">
            <w:pP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Estabelecimentos Equivalentes </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7DBE8D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A811C9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335AAC"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B2A55B3"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26660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0</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624141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124C87E"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8</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B2C84C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color w:val="000000"/>
                <w:kern w:val="0"/>
                <w:sz w:val="20"/>
                <w:szCs w:val="20"/>
                <w:lang w:eastAsia="pt-BR"/>
                <w14:ligatures w14:val="none"/>
              </w:rPr>
              <w:t>10</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5EFB69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60</w:t>
            </w:r>
          </w:p>
        </w:tc>
      </w:tr>
      <w:tr w:rsidR="009236A9" w:rsidRPr="009236A9" w14:paraId="298DCD3E" w14:textId="77777777" w:rsidTr="00441269">
        <w:trPr>
          <w:trHeight w:val="315"/>
        </w:trPr>
        <w:tc>
          <w:tcPr>
            <w:tcW w:w="256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3E07346"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 Mimetismo</w:t>
            </w:r>
          </w:p>
        </w:tc>
        <w:tc>
          <w:tcPr>
            <w:tcW w:w="24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4B31DBF"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63</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688EFA4"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93</w:t>
            </w:r>
          </w:p>
        </w:tc>
        <w:tc>
          <w:tcPr>
            <w:tcW w:w="27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E5E5CD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43</w:t>
            </w:r>
          </w:p>
        </w:tc>
        <w:tc>
          <w:tcPr>
            <w:tcW w:w="25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51B8987"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66</w:t>
            </w:r>
          </w:p>
        </w:tc>
        <w:tc>
          <w:tcPr>
            <w:tcW w:w="279"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6C77E472"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31</w:t>
            </w:r>
          </w:p>
        </w:tc>
        <w:tc>
          <w:tcPr>
            <w:tcW w:w="2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E83D28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89</w:t>
            </w:r>
          </w:p>
        </w:tc>
        <w:tc>
          <w:tcPr>
            <w:tcW w:w="25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230CBFB"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79</w:t>
            </w:r>
          </w:p>
        </w:tc>
        <w:tc>
          <w:tcPr>
            <w:tcW w:w="258"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50E197A"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93</w:t>
            </w:r>
          </w:p>
        </w:tc>
        <w:tc>
          <w:tcPr>
            <w:tcW w:w="31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58F42720" w14:textId="77777777" w:rsidR="009236A9" w:rsidRPr="009236A9" w:rsidRDefault="009236A9" w:rsidP="009236A9">
            <w:pPr>
              <w:jc w:val="center"/>
              <w:rPr>
                <w:rFonts w:eastAsia="Times New Roman" w:cs="Times New Roman"/>
                <w:kern w:val="0"/>
                <w:lang w:eastAsia="pt-BR"/>
                <w14:ligatures w14:val="none"/>
              </w:rPr>
            </w:pPr>
            <w:r w:rsidRPr="009236A9">
              <w:rPr>
                <w:rFonts w:eastAsia="Times New Roman" w:cs="Arial"/>
                <w:b/>
                <w:bCs/>
                <w:color w:val="000000"/>
                <w:kern w:val="0"/>
                <w:sz w:val="20"/>
                <w:szCs w:val="20"/>
                <w:lang w:eastAsia="pt-BR"/>
                <w14:ligatures w14:val="none"/>
              </w:rPr>
              <w:t>x</w:t>
            </w:r>
          </w:p>
        </w:tc>
      </w:tr>
    </w:tbl>
    <w:p w14:paraId="40079C77" w14:textId="77777777" w:rsidR="009236A9" w:rsidRPr="009236A9" w:rsidRDefault="009236A9" w:rsidP="009236A9">
      <w:pPr>
        <w:jc w:val="both"/>
        <w:rPr>
          <w:rFonts w:ascii="Times New Roman" w:eastAsia="Times New Roman" w:hAnsi="Times New Roman" w:cs="Times New Roman"/>
          <w:kern w:val="0"/>
          <w:lang w:eastAsia="pt-BR"/>
          <w14:ligatures w14:val="none"/>
        </w:rPr>
      </w:pPr>
      <w:r w:rsidRPr="009236A9">
        <w:rPr>
          <w:rFonts w:ascii="Trebuchet MS" w:eastAsia="Times New Roman" w:hAnsi="Trebuchet MS" w:cs="Times New Roman"/>
          <w:color w:val="000000"/>
          <w:kern w:val="0"/>
          <w:lang w:eastAsia="pt-BR"/>
          <w14:ligatures w14:val="none"/>
        </w:rPr>
        <w:t>Fonte: Elaborado pelas autoras.</w:t>
      </w:r>
    </w:p>
    <w:p w14:paraId="7F0A4C01" w14:textId="77777777" w:rsidR="009236A9" w:rsidRPr="009236A9" w:rsidRDefault="009236A9" w:rsidP="009236A9">
      <w:pPr>
        <w:rPr>
          <w:rFonts w:ascii="Times New Roman" w:eastAsia="Times New Roman" w:hAnsi="Times New Roman" w:cs="Times New Roman"/>
          <w:kern w:val="0"/>
          <w:lang w:eastAsia="pt-BR"/>
          <w14:ligatures w14:val="none"/>
        </w:rPr>
      </w:pPr>
    </w:p>
    <w:p w14:paraId="2AA75977" w14:textId="77777777" w:rsidR="00C001A1" w:rsidRDefault="00C001A1" w:rsidP="00C001A1">
      <w:pPr>
        <w:spacing w:line="360" w:lineRule="auto"/>
        <w:jc w:val="both"/>
        <w:rPr>
          <w:rFonts w:ascii="Times New Roman" w:eastAsia="Times New Roman" w:hAnsi="Times New Roman" w:cs="Times New Roman"/>
          <w:kern w:val="0"/>
          <w:lang w:eastAsia="pt-BR"/>
          <w14:ligatures w14:val="none"/>
        </w:rPr>
      </w:pPr>
      <w:r>
        <w:rPr>
          <w:rFonts w:eastAsia="Times New Roman" w:cs="Times New Roman"/>
          <w:color w:val="000000"/>
          <w:kern w:val="0"/>
          <w:lang w:eastAsia="pt-BR"/>
          <w14:ligatures w14:val="none"/>
        </w:rPr>
        <w:t xml:space="preserve">Outro aspecto mimetizado do SUSAF-RS foram os objetivos, embora por número menor de estados. Porém, quando o fizeram reproduzem quase de forma integral (ES, MT12, CE e BA), sobretudo quanto à garantia da inocuidade, integridade e qualidade do produto final, e à exigência de que normas técnicas e de instruções sanitárias devem se fundamentar em parâmetros técnicos de Boas Práticas. </w:t>
      </w:r>
      <w:proofErr w:type="gramStart"/>
      <w:r>
        <w:rPr>
          <w:rFonts w:eastAsia="Times New Roman" w:cs="Times New Roman"/>
          <w:color w:val="000000"/>
          <w:kern w:val="0"/>
          <w:lang w:eastAsia="pt-BR"/>
          <w14:ligatures w14:val="none"/>
        </w:rPr>
        <w:t>Essas  reproduções</w:t>
      </w:r>
      <w:proofErr w:type="gramEnd"/>
      <w:r>
        <w:rPr>
          <w:rFonts w:eastAsia="Times New Roman" w:cs="Times New Roman"/>
          <w:color w:val="000000"/>
          <w:kern w:val="0"/>
          <w:lang w:eastAsia="pt-BR"/>
          <w14:ligatures w14:val="none"/>
        </w:rPr>
        <w:t xml:space="preserve"> buscam reduzir incertezas normativas, políticas e técnicas associados aos produtos de origem familiar e artesanal que, de forma equivocada, foram relacionados ao risco à saúde, além de combater o estigma sobre estes produtos.</w:t>
      </w:r>
    </w:p>
    <w:p w14:paraId="711FFAB3" w14:textId="18ED2F70" w:rsidR="00C001A1" w:rsidRDefault="00C001A1" w:rsidP="00C001A1">
      <w:pPr>
        <w:spacing w:line="360" w:lineRule="auto"/>
        <w:jc w:val="both"/>
        <w:rPr>
          <w:rFonts w:ascii="Times New Roman" w:eastAsia="Times New Roman" w:hAnsi="Times New Roman" w:cs="Times New Roman"/>
          <w:kern w:val="0"/>
          <w:lang w:eastAsia="pt-BR"/>
          <w14:ligatures w14:val="none"/>
        </w:rPr>
      </w:pPr>
      <w:r>
        <w:rPr>
          <w:rFonts w:eastAsia="Times New Roman" w:cs="Times New Roman"/>
          <w:color w:val="000000"/>
          <w:kern w:val="0"/>
          <w:lang w:eastAsia="pt-BR"/>
          <w14:ligatures w14:val="none"/>
        </w:rPr>
        <w:t xml:space="preserve">Uma inovação importante do SUSAF-RS foi a definição de agroindústrias familiares de pequeno porte (AFPP) e AFPP de processamento artesanal, até aquele momento ausente das pelas normas. A definição de AFPP foi amplamente replicada, exceto por TO, que não faz definição, e por </w:t>
      </w:r>
      <w:r w:rsidR="00510DC2">
        <w:rPr>
          <w:rFonts w:eastAsia="Times New Roman" w:cs="Times New Roman"/>
          <w:color w:val="000000"/>
          <w:kern w:val="0"/>
          <w:lang w:eastAsia="pt-BR"/>
          <w14:ligatures w14:val="none"/>
        </w:rPr>
        <w:t>CE</w:t>
      </w:r>
      <w:r w:rsidR="00510DC2" w:rsidRPr="00510DC2">
        <w:rPr>
          <w:rFonts w:eastAsia="Times New Roman" w:cs="Times New Roman"/>
          <w:kern w:val="0"/>
          <w:lang w:eastAsia="pt-BR"/>
          <w14:ligatures w14:val="none"/>
        </w:rPr>
        <w:t>, que</w:t>
      </w:r>
      <w:r w:rsidR="00807659" w:rsidRPr="00510DC2">
        <w:rPr>
          <w:rFonts w:eastAsia="Times New Roman" w:cs="Times New Roman"/>
          <w:kern w:val="0"/>
          <w:lang w:eastAsia="pt-BR"/>
          <w14:ligatures w14:val="none"/>
        </w:rPr>
        <w:t xml:space="preserve"> </w:t>
      </w:r>
      <w:r w:rsidRPr="00510DC2">
        <w:rPr>
          <w:rFonts w:eastAsia="Times New Roman" w:cs="Times New Roman"/>
          <w:kern w:val="0"/>
          <w:lang w:eastAsia="pt-BR"/>
          <w14:ligatures w14:val="none"/>
        </w:rPr>
        <w:t xml:space="preserve">traz </w:t>
      </w:r>
      <w:r w:rsidR="001B3B2E" w:rsidRPr="00510DC2">
        <w:rPr>
          <w:rFonts w:eastAsia="Times New Roman" w:cs="Times New Roman"/>
          <w:kern w:val="0"/>
          <w:lang w:eastAsia="pt-BR"/>
          <w14:ligatures w14:val="none"/>
        </w:rPr>
        <w:t xml:space="preserve">a </w:t>
      </w:r>
      <w:r>
        <w:rPr>
          <w:rFonts w:eastAsia="Times New Roman" w:cs="Times New Roman"/>
          <w:color w:val="000000"/>
          <w:kern w:val="0"/>
          <w:lang w:eastAsia="pt-BR"/>
          <w14:ligatures w14:val="none"/>
        </w:rPr>
        <w:t xml:space="preserve">definição de agroindústria não associada à agricultura familiar. Em 57% dos casos, a definição de agroindústrias familiares remete à Lei da Agricultura Familiar (Lei Federal nº 11.326/2006), como </w:t>
      </w:r>
      <w:r>
        <w:rPr>
          <w:rFonts w:eastAsia="Times New Roman" w:cs="Times New Roman"/>
          <w:color w:val="000000"/>
          <w:kern w:val="0"/>
          <w:lang w:eastAsia="pt-BR"/>
          <w14:ligatures w14:val="none"/>
        </w:rPr>
        <w:lastRenderedPageBreak/>
        <w:t>no SUSAF-RS (Brasil, 2006c). A lei que define agricultores familiares é reconhecida nacionalmente e amplamente utilizada como base legal para delimitar público beneficiário de políticas públicas. Ao utilizá-la o SUSAF garante segurança jurídica, diminui incertezas institucionais e amplia o alinhamento com outras políticas. </w:t>
      </w:r>
    </w:p>
    <w:p w14:paraId="72E1A860" w14:textId="77777777" w:rsidR="00C001A1" w:rsidRDefault="00C001A1" w:rsidP="00C001A1">
      <w:pPr>
        <w:spacing w:line="360" w:lineRule="auto"/>
        <w:jc w:val="both"/>
        <w:rPr>
          <w:rFonts w:ascii="Times New Roman" w:eastAsia="Times New Roman" w:hAnsi="Times New Roman" w:cs="Times New Roman"/>
          <w:kern w:val="0"/>
          <w:lang w:eastAsia="pt-BR"/>
          <w14:ligatures w14:val="none"/>
        </w:rPr>
      </w:pPr>
      <w:r>
        <w:rPr>
          <w:rFonts w:eastAsia="Times New Roman" w:cs="Times New Roman"/>
          <w:color w:val="000000"/>
          <w:kern w:val="0"/>
          <w:lang w:eastAsia="pt-BR"/>
          <w14:ligatures w14:val="none"/>
        </w:rPr>
        <w:t xml:space="preserve">A definição da AFPP de processamento artesanal pelo SUSAFRS foi ainda mais pioneira, ao reconhecer processos diferenciados, valores culturais, geográficos e históricos envolvidos na produção em um cenário de ausência de políticas sanitárias que incluíssem essas especificidades o que resultou em exclusão e marginalização. Ainda assim, apenas metade dos novos </w:t>
      </w:r>
      <w:proofErr w:type="spellStart"/>
      <w:r>
        <w:rPr>
          <w:rFonts w:eastAsia="Times New Roman" w:cs="Times New Roman"/>
          <w:color w:val="000000"/>
          <w:kern w:val="0"/>
          <w:lang w:eastAsia="pt-BR"/>
          <w14:ligatures w14:val="none"/>
        </w:rPr>
        <w:t>SUSAFs</w:t>
      </w:r>
      <w:proofErr w:type="spellEnd"/>
      <w:r>
        <w:rPr>
          <w:rFonts w:eastAsia="Times New Roman" w:cs="Times New Roman"/>
          <w:color w:val="000000"/>
          <w:kern w:val="0"/>
          <w:lang w:eastAsia="pt-BR"/>
          <w14:ligatures w14:val="none"/>
        </w:rPr>
        <w:t xml:space="preserve"> incluíram a definição, sendo que MT12 e BA a replicam integralmente. Isso indica que os estados tendem a mimetizar elementos já institucionalizados, como “agroindústrias familiares”, visto que a produção artesanal passou a ter instrumentos legais de reconhecimento federal apenas recentemente, como por meio do Selo Arte. No RS, essa inclusão resulta também de forte pressão dos movimentos sociais – elemento que não foi possível verificar nos outros estados. Outro componente pouco mimetizado é o reconhecimento das agroindústrias familiares equivalentes ou aquelas de pequeno porte que não se enquadram formalmente como agricultura familiar. Essa abertura reduz conflitos e amplia o alcance da política.</w:t>
      </w:r>
    </w:p>
    <w:p w14:paraId="560554BF" w14:textId="77777777" w:rsidR="00C001A1" w:rsidRDefault="00C001A1" w:rsidP="00C001A1">
      <w:pPr>
        <w:spacing w:line="360" w:lineRule="auto"/>
        <w:jc w:val="both"/>
        <w:rPr>
          <w:rFonts w:ascii="Times New Roman" w:eastAsia="Times New Roman" w:hAnsi="Times New Roman" w:cs="Times New Roman"/>
          <w:kern w:val="0"/>
          <w:lang w:eastAsia="pt-BR"/>
          <w14:ligatures w14:val="none"/>
        </w:rPr>
      </w:pPr>
      <w:r>
        <w:rPr>
          <w:rFonts w:eastAsia="Times New Roman" w:cs="Times New Roman"/>
          <w:color w:val="000000"/>
          <w:kern w:val="0"/>
          <w:lang w:eastAsia="pt-BR"/>
          <w14:ligatures w14:val="none"/>
        </w:rPr>
        <w:t xml:space="preserve">A difusão dos novos </w:t>
      </w:r>
      <w:proofErr w:type="spellStart"/>
      <w:r>
        <w:rPr>
          <w:rFonts w:eastAsia="Times New Roman" w:cs="Times New Roman"/>
          <w:color w:val="000000"/>
          <w:kern w:val="0"/>
          <w:lang w:eastAsia="pt-BR"/>
          <w14:ligatures w14:val="none"/>
        </w:rPr>
        <w:t>SUSAFs</w:t>
      </w:r>
      <w:proofErr w:type="spellEnd"/>
      <w:r>
        <w:rPr>
          <w:rFonts w:eastAsia="Times New Roman" w:cs="Times New Roman"/>
          <w:color w:val="000000"/>
          <w:kern w:val="0"/>
          <w:lang w:eastAsia="pt-BR"/>
          <w14:ligatures w14:val="none"/>
        </w:rPr>
        <w:t xml:space="preserve"> também decorre de isomorfismo normativo, pois profissionais ligados ao SUSAF-RS passaram a apresentar o modelo em eventos da área sanitária e promover visitas técnicas, como a da </w:t>
      </w:r>
      <w:proofErr w:type="spellStart"/>
      <w:r>
        <w:rPr>
          <w:rFonts w:eastAsia="Times New Roman" w:cs="Times New Roman"/>
          <w:color w:val="000000"/>
          <w:kern w:val="0"/>
          <w:lang w:eastAsia="pt-BR"/>
          <w14:ligatures w14:val="none"/>
        </w:rPr>
        <w:t>Expointer</w:t>
      </w:r>
      <w:proofErr w:type="spellEnd"/>
      <w:r>
        <w:rPr>
          <w:rFonts w:eastAsia="Times New Roman" w:cs="Times New Roman"/>
          <w:color w:val="000000"/>
          <w:kern w:val="0"/>
          <w:lang w:eastAsia="pt-BR"/>
          <w14:ligatures w14:val="none"/>
        </w:rPr>
        <w:t xml:space="preserve"> 2022, na qual os secretários da agricultura do Ceará, Pernambuco, Paraíba, Rio Grande do Norte, Bahia e Alagoas foram conhecer o sistema gaúcho (Pinto, 2022). Apesar da ampla reprodução do SUSAF-RS, os novos sistemas apresentam inovações. O SUSAF-ES foi instituído no âmbito da lei que estabeleceu tratamento diferenciado a microempresas, empresas de pequeno porte e aos empreendedores individuais, vinculando-se a uma política mais ampla. No SUSAP-CE, produtos apreendidos, quando aptos ao consumo, são destinados prioritariamente a programas de segurança </w:t>
      </w:r>
      <w:r>
        <w:rPr>
          <w:rFonts w:eastAsia="Times New Roman" w:cs="Times New Roman"/>
          <w:color w:val="000000"/>
          <w:kern w:val="0"/>
          <w:lang w:eastAsia="pt-BR"/>
          <w14:ligatures w14:val="none"/>
        </w:rPr>
        <w:lastRenderedPageBreak/>
        <w:t>alimentar e combate à fome. Além disso, o sistema busca estimular parcerias para a instalação e melhoria de abatedouros municipais. Já o SUSAF-MA e o SUSAF-MT17 incorporam definições de consórcios baseadas na Lei dos Consórcios, conferindo maior segurança jurídica junto à cooperação entre municípios. O SUSAF-MT, em ambas versões, inovou ao incluir os produtos de origem vegetal e integrar os serviços de vigilância sanitária sob a responsabilidade da Secretaria da Saúde. </w:t>
      </w:r>
    </w:p>
    <w:p w14:paraId="28D0CC89" w14:textId="7C563179" w:rsidR="00216EFF" w:rsidRPr="00216EFF" w:rsidRDefault="00216EFF" w:rsidP="009236A9">
      <w:pPr>
        <w:spacing w:after="240" w:line="360" w:lineRule="auto"/>
        <w:jc w:val="both"/>
        <w:rPr>
          <w:rFonts w:eastAsia="Arial" w:cs="Arial"/>
          <w:b/>
        </w:rPr>
      </w:pPr>
      <w:r w:rsidRPr="00216EFF">
        <w:rPr>
          <w:rFonts w:eastAsia="Arial" w:cs="Arial"/>
          <w:b/>
        </w:rPr>
        <w:t xml:space="preserve">CONSIDERAÇÕES FINAIS </w:t>
      </w:r>
    </w:p>
    <w:p w14:paraId="46B60C07" w14:textId="77777777" w:rsidR="008E7548" w:rsidRDefault="008E7548" w:rsidP="008E7548">
      <w:pPr>
        <w:spacing w:line="360" w:lineRule="auto"/>
        <w:ind w:hanging="2"/>
        <w:jc w:val="both"/>
        <w:rPr>
          <w:rFonts w:ascii="Trebuchet MS" w:eastAsia="Times New Roman" w:hAnsi="Trebuchet MS" w:cs="Times New Roman"/>
          <w:color w:val="000000"/>
          <w:kern w:val="0"/>
          <w:lang w:eastAsia="pt-BR"/>
          <w14:ligatures w14:val="none"/>
        </w:rPr>
      </w:pPr>
      <w:r w:rsidRPr="008E7548">
        <w:rPr>
          <w:rFonts w:ascii="Trebuchet MS" w:eastAsia="Times New Roman" w:hAnsi="Trebuchet MS" w:cs="Times New Roman"/>
          <w:color w:val="000000"/>
          <w:kern w:val="0"/>
          <w:lang w:eastAsia="pt-BR"/>
          <w14:ligatures w14:val="none"/>
        </w:rPr>
        <w:t xml:space="preserve">A análise revelou que a criação dos </w:t>
      </w:r>
      <w:proofErr w:type="spellStart"/>
      <w:r w:rsidRPr="008E7548">
        <w:rPr>
          <w:rFonts w:ascii="Trebuchet MS" w:eastAsia="Times New Roman" w:hAnsi="Trebuchet MS" w:cs="Times New Roman"/>
          <w:color w:val="000000"/>
          <w:kern w:val="0"/>
          <w:lang w:eastAsia="pt-BR"/>
          <w14:ligatures w14:val="none"/>
        </w:rPr>
        <w:t>SUSAFs</w:t>
      </w:r>
      <w:proofErr w:type="spellEnd"/>
      <w:r w:rsidRPr="008E7548">
        <w:rPr>
          <w:rFonts w:ascii="Trebuchet MS" w:eastAsia="Times New Roman" w:hAnsi="Trebuchet MS" w:cs="Times New Roman"/>
          <w:color w:val="000000"/>
          <w:kern w:val="0"/>
          <w:lang w:eastAsia="pt-BR"/>
          <w14:ligatures w14:val="none"/>
        </w:rPr>
        <w:t xml:space="preserve"> resulta de um triplo isomorfismo institucional: coercitivo, pela pressão regulatória do marco federal, e mimético e normativo, pela reprodução do modelo gaúcho ao ser reconhecido como bem-sucedido. Ainda que haja tendência a uniformização, os diferentes graus de mimetismo indicam há espaço para inovações. O SUSAF-RS, ao romper com a universalização acrítica dos padrões sanitários industriais e reconhecer a diversidade da agricultura familiar, ofereceu um modelo legítimo que acelerou a implementação da política em outros estados. A abordagem do isomorfismo institucional mostrou-se útil para compreender as dinâmicas de adaptação dos sistemas sanitários estaduais. Contudo, o estudo se limita à análise de </w:t>
      </w:r>
      <w:proofErr w:type="spellStart"/>
      <w:r w:rsidRPr="008E7548">
        <w:rPr>
          <w:rFonts w:ascii="Trebuchet MS" w:eastAsia="Times New Roman" w:hAnsi="Trebuchet MS" w:cs="Times New Roman"/>
          <w:color w:val="000000"/>
          <w:kern w:val="0"/>
          <w:lang w:eastAsia="pt-BR"/>
          <w14:ligatures w14:val="none"/>
        </w:rPr>
        <w:t>Pls</w:t>
      </w:r>
      <w:proofErr w:type="spellEnd"/>
      <w:r w:rsidRPr="008E7548">
        <w:rPr>
          <w:rFonts w:ascii="Trebuchet MS" w:eastAsia="Times New Roman" w:hAnsi="Trebuchet MS" w:cs="Times New Roman"/>
          <w:color w:val="000000"/>
          <w:kern w:val="0"/>
          <w:lang w:eastAsia="pt-BR"/>
          <w14:ligatures w14:val="none"/>
        </w:rPr>
        <w:t xml:space="preserve"> e leis, sem abordar decretos de regulamentação nem a relação dos </w:t>
      </w:r>
      <w:proofErr w:type="spellStart"/>
      <w:r w:rsidRPr="008E7548">
        <w:rPr>
          <w:rFonts w:ascii="Trebuchet MS" w:eastAsia="Times New Roman" w:hAnsi="Trebuchet MS" w:cs="Times New Roman"/>
          <w:color w:val="000000"/>
          <w:kern w:val="0"/>
          <w:lang w:eastAsia="pt-BR"/>
          <w14:ligatures w14:val="none"/>
        </w:rPr>
        <w:t>SUSAFs</w:t>
      </w:r>
      <w:proofErr w:type="spellEnd"/>
      <w:r w:rsidRPr="008E7548">
        <w:rPr>
          <w:rFonts w:ascii="Trebuchet MS" w:eastAsia="Times New Roman" w:hAnsi="Trebuchet MS" w:cs="Times New Roman"/>
          <w:color w:val="000000"/>
          <w:kern w:val="0"/>
          <w:lang w:eastAsia="pt-BR"/>
          <w14:ligatures w14:val="none"/>
        </w:rPr>
        <w:t xml:space="preserve"> com normas federais atualizadas, o que pode ser explorado em estudos futuros. Outros estudos também poderão investigar se os </w:t>
      </w:r>
      <w:proofErr w:type="spellStart"/>
      <w:r w:rsidRPr="008E7548">
        <w:rPr>
          <w:rFonts w:ascii="Trebuchet MS" w:eastAsia="Times New Roman" w:hAnsi="Trebuchet MS" w:cs="Times New Roman"/>
          <w:color w:val="000000"/>
          <w:kern w:val="0"/>
          <w:lang w:eastAsia="pt-BR"/>
          <w14:ligatures w14:val="none"/>
        </w:rPr>
        <w:t>SUSAFs</w:t>
      </w:r>
      <w:proofErr w:type="spellEnd"/>
      <w:r w:rsidRPr="008E7548">
        <w:rPr>
          <w:rFonts w:ascii="Trebuchet MS" w:eastAsia="Times New Roman" w:hAnsi="Trebuchet MS" w:cs="Times New Roman"/>
          <w:color w:val="000000"/>
          <w:kern w:val="0"/>
          <w:lang w:eastAsia="pt-BR"/>
          <w14:ligatures w14:val="none"/>
        </w:rPr>
        <w:t xml:space="preserve"> têm efetivamente formalizado as agroindústrias familiares e como o isomorfismo mimético impacta esse processo.</w:t>
      </w:r>
    </w:p>
    <w:p w14:paraId="3D237921" w14:textId="7B7EB36B" w:rsidR="00216EFF" w:rsidRPr="00B14E2C" w:rsidRDefault="00216EFF" w:rsidP="00B14E2C">
      <w:pPr>
        <w:ind w:hanging="2"/>
        <w:jc w:val="both"/>
        <w:rPr>
          <w:rFonts w:eastAsia="Arial" w:cs="Arial"/>
          <w:b/>
          <w:color w:val="000000"/>
          <w:sz w:val="20"/>
        </w:rPr>
      </w:pPr>
      <w:r w:rsidRPr="00B14E2C">
        <w:rPr>
          <w:rFonts w:eastAsia="Arial" w:cs="Arial"/>
          <w:b/>
          <w:color w:val="000000"/>
          <w:sz w:val="20"/>
          <w:highlight w:val="white"/>
        </w:rPr>
        <w:t>REFERÊNCIAS</w:t>
      </w:r>
    </w:p>
    <w:p w14:paraId="0A729A9F" w14:textId="30D89EB8"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BRASIL. Constituição (1988). Constituição da República Federativa do Brasil. Promulgada em 5 de outubro de 1988. Brasília, DF: Senado Federal, 1988.</w:t>
      </w:r>
    </w:p>
    <w:p w14:paraId="014DD60F" w14:textId="77777777" w:rsidR="00B14E2C" w:rsidRPr="00B14E2C" w:rsidRDefault="00B14E2C" w:rsidP="00B14E2C">
      <w:pPr>
        <w:pStyle w:val="NormalWeb"/>
        <w:spacing w:before="0" w:beforeAutospacing="0" w:after="0" w:afterAutospacing="0"/>
        <w:jc w:val="both"/>
        <w:rPr>
          <w:sz w:val="20"/>
        </w:rPr>
      </w:pPr>
    </w:p>
    <w:p w14:paraId="69A27A36" w14:textId="2219AF6E"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 xml:space="preserve">BRASIL. Decreto nº 30.691, de 29 de março de 1952. D.O.U. Rio de Janeiro, RJ, 31 mar. 1952. Seção 1. Acesso em: 02 de </w:t>
      </w:r>
      <w:proofErr w:type="spellStart"/>
      <w:r w:rsidRPr="00B14E2C">
        <w:rPr>
          <w:rFonts w:ascii="Trebuchet MS" w:hAnsi="Trebuchet MS"/>
          <w:color w:val="000000"/>
          <w:sz w:val="20"/>
        </w:rPr>
        <w:t>nov</w:t>
      </w:r>
      <w:proofErr w:type="spellEnd"/>
      <w:r w:rsidRPr="00B14E2C">
        <w:rPr>
          <w:rFonts w:ascii="Trebuchet MS" w:hAnsi="Trebuchet MS"/>
          <w:color w:val="000000"/>
          <w:sz w:val="20"/>
        </w:rPr>
        <w:t xml:space="preserve"> 2022.</w:t>
      </w:r>
    </w:p>
    <w:p w14:paraId="4E6BC85B" w14:textId="77777777" w:rsidR="00B14E2C" w:rsidRPr="00B14E2C" w:rsidRDefault="00B14E2C" w:rsidP="00B14E2C">
      <w:pPr>
        <w:pStyle w:val="NormalWeb"/>
        <w:spacing w:before="0" w:beforeAutospacing="0" w:after="0" w:afterAutospacing="0"/>
        <w:jc w:val="both"/>
        <w:rPr>
          <w:sz w:val="20"/>
        </w:rPr>
      </w:pPr>
    </w:p>
    <w:p w14:paraId="19374927" w14:textId="17F235A6"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BRASIL. Decreto nº 5.741, de 30 de março de 2006. D.O.U. Brasília, DF, 2006, p. 82, 31 de março de 2006. Seção 1. 2006a. Acesso em: 10 out 2022. (2006a)</w:t>
      </w:r>
    </w:p>
    <w:p w14:paraId="4200D05C" w14:textId="77777777" w:rsidR="00B14E2C" w:rsidRPr="00B14E2C" w:rsidRDefault="00B14E2C" w:rsidP="00B14E2C">
      <w:pPr>
        <w:pStyle w:val="NormalWeb"/>
        <w:spacing w:before="0" w:beforeAutospacing="0" w:after="0" w:afterAutospacing="0"/>
        <w:jc w:val="both"/>
        <w:rPr>
          <w:sz w:val="20"/>
        </w:rPr>
      </w:pPr>
    </w:p>
    <w:p w14:paraId="78FE2758" w14:textId="0E8CDB36"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lastRenderedPageBreak/>
        <w:t xml:space="preserve">BRASIL. Lei nº 1.168, de 2 de agosto de 1950. D.O.U. Rio de Janeiro, RJ, 1950. p. 11569, 7 de ago. 1950. Seção 1. Acesso em: 02 de </w:t>
      </w:r>
      <w:proofErr w:type="spellStart"/>
      <w:r w:rsidRPr="00B14E2C">
        <w:rPr>
          <w:rFonts w:ascii="Trebuchet MS" w:hAnsi="Trebuchet MS"/>
          <w:color w:val="000000"/>
          <w:sz w:val="20"/>
        </w:rPr>
        <w:t>nov</w:t>
      </w:r>
      <w:proofErr w:type="spellEnd"/>
      <w:r w:rsidRPr="00B14E2C">
        <w:rPr>
          <w:rFonts w:ascii="Trebuchet MS" w:hAnsi="Trebuchet MS"/>
          <w:color w:val="000000"/>
          <w:sz w:val="20"/>
        </w:rPr>
        <w:t xml:space="preserve"> 2022.</w:t>
      </w:r>
    </w:p>
    <w:p w14:paraId="4CC266AE" w14:textId="77777777" w:rsidR="00B14E2C" w:rsidRPr="00B14E2C" w:rsidRDefault="00B14E2C" w:rsidP="00B14E2C">
      <w:pPr>
        <w:pStyle w:val="NormalWeb"/>
        <w:spacing w:before="0" w:beforeAutospacing="0" w:after="0" w:afterAutospacing="0"/>
        <w:jc w:val="both"/>
        <w:rPr>
          <w:sz w:val="20"/>
        </w:rPr>
      </w:pPr>
    </w:p>
    <w:p w14:paraId="4938546D" w14:textId="58EA06AA"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BRASIL. Lei nº 11.326, de 24 de julho de 2006. D.O.U. Brasília, DF, 2006, p.1, 25 de julho de 2006. Seção 1. (2006b). Acesso em: 10 out 2022.</w:t>
      </w:r>
    </w:p>
    <w:p w14:paraId="250E7F5A" w14:textId="77777777" w:rsidR="00B14E2C" w:rsidRPr="00B14E2C" w:rsidRDefault="00B14E2C" w:rsidP="00B14E2C">
      <w:pPr>
        <w:pStyle w:val="NormalWeb"/>
        <w:spacing w:before="0" w:beforeAutospacing="0" w:after="0" w:afterAutospacing="0"/>
        <w:jc w:val="both"/>
        <w:rPr>
          <w:sz w:val="20"/>
        </w:rPr>
      </w:pPr>
    </w:p>
    <w:p w14:paraId="110BC460" w14:textId="38386022"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BRASIL. Lei nº 8.171, de 17 de janeiro de 1991. D.O.U. Brasília, DF, 1991. p. 1330, 18 de jan. 1991. Seção 1. Acesso em: 20 out 2022.</w:t>
      </w:r>
    </w:p>
    <w:p w14:paraId="65CCDA48" w14:textId="77777777" w:rsidR="00B14E2C" w:rsidRPr="00B14E2C" w:rsidRDefault="00B14E2C" w:rsidP="00B14E2C">
      <w:pPr>
        <w:pStyle w:val="NormalWeb"/>
        <w:spacing w:before="0" w:beforeAutospacing="0" w:after="0" w:afterAutospacing="0"/>
        <w:jc w:val="both"/>
        <w:rPr>
          <w:sz w:val="20"/>
        </w:rPr>
      </w:pPr>
    </w:p>
    <w:p w14:paraId="0B794423" w14:textId="0A31FE85"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BRASIL. Ministério da Agricultura, Pecuária e Abastecimento. Instrução Normativa MAPA n° 19, de 24 de julho de 2006. D.O.U. Brasília, DF, 2006. p.5, 28 de jul. 2006. Seção 1. Acesso em: 15 out 2024. (2006c)</w:t>
      </w:r>
    </w:p>
    <w:p w14:paraId="3AFDF79A" w14:textId="77777777" w:rsidR="00B14E2C" w:rsidRPr="00B14E2C" w:rsidRDefault="00B14E2C" w:rsidP="00B14E2C">
      <w:pPr>
        <w:pStyle w:val="NormalWeb"/>
        <w:spacing w:before="0" w:beforeAutospacing="0" w:after="0" w:afterAutospacing="0"/>
        <w:jc w:val="both"/>
        <w:rPr>
          <w:sz w:val="20"/>
        </w:rPr>
      </w:pPr>
      <w:bookmarkStart w:id="0" w:name="_GoBack"/>
      <w:bookmarkEnd w:id="0"/>
    </w:p>
    <w:p w14:paraId="46379B1A" w14:textId="7C2167DD"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 xml:space="preserve">BRASIL. Ministério da Agricultura, Pecuária e Abastecimento. Instrução Normativa MAPA n° 36, de 20 de julho de 2011. D.O.U. Brasília, DF, 26 de jul. 2006. Seção 1. Acesso em: </w:t>
      </w:r>
      <w:proofErr w:type="gramStart"/>
      <w:r w:rsidRPr="00B14E2C">
        <w:rPr>
          <w:rFonts w:ascii="Trebuchet MS" w:hAnsi="Trebuchet MS"/>
          <w:color w:val="000000"/>
          <w:sz w:val="20"/>
        </w:rPr>
        <w:t>15 mar</w:t>
      </w:r>
      <w:proofErr w:type="gramEnd"/>
      <w:r w:rsidRPr="00B14E2C">
        <w:rPr>
          <w:rFonts w:ascii="Trebuchet MS" w:hAnsi="Trebuchet MS"/>
          <w:color w:val="000000"/>
          <w:sz w:val="20"/>
        </w:rPr>
        <w:t xml:space="preserve"> 2025. </w:t>
      </w:r>
    </w:p>
    <w:p w14:paraId="289A7E40" w14:textId="77777777" w:rsidR="00B14E2C" w:rsidRPr="00B14E2C" w:rsidRDefault="00B14E2C" w:rsidP="00B14E2C">
      <w:pPr>
        <w:pStyle w:val="NormalWeb"/>
        <w:spacing w:before="0" w:beforeAutospacing="0" w:after="0" w:afterAutospacing="0"/>
        <w:jc w:val="both"/>
        <w:rPr>
          <w:sz w:val="20"/>
        </w:rPr>
      </w:pPr>
    </w:p>
    <w:p w14:paraId="5E460A9C" w14:textId="49EA258E" w:rsidR="007D7C94" w:rsidRDefault="007D7C94" w:rsidP="00B14E2C">
      <w:pPr>
        <w:pStyle w:val="NormalWeb"/>
        <w:spacing w:before="0" w:beforeAutospacing="0" w:after="0" w:afterAutospacing="0"/>
        <w:jc w:val="both"/>
        <w:rPr>
          <w:rFonts w:ascii="Trebuchet MS" w:hAnsi="Trebuchet MS"/>
          <w:color w:val="000000"/>
          <w:sz w:val="20"/>
        </w:rPr>
      </w:pPr>
      <w:proofErr w:type="spellStart"/>
      <w:r w:rsidRPr="00B14E2C">
        <w:rPr>
          <w:rFonts w:ascii="Trebuchet MS" w:hAnsi="Trebuchet MS"/>
          <w:color w:val="000000"/>
          <w:sz w:val="20"/>
        </w:rPr>
        <w:t>DiMAGGIO</w:t>
      </w:r>
      <w:proofErr w:type="spellEnd"/>
      <w:r w:rsidRPr="00B14E2C">
        <w:rPr>
          <w:rFonts w:ascii="Trebuchet MS" w:hAnsi="Trebuchet MS"/>
          <w:color w:val="000000"/>
          <w:sz w:val="20"/>
        </w:rPr>
        <w:t xml:space="preserve">, Paul J.; POWELL, Walter W. The </w:t>
      </w:r>
      <w:proofErr w:type="spellStart"/>
      <w:r w:rsidRPr="00B14E2C">
        <w:rPr>
          <w:rFonts w:ascii="Trebuchet MS" w:hAnsi="Trebuchet MS"/>
          <w:color w:val="000000"/>
          <w:sz w:val="20"/>
        </w:rPr>
        <w:t>iron</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cage</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revisited</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institutional</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isomorphism</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and</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collective</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rationality</w:t>
      </w:r>
      <w:proofErr w:type="spellEnd"/>
      <w:r w:rsidRPr="00B14E2C">
        <w:rPr>
          <w:rFonts w:ascii="Trebuchet MS" w:hAnsi="Trebuchet MS"/>
          <w:color w:val="000000"/>
          <w:sz w:val="20"/>
        </w:rPr>
        <w:t xml:space="preserve"> in </w:t>
      </w:r>
      <w:proofErr w:type="spellStart"/>
      <w:r w:rsidRPr="00B14E2C">
        <w:rPr>
          <w:rFonts w:ascii="Trebuchet MS" w:hAnsi="Trebuchet MS"/>
          <w:color w:val="000000"/>
          <w:sz w:val="20"/>
        </w:rPr>
        <w:t>organizational</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fields</w:t>
      </w:r>
      <w:proofErr w:type="spellEnd"/>
      <w:r w:rsidRPr="00B14E2C">
        <w:rPr>
          <w:rFonts w:ascii="Trebuchet MS" w:hAnsi="Trebuchet MS"/>
          <w:color w:val="000000"/>
          <w:sz w:val="20"/>
        </w:rPr>
        <w:t xml:space="preserve">. In: POWELL, Walter W.; </w:t>
      </w:r>
      <w:proofErr w:type="spellStart"/>
      <w:r w:rsidRPr="00B14E2C">
        <w:rPr>
          <w:rFonts w:ascii="Trebuchet MS" w:hAnsi="Trebuchet MS"/>
          <w:color w:val="000000"/>
          <w:sz w:val="20"/>
        </w:rPr>
        <w:t>DiMAGGIO</w:t>
      </w:r>
      <w:proofErr w:type="spellEnd"/>
      <w:r w:rsidRPr="00B14E2C">
        <w:rPr>
          <w:rFonts w:ascii="Trebuchet MS" w:hAnsi="Trebuchet MS"/>
          <w:color w:val="000000"/>
          <w:sz w:val="20"/>
        </w:rPr>
        <w:t xml:space="preserve">, Paul J. (org.). The new </w:t>
      </w:r>
      <w:proofErr w:type="spellStart"/>
      <w:r w:rsidRPr="00B14E2C">
        <w:rPr>
          <w:rFonts w:ascii="Trebuchet MS" w:hAnsi="Trebuchet MS"/>
          <w:color w:val="000000"/>
          <w:sz w:val="20"/>
        </w:rPr>
        <w:t>institutionalism</w:t>
      </w:r>
      <w:proofErr w:type="spellEnd"/>
      <w:r w:rsidRPr="00B14E2C">
        <w:rPr>
          <w:rFonts w:ascii="Trebuchet MS" w:hAnsi="Trebuchet MS"/>
          <w:color w:val="000000"/>
          <w:sz w:val="20"/>
        </w:rPr>
        <w:t xml:space="preserve"> in </w:t>
      </w:r>
      <w:proofErr w:type="spellStart"/>
      <w:r w:rsidRPr="00B14E2C">
        <w:rPr>
          <w:rFonts w:ascii="Trebuchet MS" w:hAnsi="Trebuchet MS"/>
          <w:color w:val="000000"/>
          <w:sz w:val="20"/>
        </w:rPr>
        <w:t>organizational</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analysis</w:t>
      </w:r>
      <w:proofErr w:type="spellEnd"/>
      <w:r w:rsidRPr="00B14E2C">
        <w:rPr>
          <w:rFonts w:ascii="Trebuchet MS" w:hAnsi="Trebuchet MS"/>
          <w:color w:val="000000"/>
          <w:sz w:val="20"/>
        </w:rPr>
        <w:t xml:space="preserve">. Chicago: </w:t>
      </w:r>
      <w:proofErr w:type="spellStart"/>
      <w:r w:rsidRPr="00B14E2C">
        <w:rPr>
          <w:rFonts w:ascii="Trebuchet MS" w:hAnsi="Trebuchet MS"/>
          <w:color w:val="000000"/>
          <w:sz w:val="20"/>
        </w:rPr>
        <w:t>University</w:t>
      </w:r>
      <w:proofErr w:type="spellEnd"/>
      <w:r w:rsidRPr="00B14E2C">
        <w:rPr>
          <w:rFonts w:ascii="Trebuchet MS" w:hAnsi="Trebuchet MS"/>
          <w:color w:val="000000"/>
          <w:sz w:val="20"/>
        </w:rPr>
        <w:t xml:space="preserve"> </w:t>
      </w:r>
      <w:proofErr w:type="spellStart"/>
      <w:r w:rsidRPr="00B14E2C">
        <w:rPr>
          <w:rFonts w:ascii="Trebuchet MS" w:hAnsi="Trebuchet MS"/>
          <w:color w:val="000000"/>
          <w:sz w:val="20"/>
        </w:rPr>
        <w:t>of</w:t>
      </w:r>
      <w:proofErr w:type="spellEnd"/>
      <w:r w:rsidRPr="00B14E2C">
        <w:rPr>
          <w:rFonts w:ascii="Trebuchet MS" w:hAnsi="Trebuchet MS"/>
          <w:color w:val="000000"/>
          <w:sz w:val="20"/>
        </w:rPr>
        <w:t xml:space="preserve"> Chicago Press, 1991. p. 63–82.</w:t>
      </w:r>
    </w:p>
    <w:p w14:paraId="36AF9D4A" w14:textId="77777777" w:rsidR="00B14E2C" w:rsidRPr="00B14E2C" w:rsidRDefault="00B14E2C" w:rsidP="00B14E2C">
      <w:pPr>
        <w:pStyle w:val="NormalWeb"/>
        <w:spacing w:before="0" w:beforeAutospacing="0" w:after="0" w:afterAutospacing="0"/>
        <w:jc w:val="both"/>
        <w:rPr>
          <w:sz w:val="20"/>
        </w:rPr>
      </w:pPr>
    </w:p>
    <w:p w14:paraId="4011FE87" w14:textId="1DF36D5E"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 xml:space="preserve">PINTO, E. Secretários de estados do Nordeste vêm conhecer o </w:t>
      </w:r>
      <w:proofErr w:type="spellStart"/>
      <w:r w:rsidRPr="00B14E2C">
        <w:rPr>
          <w:rFonts w:ascii="Trebuchet MS" w:hAnsi="Trebuchet MS"/>
          <w:color w:val="000000"/>
          <w:sz w:val="20"/>
        </w:rPr>
        <w:t>Susaf</w:t>
      </w:r>
      <w:proofErr w:type="spellEnd"/>
      <w:r w:rsidRPr="00B14E2C">
        <w:rPr>
          <w:rFonts w:ascii="Trebuchet MS" w:hAnsi="Trebuchet MS"/>
          <w:color w:val="000000"/>
          <w:sz w:val="20"/>
        </w:rPr>
        <w:t xml:space="preserve">/RS durante a </w:t>
      </w:r>
      <w:proofErr w:type="spellStart"/>
      <w:r w:rsidRPr="00B14E2C">
        <w:rPr>
          <w:rFonts w:ascii="Trebuchet MS" w:hAnsi="Trebuchet MS"/>
          <w:color w:val="000000"/>
          <w:sz w:val="20"/>
        </w:rPr>
        <w:t>Expointer</w:t>
      </w:r>
      <w:proofErr w:type="spellEnd"/>
      <w:r w:rsidRPr="00B14E2C">
        <w:rPr>
          <w:rFonts w:ascii="Trebuchet MS" w:hAnsi="Trebuchet MS"/>
          <w:color w:val="000000"/>
          <w:sz w:val="20"/>
        </w:rPr>
        <w:t>. Disponível em: https://www.expointer.rs.gov.br/secretarios-de-estados-do-nordeste-vem-conhecer-o-susaf-rs-durante-a-expointer.  Acesso em: 02 de mar 2025.</w:t>
      </w:r>
    </w:p>
    <w:p w14:paraId="1EB7616D" w14:textId="77777777" w:rsidR="00B14E2C" w:rsidRPr="00B14E2C" w:rsidRDefault="00B14E2C" w:rsidP="00B14E2C">
      <w:pPr>
        <w:pStyle w:val="NormalWeb"/>
        <w:spacing w:before="0" w:beforeAutospacing="0" w:after="0" w:afterAutospacing="0"/>
        <w:jc w:val="both"/>
        <w:rPr>
          <w:sz w:val="20"/>
        </w:rPr>
      </w:pPr>
    </w:p>
    <w:p w14:paraId="0D5E648D" w14:textId="12840B5C"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PREZOTTO, L. L. Sustentabilidade da agricultura familiar: implicações da legislação sanitária. Fortaleza: Fundação Konrad Adenauer, Instituto de Assessoria para o Desenvolvimento Humano. 167p. 2005.</w:t>
      </w:r>
    </w:p>
    <w:p w14:paraId="6EB48230" w14:textId="77777777" w:rsidR="00B14E2C" w:rsidRPr="00B14E2C" w:rsidRDefault="00B14E2C" w:rsidP="00B14E2C">
      <w:pPr>
        <w:pStyle w:val="NormalWeb"/>
        <w:spacing w:before="0" w:beforeAutospacing="0" w:after="0" w:afterAutospacing="0"/>
        <w:jc w:val="both"/>
        <w:rPr>
          <w:sz w:val="20"/>
        </w:rPr>
      </w:pPr>
    </w:p>
    <w:p w14:paraId="79443116" w14:textId="31FB3D86" w:rsidR="007D7C94" w:rsidRDefault="007D7C94" w:rsidP="00B14E2C">
      <w:pPr>
        <w:ind w:hanging="2"/>
        <w:jc w:val="both"/>
        <w:rPr>
          <w:rFonts w:eastAsia="Arial" w:cs="Arial"/>
          <w:bCs/>
          <w:color w:val="000000"/>
          <w:sz w:val="20"/>
        </w:rPr>
      </w:pPr>
      <w:r w:rsidRPr="00B14E2C">
        <w:rPr>
          <w:rFonts w:eastAsia="Arial" w:cs="Arial"/>
          <w:bCs/>
          <w:color w:val="000000"/>
          <w:sz w:val="20"/>
        </w:rPr>
        <w:t>RIO GRANDE DO SUL. Decreto nº 39.688, de 30 de agosto de 1999. Disponível em: https://www.al.rs.gov.br/legis/M010/M0100018.asp?Hid_IdNorma=61711. Acesso em: 20 out 2024.</w:t>
      </w:r>
    </w:p>
    <w:p w14:paraId="0E73FB80" w14:textId="77777777" w:rsidR="00B14E2C" w:rsidRPr="00B14E2C" w:rsidRDefault="00B14E2C" w:rsidP="00B14E2C">
      <w:pPr>
        <w:ind w:hanging="2"/>
        <w:jc w:val="both"/>
        <w:rPr>
          <w:rFonts w:eastAsia="Arial" w:cs="Arial"/>
          <w:bCs/>
          <w:color w:val="000000"/>
          <w:sz w:val="20"/>
        </w:rPr>
      </w:pPr>
    </w:p>
    <w:p w14:paraId="481C1E37" w14:textId="4E0F2C27"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RIO GRANDE DO SUL. Decreto nº 49.340, de 21 de março de 2012. Disponível em:https://ww3.al.rs.gov.br/legis/M010/M0100018.asp?Hid_IdNorma=58011&amp;Texto=&amp;Origem=1. Acesso em: 20 out 2022.</w:t>
      </w:r>
    </w:p>
    <w:p w14:paraId="371DBFEA" w14:textId="77777777" w:rsidR="00B14E2C" w:rsidRPr="00B14E2C" w:rsidRDefault="00B14E2C" w:rsidP="00B14E2C">
      <w:pPr>
        <w:pStyle w:val="NormalWeb"/>
        <w:spacing w:before="0" w:beforeAutospacing="0" w:after="0" w:afterAutospacing="0"/>
        <w:jc w:val="both"/>
        <w:rPr>
          <w:sz w:val="20"/>
        </w:rPr>
      </w:pPr>
    </w:p>
    <w:p w14:paraId="79BFFC51" w14:textId="45F87488" w:rsidR="007D7C94" w:rsidRDefault="007D7C94" w:rsidP="00B14E2C">
      <w:pPr>
        <w:ind w:hanging="2"/>
        <w:jc w:val="both"/>
        <w:rPr>
          <w:rFonts w:eastAsia="Arial" w:cs="Arial"/>
          <w:bCs/>
          <w:color w:val="000000"/>
          <w:sz w:val="20"/>
        </w:rPr>
      </w:pPr>
      <w:r w:rsidRPr="00B14E2C">
        <w:rPr>
          <w:rFonts w:eastAsia="Arial" w:cs="Arial"/>
          <w:bCs/>
          <w:color w:val="000000"/>
          <w:sz w:val="20"/>
        </w:rPr>
        <w:t>RIO GRANDE DO SUL. Lei nº 10.691, de 9 de janeiro de 1996. Disponível em: https://ww3.al.rs.gov.br/legis/M010/M0100018.asp?Hid_IdNorma=11550. Acesso em: 20 out 2024.</w:t>
      </w:r>
    </w:p>
    <w:p w14:paraId="679B5B6C" w14:textId="77777777" w:rsidR="00B14E2C" w:rsidRPr="00B14E2C" w:rsidRDefault="00B14E2C" w:rsidP="00B14E2C">
      <w:pPr>
        <w:ind w:hanging="2"/>
        <w:jc w:val="both"/>
        <w:rPr>
          <w:rFonts w:eastAsia="Arial" w:cs="Arial"/>
          <w:bCs/>
          <w:color w:val="000000"/>
          <w:sz w:val="20"/>
        </w:rPr>
      </w:pPr>
    </w:p>
    <w:p w14:paraId="553FB58C" w14:textId="7EDEE580" w:rsidR="007D7C94" w:rsidRDefault="007D7C94" w:rsidP="00B14E2C">
      <w:pPr>
        <w:pStyle w:val="NormalWeb"/>
        <w:spacing w:before="0" w:beforeAutospacing="0" w:after="0" w:afterAutospacing="0"/>
        <w:jc w:val="both"/>
        <w:rPr>
          <w:rFonts w:ascii="Trebuchet MS" w:hAnsi="Trebuchet MS"/>
          <w:color w:val="000000"/>
          <w:sz w:val="20"/>
        </w:rPr>
      </w:pPr>
      <w:r w:rsidRPr="00B14E2C">
        <w:rPr>
          <w:rFonts w:ascii="Trebuchet MS" w:hAnsi="Trebuchet MS"/>
          <w:color w:val="000000"/>
          <w:sz w:val="20"/>
        </w:rPr>
        <w:t xml:space="preserve">RIO GRANDE DO SUL. Lei Ordinária nº 13.825, de 6 de novembro de 2011. Disponível em: https://ww3.al.rs.gov.br/legis/M010/M0100018.asp?Hid_IdNor </w:t>
      </w:r>
      <w:proofErr w:type="spellStart"/>
      <w:r w:rsidRPr="00B14E2C">
        <w:rPr>
          <w:rFonts w:ascii="Trebuchet MS" w:hAnsi="Trebuchet MS"/>
          <w:color w:val="000000"/>
          <w:sz w:val="20"/>
        </w:rPr>
        <w:t>ma</w:t>
      </w:r>
      <w:proofErr w:type="spellEnd"/>
      <w:r w:rsidRPr="00B14E2C">
        <w:rPr>
          <w:rFonts w:ascii="Trebuchet MS" w:hAnsi="Trebuchet MS"/>
          <w:color w:val="000000"/>
          <w:sz w:val="20"/>
        </w:rPr>
        <w:t>=56857&amp; Texto=&amp;Origem=1. Acesso em: 20 out 2022.</w:t>
      </w:r>
    </w:p>
    <w:p w14:paraId="48176E8A" w14:textId="77777777" w:rsidR="00B14E2C" w:rsidRPr="00B14E2C" w:rsidRDefault="00B14E2C" w:rsidP="00B14E2C">
      <w:pPr>
        <w:pStyle w:val="NormalWeb"/>
        <w:spacing w:before="0" w:beforeAutospacing="0" w:after="0" w:afterAutospacing="0"/>
        <w:jc w:val="both"/>
        <w:rPr>
          <w:sz w:val="20"/>
        </w:rPr>
      </w:pPr>
    </w:p>
    <w:p w14:paraId="08249B19" w14:textId="77777777" w:rsidR="007D7C94" w:rsidRPr="00B14E2C" w:rsidRDefault="007D7C94" w:rsidP="00B14E2C">
      <w:pPr>
        <w:pStyle w:val="NormalWeb"/>
        <w:spacing w:before="0" w:beforeAutospacing="0" w:after="0" w:afterAutospacing="0"/>
        <w:jc w:val="both"/>
        <w:rPr>
          <w:sz w:val="20"/>
        </w:rPr>
      </w:pPr>
      <w:r w:rsidRPr="00B14E2C">
        <w:rPr>
          <w:rFonts w:ascii="Trebuchet MS" w:hAnsi="Trebuchet MS"/>
          <w:color w:val="000000"/>
          <w:sz w:val="20"/>
        </w:rPr>
        <w:t>STEPAN, A. L. S. Identificação das possíveis causas da baixa adesão dos municípios do Rio Grande do Sul ao Sistema Brasileiro de Inspeção de Produtos de Origem Animal – SISBI-POA. 2019. 237 f. Trabalho de Conclusão de Curso (Especialização em Gestão Pública Contemporânea) - Escola de Administração. Universidade Federal do Rio Grande do Sul, Porto Alegre, 2019.</w:t>
      </w:r>
    </w:p>
    <w:sectPr w:rsidR="007D7C94" w:rsidRPr="00B14E2C" w:rsidSect="009236A9">
      <w:footerReference w:type="default" r:id="rId8"/>
      <w:pgSz w:w="11906" w:h="16838"/>
      <w:pgMar w:top="1418" w:right="1418" w:bottom="1418"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991A4" w14:textId="77777777" w:rsidR="00E75D84" w:rsidRDefault="00E75D84" w:rsidP="0027518C">
      <w:r>
        <w:separator/>
      </w:r>
    </w:p>
  </w:endnote>
  <w:endnote w:type="continuationSeparator" w:id="0">
    <w:p w14:paraId="73EEC7C5" w14:textId="77777777" w:rsidR="00E75D84" w:rsidRDefault="00E75D84"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mbria"/>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5CD5" w14:textId="77777777" w:rsidR="00E75D84" w:rsidRDefault="00E75D84" w:rsidP="0027518C">
      <w:r>
        <w:separator/>
      </w:r>
    </w:p>
  </w:footnote>
  <w:footnote w:type="continuationSeparator" w:id="0">
    <w:p w14:paraId="4CDB931C" w14:textId="77777777" w:rsidR="00E75D84" w:rsidRDefault="00E75D84" w:rsidP="0027518C">
      <w:r>
        <w:continuationSeparator/>
      </w:r>
    </w:p>
  </w:footnote>
  <w:footnote w:id="1">
    <w:p w14:paraId="6DBA78B4" w14:textId="3AFF6F7C" w:rsidR="00216EFF" w:rsidRPr="00D1715C" w:rsidRDefault="000F370D" w:rsidP="00216EFF">
      <w:pPr>
        <w:pStyle w:val="Textodenotaderodap"/>
        <w:rPr>
          <w:rFonts w:ascii="Avenir Book" w:hAnsi="Avenir Book"/>
          <w:lang w:val="pt-BR"/>
        </w:rPr>
      </w:pPr>
      <w:r w:rsidRPr="00D1715C">
        <w:rPr>
          <w:rFonts w:ascii="Avenir Book" w:hAnsi="Avenir Book"/>
          <w:color w:val="000000"/>
          <w:vertAlign w:val="superscript"/>
        </w:rPr>
        <w:t>1 </w:t>
      </w:r>
      <w:r w:rsidRPr="00D1715C">
        <w:rPr>
          <w:rFonts w:ascii="Avenir Book" w:hAnsi="Avenir Book"/>
          <w:color w:val="000000"/>
        </w:rPr>
        <w:t>Universidade Federal do Rio Grande do Sul, elizapalombino@gmail.com.</w:t>
      </w:r>
    </w:p>
  </w:footnote>
  <w:footnote w:id="2">
    <w:p w14:paraId="25B57293" w14:textId="6AF73740" w:rsidR="00216EFF" w:rsidRDefault="00D1715C" w:rsidP="00216EFF">
      <w:pPr>
        <w:pStyle w:val="Textodenotaderodap"/>
        <w:rPr>
          <w:rFonts w:ascii="Avenir Book" w:hAnsi="Avenir Book"/>
          <w:color w:val="000000"/>
        </w:rPr>
      </w:pPr>
      <w:r w:rsidRPr="00D1715C">
        <w:rPr>
          <w:rFonts w:ascii="Avenir Book" w:hAnsi="Avenir Book"/>
          <w:color w:val="000000"/>
          <w:vertAlign w:val="superscript"/>
        </w:rPr>
        <w:t>2</w:t>
      </w:r>
      <w:r w:rsidRPr="00D1715C">
        <w:rPr>
          <w:rFonts w:ascii="Avenir Book" w:hAnsi="Avenir Book"/>
          <w:color w:val="000000"/>
        </w:rPr>
        <w:t>Universidade Federal de Goiás, fabianathome@ufg.br</w:t>
      </w:r>
    </w:p>
    <w:p w14:paraId="571A727C" w14:textId="3C879031" w:rsidR="00D1715C" w:rsidRPr="00D1715C" w:rsidRDefault="00D1715C" w:rsidP="00216EFF">
      <w:pPr>
        <w:pStyle w:val="Textodenotaderodap"/>
        <w:rPr>
          <w:rFonts w:ascii="Avenir Book" w:hAnsi="Avenir Book"/>
          <w:lang w:val="pt-BR"/>
        </w:rPr>
      </w:pPr>
      <w:r w:rsidRPr="00D1715C">
        <w:rPr>
          <w:rFonts w:ascii="Avenir" w:hAnsi="Avenir"/>
          <w:color w:val="000000"/>
          <w:vertAlign w:val="superscript"/>
        </w:rPr>
        <w:t>3</w:t>
      </w:r>
      <w:r>
        <w:rPr>
          <w:rFonts w:ascii="Avenir" w:hAnsi="Avenir"/>
          <w:color w:val="000000"/>
        </w:rPr>
        <w:t> </w:t>
      </w:r>
      <w:r w:rsidRPr="00D1715C">
        <w:rPr>
          <w:rFonts w:ascii="Avenir Book" w:hAnsi="Avenir Book"/>
          <w:color w:val="000000"/>
        </w:rPr>
        <w:t>Universidade Federal do Rio Grande do Sul, catiagrisaufrgs@gmail.com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F370D"/>
    <w:rsid w:val="001A3CCB"/>
    <w:rsid w:val="001A7413"/>
    <w:rsid w:val="001B3B2E"/>
    <w:rsid w:val="00216EFF"/>
    <w:rsid w:val="0027518C"/>
    <w:rsid w:val="00295FBE"/>
    <w:rsid w:val="002A3BD4"/>
    <w:rsid w:val="002B2423"/>
    <w:rsid w:val="0032757F"/>
    <w:rsid w:val="00441269"/>
    <w:rsid w:val="00475C32"/>
    <w:rsid w:val="004906DE"/>
    <w:rsid w:val="004E228D"/>
    <w:rsid w:val="0050526E"/>
    <w:rsid w:val="00507B98"/>
    <w:rsid w:val="00510DC2"/>
    <w:rsid w:val="00512181"/>
    <w:rsid w:val="0053021A"/>
    <w:rsid w:val="00632A99"/>
    <w:rsid w:val="00634370"/>
    <w:rsid w:val="00680A10"/>
    <w:rsid w:val="00692EEB"/>
    <w:rsid w:val="00733AFB"/>
    <w:rsid w:val="00757F24"/>
    <w:rsid w:val="007D7C94"/>
    <w:rsid w:val="00807659"/>
    <w:rsid w:val="0089120B"/>
    <w:rsid w:val="008E6843"/>
    <w:rsid w:val="008E7548"/>
    <w:rsid w:val="008E7777"/>
    <w:rsid w:val="008E7A76"/>
    <w:rsid w:val="00901DA1"/>
    <w:rsid w:val="009236A9"/>
    <w:rsid w:val="00B14E2C"/>
    <w:rsid w:val="00B33FAF"/>
    <w:rsid w:val="00B61734"/>
    <w:rsid w:val="00C001A1"/>
    <w:rsid w:val="00C1134E"/>
    <w:rsid w:val="00CD1F0F"/>
    <w:rsid w:val="00D1715C"/>
    <w:rsid w:val="00D309FD"/>
    <w:rsid w:val="00D31A9F"/>
    <w:rsid w:val="00D46408"/>
    <w:rsid w:val="00E75D84"/>
    <w:rsid w:val="00EF2E24"/>
    <w:rsid w:val="00FC78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D1715C"/>
    <w:rPr>
      <w:color w:val="467886" w:themeColor="hyperlink"/>
      <w:u w:val="single"/>
    </w:rPr>
  </w:style>
  <w:style w:type="character" w:customStyle="1" w:styleId="UnresolvedMention">
    <w:name w:val="Unresolved Mention"/>
    <w:basedOn w:val="Fontepargpadro"/>
    <w:uiPriority w:val="99"/>
    <w:semiHidden/>
    <w:unhideWhenUsed/>
    <w:rsid w:val="00D1715C"/>
    <w:rPr>
      <w:color w:val="605E5C"/>
      <w:shd w:val="clear" w:color="auto" w:fill="E1DFDD"/>
    </w:rPr>
  </w:style>
  <w:style w:type="paragraph" w:styleId="NormalWeb">
    <w:name w:val="Normal (Web)"/>
    <w:basedOn w:val="Normal"/>
    <w:uiPriority w:val="99"/>
    <w:semiHidden/>
    <w:unhideWhenUsed/>
    <w:qFormat/>
    <w:rsid w:val="00D1715C"/>
    <w:pPr>
      <w:spacing w:before="100" w:beforeAutospacing="1" w:after="100" w:afterAutospacing="1"/>
    </w:pPr>
    <w:rPr>
      <w:rFonts w:ascii="Times New Roman" w:eastAsia="Times New Roman" w:hAnsi="Times New Roman"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861">
      <w:bodyDiv w:val="1"/>
      <w:marLeft w:val="0"/>
      <w:marRight w:val="0"/>
      <w:marTop w:val="0"/>
      <w:marBottom w:val="0"/>
      <w:divBdr>
        <w:top w:val="none" w:sz="0" w:space="0" w:color="auto"/>
        <w:left w:val="none" w:sz="0" w:space="0" w:color="auto"/>
        <w:bottom w:val="none" w:sz="0" w:space="0" w:color="auto"/>
        <w:right w:val="none" w:sz="0" w:space="0" w:color="auto"/>
      </w:divBdr>
    </w:div>
    <w:div w:id="197934678">
      <w:bodyDiv w:val="1"/>
      <w:marLeft w:val="0"/>
      <w:marRight w:val="0"/>
      <w:marTop w:val="0"/>
      <w:marBottom w:val="0"/>
      <w:divBdr>
        <w:top w:val="none" w:sz="0" w:space="0" w:color="auto"/>
        <w:left w:val="none" w:sz="0" w:space="0" w:color="auto"/>
        <w:bottom w:val="none" w:sz="0" w:space="0" w:color="auto"/>
        <w:right w:val="none" w:sz="0" w:space="0" w:color="auto"/>
      </w:divBdr>
    </w:div>
    <w:div w:id="897666223">
      <w:bodyDiv w:val="1"/>
      <w:marLeft w:val="0"/>
      <w:marRight w:val="0"/>
      <w:marTop w:val="0"/>
      <w:marBottom w:val="0"/>
      <w:divBdr>
        <w:top w:val="none" w:sz="0" w:space="0" w:color="auto"/>
        <w:left w:val="none" w:sz="0" w:space="0" w:color="auto"/>
        <w:bottom w:val="none" w:sz="0" w:space="0" w:color="auto"/>
        <w:right w:val="none" w:sz="0" w:space="0" w:color="auto"/>
      </w:divBdr>
    </w:div>
    <w:div w:id="916865490">
      <w:bodyDiv w:val="1"/>
      <w:marLeft w:val="0"/>
      <w:marRight w:val="0"/>
      <w:marTop w:val="0"/>
      <w:marBottom w:val="0"/>
      <w:divBdr>
        <w:top w:val="none" w:sz="0" w:space="0" w:color="auto"/>
        <w:left w:val="none" w:sz="0" w:space="0" w:color="auto"/>
        <w:bottom w:val="none" w:sz="0" w:space="0" w:color="auto"/>
        <w:right w:val="none" w:sz="0" w:space="0" w:color="auto"/>
      </w:divBdr>
    </w:div>
    <w:div w:id="946497306">
      <w:bodyDiv w:val="1"/>
      <w:marLeft w:val="0"/>
      <w:marRight w:val="0"/>
      <w:marTop w:val="0"/>
      <w:marBottom w:val="0"/>
      <w:divBdr>
        <w:top w:val="none" w:sz="0" w:space="0" w:color="auto"/>
        <w:left w:val="none" w:sz="0" w:space="0" w:color="auto"/>
        <w:bottom w:val="none" w:sz="0" w:space="0" w:color="auto"/>
        <w:right w:val="none" w:sz="0" w:space="0" w:color="auto"/>
      </w:divBdr>
    </w:div>
    <w:div w:id="1144080208">
      <w:bodyDiv w:val="1"/>
      <w:marLeft w:val="0"/>
      <w:marRight w:val="0"/>
      <w:marTop w:val="0"/>
      <w:marBottom w:val="0"/>
      <w:divBdr>
        <w:top w:val="none" w:sz="0" w:space="0" w:color="auto"/>
        <w:left w:val="none" w:sz="0" w:space="0" w:color="auto"/>
        <w:bottom w:val="none" w:sz="0" w:space="0" w:color="auto"/>
        <w:right w:val="none" w:sz="0" w:space="0" w:color="auto"/>
      </w:divBdr>
      <w:divsChild>
        <w:div w:id="1402479930">
          <w:marLeft w:val="-110"/>
          <w:marRight w:val="0"/>
          <w:marTop w:val="0"/>
          <w:marBottom w:val="0"/>
          <w:divBdr>
            <w:top w:val="none" w:sz="0" w:space="0" w:color="auto"/>
            <w:left w:val="none" w:sz="0" w:space="0" w:color="auto"/>
            <w:bottom w:val="none" w:sz="0" w:space="0" w:color="auto"/>
            <w:right w:val="none" w:sz="0" w:space="0" w:color="auto"/>
          </w:divBdr>
        </w:div>
      </w:divsChild>
    </w:div>
    <w:div w:id="1520771728">
      <w:bodyDiv w:val="1"/>
      <w:marLeft w:val="0"/>
      <w:marRight w:val="0"/>
      <w:marTop w:val="0"/>
      <w:marBottom w:val="0"/>
      <w:divBdr>
        <w:top w:val="none" w:sz="0" w:space="0" w:color="auto"/>
        <w:left w:val="none" w:sz="0" w:space="0" w:color="auto"/>
        <w:bottom w:val="none" w:sz="0" w:space="0" w:color="auto"/>
        <w:right w:val="none" w:sz="0" w:space="0" w:color="auto"/>
      </w:divBdr>
    </w:div>
    <w:div w:id="1527401728">
      <w:bodyDiv w:val="1"/>
      <w:marLeft w:val="0"/>
      <w:marRight w:val="0"/>
      <w:marTop w:val="0"/>
      <w:marBottom w:val="0"/>
      <w:divBdr>
        <w:top w:val="none" w:sz="0" w:space="0" w:color="auto"/>
        <w:left w:val="none" w:sz="0" w:space="0" w:color="auto"/>
        <w:bottom w:val="none" w:sz="0" w:space="0" w:color="auto"/>
        <w:right w:val="none" w:sz="0" w:space="0" w:color="auto"/>
      </w:divBdr>
    </w:div>
    <w:div w:id="1793212252">
      <w:bodyDiv w:val="1"/>
      <w:marLeft w:val="0"/>
      <w:marRight w:val="0"/>
      <w:marTop w:val="0"/>
      <w:marBottom w:val="0"/>
      <w:divBdr>
        <w:top w:val="none" w:sz="0" w:space="0" w:color="auto"/>
        <w:left w:val="none" w:sz="0" w:space="0" w:color="auto"/>
        <w:bottom w:val="none" w:sz="0" w:space="0" w:color="auto"/>
        <w:right w:val="none" w:sz="0" w:space="0" w:color="auto"/>
      </w:divBdr>
    </w:div>
    <w:div w:id="1965236495">
      <w:bodyDiv w:val="1"/>
      <w:marLeft w:val="0"/>
      <w:marRight w:val="0"/>
      <w:marTop w:val="0"/>
      <w:marBottom w:val="0"/>
      <w:divBdr>
        <w:top w:val="none" w:sz="0" w:space="0" w:color="auto"/>
        <w:left w:val="none" w:sz="0" w:space="0" w:color="auto"/>
        <w:bottom w:val="none" w:sz="0" w:space="0" w:color="auto"/>
        <w:right w:val="none" w:sz="0" w:space="0" w:color="auto"/>
      </w:divBdr>
    </w:div>
    <w:div w:id="1970821565">
      <w:bodyDiv w:val="1"/>
      <w:marLeft w:val="0"/>
      <w:marRight w:val="0"/>
      <w:marTop w:val="0"/>
      <w:marBottom w:val="0"/>
      <w:divBdr>
        <w:top w:val="none" w:sz="0" w:space="0" w:color="auto"/>
        <w:left w:val="none" w:sz="0" w:space="0" w:color="auto"/>
        <w:bottom w:val="none" w:sz="0" w:space="0" w:color="auto"/>
        <w:right w:val="none" w:sz="0" w:space="0" w:color="auto"/>
      </w:divBdr>
    </w:div>
    <w:div w:id="2031178663">
      <w:bodyDiv w:val="1"/>
      <w:marLeft w:val="0"/>
      <w:marRight w:val="0"/>
      <w:marTop w:val="0"/>
      <w:marBottom w:val="0"/>
      <w:divBdr>
        <w:top w:val="none" w:sz="0" w:space="0" w:color="auto"/>
        <w:left w:val="none" w:sz="0" w:space="0" w:color="auto"/>
        <w:bottom w:val="none" w:sz="0" w:space="0" w:color="auto"/>
        <w:right w:val="none" w:sz="0" w:space="0" w:color="auto"/>
      </w:divBdr>
    </w:div>
    <w:div w:id="210183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772E9-771F-4F62-B4C9-1D9F0DD02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4599</Words>
  <Characters>24838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Bruna Rocha</cp:lastModifiedBy>
  <cp:revision>2</cp:revision>
  <cp:lastPrinted>2025-05-13T00:19:00Z</cp:lastPrinted>
  <dcterms:created xsi:type="dcterms:W3CDTF">2025-05-13T00:38:00Z</dcterms:created>
  <dcterms:modified xsi:type="dcterms:W3CDTF">2025-05-13T00:38:00Z</dcterms:modified>
</cp:coreProperties>
</file>