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Arial" w:cs="Arial" w:eastAsia="Arial" w:hAnsi="Arial"/>
          <w:b w:val="0"/>
          <w:bCs w:val="0"/>
          <w:sz w:val="26"/>
          <w:szCs w:val="26"/>
          <w:vertAlign w:val="baseline"/>
        </w:rPr>
      </w:pPr>
      <w:r w:rsidDel="00000000" w:rsidR="00000000" w:rsidRPr="00000000">
        <w:rPr>
          <w:rFonts w:ascii="Times New Roman" w:cs="Times New Roman" w:eastAsia="Times New Roman" w:hAnsi="Times New Roman"/>
          <w:b w:val="1"/>
          <w:bCs w:val="1"/>
          <w:sz w:val="28"/>
          <w:szCs w:val="28"/>
          <w:rtl w:val="0"/>
        </w:rPr>
        <w:t xml:space="preserve">DESAFIOS E PERSPECTIVAS DA TRANSIÇÃO AGROECOLÓGICA NO MUNICÍPIO DE ARARAS/SP</w:t>
      </w:r>
      <w:r w:rsidDel="00000000" w:rsidR="00000000" w:rsidRPr="00000000">
        <w:rPr>
          <w:rtl w:val="0"/>
        </w:rPr>
      </w:r>
    </w:p>
    <w:p w:rsidR="00000000" w:rsidDel="00000000" w:rsidP="00000000" w:rsidRDefault="00000000" w:rsidRPr="00000000" w14:paraId="00000002">
      <w:pPr>
        <w:pStyle w:val="Heading4"/>
        <w:spacing w:line="240" w:lineRule="auto"/>
        <w:jc w:val="center"/>
        <w:rPr/>
      </w:pPr>
      <w:bookmarkStart w:colFirst="0" w:colLast="0" w:name="_heading=h.2fx7daqhej53" w:id="0"/>
      <w:bookmarkEnd w:id="0"/>
      <w:r w:rsidDel="00000000" w:rsidR="00000000" w:rsidRPr="00000000">
        <w:rPr>
          <w:rtl w:val="0"/>
        </w:rPr>
        <w:t xml:space="preserve">Camila Silva Iunes </w:t>
      </w:r>
    </w:p>
    <w:p w:rsidR="00000000" w:rsidDel="00000000" w:rsidP="00000000" w:rsidRDefault="00000000" w:rsidRPr="00000000" w14:paraId="00000003">
      <w:pPr>
        <w:pStyle w:val="Heading4"/>
        <w:spacing w:line="240" w:lineRule="auto"/>
        <w:jc w:val="center"/>
        <w:rPr/>
      </w:pPr>
      <w:bookmarkStart w:colFirst="0" w:colLast="0" w:name="_heading=h.hf6ehc7wslkj" w:id="1"/>
      <w:bookmarkEnd w:id="1"/>
      <w:r w:rsidDel="00000000" w:rsidR="00000000" w:rsidRPr="00000000">
        <w:rPr>
          <w:rtl w:val="0"/>
        </w:rPr>
        <w:t xml:space="preserve"> Sophia de Navasques Marcelino¹ Graziele Stephanie de Araújo²</w:t>
      </w:r>
    </w:p>
    <w:p w:rsidR="00000000" w:rsidDel="00000000" w:rsidP="00000000" w:rsidRDefault="00000000" w:rsidRPr="00000000" w14:paraId="00000004">
      <w:pPr>
        <w:pStyle w:val="Heading4"/>
        <w:spacing w:line="240" w:lineRule="auto"/>
        <w:jc w:val="center"/>
        <w:rPr>
          <w:vertAlign w:val="baseline"/>
        </w:rPr>
      </w:pPr>
      <w:bookmarkStart w:colFirst="0" w:colLast="0" w:name="_heading=h.ot721j2m1cbv" w:id="2"/>
      <w:bookmarkEnd w:id="2"/>
      <w:r w:rsidDel="00000000" w:rsidR="00000000" w:rsidRPr="00000000">
        <w:rPr>
          <w:rtl w:val="0"/>
        </w:rPr>
        <w:t xml:space="preserve">Adriana Cavalieri Sais</w:t>
      </w:r>
      <w:r w:rsidDel="00000000" w:rsidR="00000000" w:rsidRPr="00000000">
        <w:rPr>
          <w:rtl w:val="0"/>
        </w:rPr>
      </w:r>
    </w:p>
    <w:p w:rsidR="00000000" w:rsidDel="00000000" w:rsidP="00000000" w:rsidRDefault="00000000" w:rsidRPr="00000000" w14:paraId="00000005">
      <w:pPr>
        <w:spacing w:line="240" w:lineRule="auto"/>
        <w:jc w:val="center"/>
        <w:rPr>
          <w:rFonts w:ascii="Arial" w:cs="Arial" w:eastAsia="Arial" w:hAnsi="Arial"/>
          <w:sz w:val="26"/>
          <w:szCs w:val="26"/>
          <w:vertAlign w:val="baseline"/>
        </w:rPr>
      </w:pPr>
      <w:r w:rsidDel="00000000" w:rsidR="00000000" w:rsidRPr="00000000">
        <w:rPr>
          <w:rFonts w:ascii="Arial" w:cs="Arial" w:eastAsia="Arial" w:hAnsi="Arial"/>
          <w:sz w:val="26"/>
          <w:szCs w:val="26"/>
          <w:rtl w:val="0"/>
        </w:rPr>
        <w:t xml:space="preserve">UFSCar - Núcleo de Estudos em Agroecologia e Produção Orgânica - Questão Agrária, Práxis Agroecológica e Políticas Públicas de Desenvolvimento Rural Sustentável</w:t>
      </w:r>
      <w:r w:rsidDel="00000000" w:rsidR="00000000" w:rsidRPr="00000000">
        <w:rPr>
          <w:rtl w:val="0"/>
        </w:rPr>
      </w:r>
    </w:p>
    <w:p w:rsidR="00000000" w:rsidDel="00000000" w:rsidP="00000000" w:rsidRDefault="00000000" w:rsidRPr="00000000" w14:paraId="00000006">
      <w:pPr>
        <w:spacing w:line="240" w:lineRule="auto"/>
        <w:jc w:val="center"/>
        <w:rPr>
          <w:rFonts w:ascii="Arial" w:cs="Arial" w:eastAsia="Arial" w:hAnsi="Arial"/>
          <w:sz w:val="20"/>
          <w:szCs w:val="20"/>
          <w:vertAlign w:val="baseline"/>
        </w:rPr>
        <w:sectPr>
          <w:headerReference r:id="rId7" w:type="default"/>
          <w:pgSz w:h="16838" w:w="11906" w:orient="portrait"/>
          <w:pgMar w:bottom="2381" w:top="1871" w:left="1474" w:right="1474" w:header="709" w:footer="709"/>
          <w:pgNumType w:start="1"/>
        </w:sectPr>
      </w:pPr>
      <w:r w:rsidDel="00000000" w:rsidR="00000000" w:rsidRPr="00000000">
        <w:rPr>
          <w:rFonts w:ascii="Arial" w:cs="Arial" w:eastAsia="Arial" w:hAnsi="Arial"/>
          <w:sz w:val="20"/>
          <w:szCs w:val="20"/>
          <w:rtl w:val="0"/>
        </w:rPr>
        <w:t xml:space="preserve">neapo@ufscar.br</w:t>
      </w:r>
      <w:r w:rsidDel="00000000" w:rsidR="00000000" w:rsidRPr="00000000">
        <w:rPr>
          <w:rtl w:val="0"/>
        </w:rPr>
      </w:r>
    </w:p>
    <w:p w:rsidR="00000000" w:rsidDel="00000000" w:rsidP="00000000" w:rsidRDefault="00000000" w:rsidRPr="00000000" w14:paraId="00000007">
      <w:pPr>
        <w:spacing w:after="120" w:before="120" w:line="240" w:lineRule="auto"/>
        <w:jc w:val="center"/>
        <w:rPr>
          <w:rFonts w:ascii="Arial" w:cs="Arial" w:eastAsia="Arial" w:hAnsi="Arial"/>
          <w:b w:val="0"/>
          <w:bCs w:val="0"/>
          <w:sz w:val="26"/>
          <w:szCs w:val="26"/>
          <w:vertAlign w:val="baseline"/>
        </w:rPr>
      </w:pPr>
      <w:r w:rsidDel="00000000" w:rsidR="00000000" w:rsidRPr="00000000">
        <w:rPr>
          <w:rFonts w:ascii="Arial" w:cs="Arial" w:eastAsia="Arial" w:hAnsi="Arial"/>
          <w:b w:val="1"/>
          <w:bCs w:val="1"/>
          <w:sz w:val="26"/>
          <w:szCs w:val="26"/>
          <w:vertAlign w:val="baseline"/>
          <w:rtl w:val="0"/>
        </w:rPr>
        <w:t xml:space="preserve">Objetivos</w:t>
      </w:r>
      <w:r w:rsidDel="00000000" w:rsidR="00000000" w:rsidRPr="00000000">
        <w:rPr>
          <w:rtl w:val="0"/>
        </w:rPr>
      </w:r>
    </w:p>
    <w:p w:rsidR="00000000" w:rsidDel="00000000" w:rsidP="00000000" w:rsidRDefault="00000000" w:rsidRPr="00000000" w14:paraId="00000008">
      <w:pPr>
        <w:spacing w:after="0" w:line="276" w:lineRule="auto"/>
        <w:rPr>
          <w:rFonts w:ascii="Arial" w:cs="Arial" w:eastAsia="Arial" w:hAnsi="Arial"/>
          <w:sz w:val="16"/>
          <w:szCs w:val="16"/>
        </w:rPr>
      </w:pPr>
      <w:r w:rsidDel="00000000" w:rsidR="00000000" w:rsidRPr="00000000">
        <w:rPr>
          <w:rFonts w:ascii="Arial" w:cs="Arial" w:eastAsia="Arial" w:hAnsi="Arial"/>
          <w:sz w:val="20"/>
          <w:szCs w:val="20"/>
          <w:rtl w:val="0"/>
        </w:rPr>
        <w:t xml:space="preserve">Este trabalho analisa a I Reunião de Mobilização do Núcleo de Estudos em Agroecologia e Produção Orgânica (NEAPO/UFSCar) como estratégia metodológica participativa de articulação socioterritorial, visando: (i) compreender a configuração socioeconômica, produtiva e organizativa dos territórios de reforma agrária e da agricultura familiar no município de Araras/SP; (ii) identificar limites e potencialidades sociotécnicas, organizativas e territoriais para a transição agroecológica; e (iii) construir prioridades de atuação coletiva no âmbito da práxis agroecológica.</w:t>
      </w: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A">
      <w:pPr>
        <w:spacing w:after="120" w:before="120" w:line="240" w:lineRule="auto"/>
        <w:jc w:val="center"/>
        <w:rPr>
          <w:rFonts w:ascii="Arial" w:cs="Arial" w:eastAsia="Arial" w:hAnsi="Arial"/>
          <w:b w:val="0"/>
          <w:bCs w:val="0"/>
          <w:sz w:val="26"/>
          <w:szCs w:val="26"/>
          <w:vertAlign w:val="baseline"/>
        </w:rPr>
      </w:pPr>
      <w:r w:rsidDel="00000000" w:rsidR="00000000" w:rsidRPr="00000000">
        <w:rPr>
          <w:rFonts w:ascii="Arial" w:cs="Arial" w:eastAsia="Arial" w:hAnsi="Arial"/>
          <w:b w:val="1"/>
          <w:bCs w:val="1"/>
          <w:sz w:val="26"/>
          <w:szCs w:val="26"/>
          <w:vertAlign w:val="baseline"/>
          <w:rtl w:val="0"/>
        </w:rPr>
        <w:t xml:space="preserve">Métodos e Procedimentos</w:t>
      </w:r>
      <w:r w:rsidDel="00000000" w:rsidR="00000000" w:rsidRPr="00000000">
        <w:rPr>
          <w:rtl w:val="0"/>
        </w:rPr>
      </w:r>
    </w:p>
    <w:p w:rsidR="00000000" w:rsidDel="00000000" w:rsidP="00000000" w:rsidRDefault="00000000" w:rsidRPr="00000000" w14:paraId="0000000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pesquisa fundamenta-se em abordagem qualitativa (Creswell, 2014), de caráter participativo, ancorada na perspectiva da pesquisa-ação. A coleta de dados ocorreu durante a I Reunião de Mobilização do NEAPO, realizada em março de 2026, com a participação de 46 atores, envolvendo docentes e discentes do curso de Agroecologia da UFSCar, Coletivo Pés Vermelhos, Ministério de Desenvolvimento Agrário (MDA), Oscip Ilê Asé de Iansã, Associação dos Agricultores Familiares dos Assentamentos de Araras (Terra Boa), Cooperativa de Apicultores e Agricultores (COAAF), Cooperativa dos Agricultores Familiares Rurais dos Assentamentos de Araras e Região (COOPAF), Fundação Instituto de Terras do Estado de São Paulo (ITESP), Programa de Pós-Graduação em Agroecologia e Desenvolvimento Rural (PPGADR), Secretaria Municipal de Agricultura e Meio Ambiente e Sindicato de Trabalhadores </w:t>
      </w:r>
      <w:r w:rsidDel="00000000" w:rsidR="00000000" w:rsidRPr="00000000">
        <w:rPr>
          <w:rFonts w:ascii="Arial" w:cs="Arial" w:eastAsia="Arial" w:hAnsi="Arial"/>
          <w:sz w:val="20"/>
          <w:szCs w:val="20"/>
          <w:rtl w:val="0"/>
        </w:rPr>
        <w:t xml:space="preserve">Rurais.</w:t>
      </w:r>
      <w:r w:rsidDel="00000000" w:rsidR="00000000" w:rsidRPr="00000000">
        <w:rPr>
          <w:rtl w:val="0"/>
        </w:rPr>
      </w:r>
    </w:p>
    <w:p w:rsidR="00000000" w:rsidDel="00000000" w:rsidP="00000000" w:rsidRDefault="00000000" w:rsidRPr="00000000" w14:paraId="0000000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dinâmica metodológica, conduzida por meio de grupo focal, foi estruturada em quatro eixos: (i) transição agroecológica; (ii) comercialização e acesso a mercados; (iii) adequação ambiental; e (iv) certificação. Em cada eixo, foram debatidas e sistematizadas, as percepções dos participantes sobre o cenário dos territórios de reforma agrária e da agricultura familiar em Araras/SP, permitindo a identificação de limites e potencialidades para a transição agroecológica, bem como a construção de prioridades de atuação do núcleo, cuja estratégia central orienta-se pela massificação da agroecologia.</w:t>
      </w:r>
    </w:p>
    <w:p w:rsidR="00000000" w:rsidDel="00000000" w:rsidP="00000000" w:rsidRDefault="00000000" w:rsidRPr="00000000" w14:paraId="0000000D">
      <w:pPr>
        <w:spacing w:after="0" w:line="360" w:lineRule="auto"/>
        <w:ind w:firstLine="720"/>
        <w:rPr>
          <w:rFonts w:ascii="Arial" w:cs="Arial" w:eastAsia="Arial" w:hAnsi="Arial"/>
          <w:b w:val="1"/>
          <w:bCs w:val="1"/>
          <w:sz w:val="26"/>
          <w:szCs w:val="26"/>
          <w:vertAlign w:val="baseline"/>
        </w:rPr>
      </w:pPr>
      <w:r w:rsidDel="00000000" w:rsidR="00000000" w:rsidRPr="00000000">
        <w:rPr>
          <w:rFonts w:ascii="Arial" w:cs="Arial" w:eastAsia="Arial" w:hAnsi="Arial"/>
          <w:b w:val="1"/>
          <w:bCs w:val="1"/>
          <w:sz w:val="26"/>
          <w:szCs w:val="26"/>
          <w:vertAlign w:val="baseline"/>
          <w:rtl w:val="0"/>
        </w:rPr>
        <w:t xml:space="preserve">Resultados</w:t>
      </w:r>
    </w:p>
    <w:p w:rsidR="00000000" w:rsidDel="00000000" w:rsidP="00000000" w:rsidRDefault="00000000" w:rsidRPr="00000000" w14:paraId="0000000E">
      <w:pPr>
        <w:spacing w:after="0" w:before="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 debates evidenciaram um cenário marcado por contradições estruturais em que iniciativas incipientes de transição agroecológica coexistem com a predominância das dinâmicas do agronegócio.</w:t>
      </w:r>
    </w:p>
    <w:p w:rsidR="00000000" w:rsidDel="00000000" w:rsidP="00000000" w:rsidRDefault="00000000" w:rsidRPr="00000000" w14:paraId="0000000F">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organização coletiva, por meio de  cooperativas e associações, configura uma base importante para estratégias produtivas e de comercialização. Destacam-se o acúmulo de discussões sobre agroecologia nos territórios, a diversidade de sistemas produtivos e  experiências pontuais de produção orgânica, além da abertura para práticas como hortas coletivas, sistemas agroflorestais e produção de bioinsumos. No campo das políticas públicas,  existem oportunidades relacionadas ao </w:t>
      </w:r>
      <w:r w:rsidDel="00000000" w:rsidR="00000000" w:rsidRPr="00000000">
        <w:rPr>
          <w:rFonts w:ascii="Arial" w:cs="Arial" w:eastAsia="Arial" w:hAnsi="Arial"/>
          <w:sz w:val="20"/>
          <w:szCs w:val="20"/>
          <w:rtl w:val="0"/>
        </w:rPr>
        <w:t xml:space="preserve">Programa Nacional de Alimentação Escolar (PNAE</w:t>
      </w:r>
      <w:r w:rsidDel="00000000" w:rsidR="00000000" w:rsidRPr="00000000">
        <w:rPr>
          <w:rFonts w:ascii="Arial" w:cs="Arial" w:eastAsia="Arial" w:hAnsi="Arial"/>
          <w:sz w:val="20"/>
          <w:szCs w:val="20"/>
          <w:rtl w:val="0"/>
        </w:rPr>
        <w:t xml:space="preserve">) e Programa Nacional de Redução de Agrotóxicos(PRONARA) e a instrumentos como Pagamento por Serviços Ambientais (PSA), ainda pouco explorados.</w:t>
      </w:r>
    </w:p>
    <w:p w:rsidR="00000000" w:rsidDel="00000000" w:rsidP="00000000" w:rsidRDefault="00000000" w:rsidRPr="00000000" w14:paraId="0000001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Apesar dessas potencialidades, persistem  limites estruturais. Observa-se a presença expressiva de monocultivos, como soja e cana em  áreas de assentamentos associada ao arrendamento de lotes, o que reduz a produção de alimentos e amplia a dependência de mercados externos  Somam-se a isso restrições no acesso à água, limitações na infraestrutura energética e alto custo de produção, além de dificuldades relacionadas à força de trabalho, bioinsumos e sementes, e retorno econômico no curto prazo.</w:t>
      </w:r>
    </w:p>
    <w:p w:rsidR="00000000" w:rsidDel="00000000" w:rsidP="00000000" w:rsidRDefault="00000000" w:rsidRPr="00000000" w14:paraId="0000001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 comercialização, destacam-se a dependência de mercados institucionais, restrições no  teto de compras por Cadastro da Agricultura Familiar (</w:t>
      </w:r>
      <w:r w:rsidDel="00000000" w:rsidR="00000000" w:rsidRPr="00000000">
        <w:rPr>
          <w:rFonts w:ascii="Arial" w:cs="Arial" w:eastAsia="Arial" w:hAnsi="Arial"/>
          <w:sz w:val="20"/>
          <w:szCs w:val="20"/>
          <w:rtl w:val="0"/>
        </w:rPr>
        <w:t xml:space="preserve">CAF</w:t>
      </w:r>
      <w:r w:rsidDel="00000000" w:rsidR="00000000" w:rsidRPr="00000000">
        <w:rPr>
          <w:rFonts w:ascii="Arial" w:cs="Arial" w:eastAsia="Arial" w:hAnsi="Arial"/>
          <w:sz w:val="20"/>
          <w:szCs w:val="20"/>
          <w:rtl w:val="0"/>
        </w:rPr>
        <w:t xml:space="preserve">), fragilidades na assistência técnica e problemas logísticos, associados à baixa diversificação produtiva. </w:t>
      </w:r>
    </w:p>
    <w:p w:rsidR="00000000" w:rsidDel="00000000" w:rsidP="00000000" w:rsidRDefault="00000000" w:rsidRPr="00000000" w14:paraId="0000001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 eixo ambiental, predominam inadequações  como degradação de Áreas de Preservação Permanente, uso ineficiente do solo, ausência de saneamento rural e desconhecimento técnico sobre processos de recomposição ambiental. Na certificação, persistem desafios organizativos e técnicos, especialmente na implantação  de sistemas participativos de garantia.</w:t>
      </w:r>
    </w:p>
    <w:p w:rsidR="00000000" w:rsidDel="00000000" w:rsidP="00000000" w:rsidRDefault="00000000" w:rsidRPr="00000000" w14:paraId="0000001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Como perspectiva, foram indicadas ações voltadas ao mapeamento das famílias com produção orgânica e aquelas interessadas na transição, à formação e à experimentação em agroecologia, com estratégias baseadas na diversificação dos sistemas, produção de bioinsumos, uso de sementes crioulas e integração entre produção vegetal e animal. Também se destacam a recomposição ambiental por meio de sistemas agroflorestais, o fortalecimento de circuitos curtos de comercialização, o aprimoramento logístico e a articulação com políticas públicas, como o PNAE e criação de condições institucionais favoráveis à produção agroecológica. No âmbito da certificação, ressalta-se a necessidade de formação, fortalecimento dos sistemas participativos e intercâmbio entre experiências consolidadas.</w:t>
      </w:r>
    </w:p>
    <w:p w:rsidR="00000000" w:rsidDel="00000000" w:rsidP="00000000" w:rsidRDefault="00000000" w:rsidRPr="00000000" w14:paraId="00000014">
      <w:pPr>
        <w:spacing w:after="120" w:before="120" w:line="276" w:lineRule="auto"/>
        <w:jc w:val="center"/>
        <w:rPr>
          <w:rFonts w:ascii="Arial" w:cs="Arial" w:eastAsia="Arial" w:hAnsi="Arial"/>
          <w:sz w:val="20"/>
          <w:szCs w:val="20"/>
          <w:vertAlign w:val="baseline"/>
        </w:rPr>
      </w:pPr>
      <w:r w:rsidDel="00000000" w:rsidR="00000000" w:rsidRPr="00000000">
        <w:rPr>
          <w:rFonts w:ascii="Arial" w:cs="Arial" w:eastAsia="Arial" w:hAnsi="Arial"/>
          <w:b w:val="1"/>
          <w:bCs w:val="1"/>
          <w:sz w:val="26"/>
          <w:szCs w:val="26"/>
          <w:vertAlign w:val="baseline"/>
          <w:rtl w:val="0"/>
        </w:rPr>
        <w:t xml:space="preserve">Conclusões</w:t>
      </w:r>
      <w:r w:rsidDel="00000000" w:rsidR="00000000" w:rsidRPr="00000000">
        <w:rPr>
          <w:rtl w:val="0"/>
        </w:rPr>
      </w:r>
    </w:p>
    <w:p w:rsidR="00000000" w:rsidDel="00000000" w:rsidP="00000000" w:rsidRDefault="00000000" w:rsidRPr="00000000" w14:paraId="00000015">
      <w:pPr>
        <w:spacing w:after="0" w:before="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configuração dos territórios de reforma agrária e da agricultura familiar em Araras/SP, evidencia a coexistência entre iniciativas de transição agroecológica e as dinâmicas  do agronegócio. Apesar dos entraves estruturais, há bases concretas para o avanço da agroecologia como, o mapeamento produtivo, ações de formação e experimentação em unidades demonstrativas, e a articulação com mercados e políticas públicas, consolidando a práxis agroecológica como orientadora das ações nos territórios.</w:t>
      </w:r>
    </w:p>
    <w:p w:rsidR="00000000" w:rsidDel="00000000" w:rsidP="00000000" w:rsidRDefault="00000000" w:rsidRPr="00000000" w14:paraId="00000016">
      <w:pPr>
        <w:spacing w:after="0" w:before="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7">
      <w:pPr>
        <w:spacing w:after="120" w:before="120" w:line="240" w:lineRule="auto"/>
        <w:jc w:val="center"/>
        <w:rPr>
          <w:rFonts w:ascii="Arial" w:cs="Arial" w:eastAsia="Arial" w:hAnsi="Arial"/>
          <w:b w:val="0"/>
          <w:bCs w:val="0"/>
          <w:sz w:val="26"/>
          <w:szCs w:val="26"/>
          <w:vertAlign w:val="baseline"/>
        </w:rPr>
      </w:pPr>
      <w:r w:rsidDel="00000000" w:rsidR="00000000" w:rsidRPr="00000000">
        <w:rPr>
          <w:rFonts w:ascii="Arial" w:cs="Arial" w:eastAsia="Arial" w:hAnsi="Arial"/>
          <w:b w:val="1"/>
          <w:bCs w:val="1"/>
          <w:sz w:val="26"/>
          <w:szCs w:val="26"/>
          <w:vertAlign w:val="baseline"/>
          <w:rtl w:val="0"/>
        </w:rPr>
        <w:t xml:space="preserve">Referências</w:t>
      </w:r>
      <w:r w:rsidDel="00000000" w:rsidR="00000000" w:rsidRPr="00000000">
        <w:rPr>
          <w:rtl w:val="0"/>
        </w:rPr>
      </w:r>
    </w:p>
    <w:p w:rsidR="00000000" w:rsidDel="00000000" w:rsidP="00000000" w:rsidRDefault="00000000" w:rsidRPr="00000000" w14:paraId="00000018">
      <w:pPr>
        <w:spacing w:after="0" w:before="0" w:line="240" w:lineRule="auto"/>
        <w:rPr>
          <w:rFonts w:ascii="Arial" w:cs="Arial" w:eastAsia="Arial" w:hAnsi="Arial"/>
          <w:b w:val="0"/>
          <w:bCs w:val="0"/>
          <w:sz w:val="20"/>
          <w:szCs w:val="20"/>
          <w:vertAlign w:val="baseline"/>
        </w:rPr>
      </w:pPr>
      <w:r w:rsidDel="00000000" w:rsidR="00000000" w:rsidRPr="00000000">
        <w:rPr>
          <w:rFonts w:ascii="Arial" w:cs="Arial" w:eastAsia="Arial" w:hAnsi="Arial"/>
          <w:sz w:val="20"/>
          <w:szCs w:val="20"/>
          <w:rtl w:val="0"/>
        </w:rPr>
        <w:t xml:space="preserve">CRESWELL, John W. (2014). </w:t>
      </w:r>
      <w:r w:rsidDel="00000000" w:rsidR="00000000" w:rsidRPr="00000000">
        <w:rPr>
          <w:rFonts w:ascii="Arial" w:cs="Arial" w:eastAsia="Arial" w:hAnsi="Arial"/>
          <w:b w:val="1"/>
          <w:bCs w:val="1"/>
          <w:sz w:val="20"/>
          <w:szCs w:val="20"/>
          <w:rtl w:val="0"/>
        </w:rPr>
        <w:t xml:space="preserve">Investigação Qualitativa e Projeto de Pesquisa</w:t>
      </w:r>
      <w:r w:rsidDel="00000000" w:rsidR="00000000" w:rsidRPr="00000000">
        <w:rPr>
          <w:rFonts w:ascii="Arial" w:cs="Arial" w:eastAsia="Arial" w:hAnsi="Arial"/>
          <w:sz w:val="20"/>
          <w:szCs w:val="20"/>
          <w:rtl w:val="0"/>
        </w:rPr>
        <w:t xml:space="preserve">. 3ªed. São Paulo: Penso, 335p. </w:t>
      </w:r>
      <w:r w:rsidDel="00000000" w:rsidR="00000000" w:rsidRPr="00000000">
        <w:rPr>
          <w:rtl w:val="0"/>
        </w:rPr>
      </w:r>
    </w:p>
    <w:sectPr>
      <w:type w:val="continuous"/>
      <w:pgSz w:h="16838" w:w="11906" w:orient="portrait"/>
      <w:pgMar w:bottom="2381" w:top="1871" w:left="1474" w:right="1474" w:header="709" w:footer="709"/>
      <w:cols w:equalWidth="0" w:num="2">
        <w:col w:space="454" w:w="4251.999999999999"/>
        <w:col w:space="0" w:w="4251.9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40" w:before="240" w:line="360" w:lineRule="auto"/>
      <w:ind w:left="0" w:right="0" w:firstLine="0"/>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-857249</wp:posOffset>
          </wp:positionH>
          <wp:positionV relativeFrom="paragraph">
            <wp:posOffset>-335914</wp:posOffset>
          </wp:positionV>
          <wp:extent cx="1316673" cy="1316673"/>
          <wp:effectExtent b="0" l="0" r="0" t="0"/>
          <wp:wrapNone/>
          <wp:docPr id="102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16673" cy="1316673"/>
                  </a:xfrm>
                  <a:prstGeom prst="rect"/>
                  <a:ln/>
                </pic:spPr>
              </pic:pic>
            </a:graphicData>
          </a:graphic>
        </wp:anchor>
      </w:drawing>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40" w:before="240" w:line="360" w:lineRule="auto"/>
      <w:ind w:left="0" w:right="0" w:firstLine="0"/>
      <w:jc w:val="both"/>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40" w:before="24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abeçalho">
    <w:name w:val="Cabeçalho"/>
    <w:basedOn w:val="Normal"/>
    <w:next w:val="Cabeçalho"/>
    <w:autoRedefine w:val="0"/>
    <w:hidden w:val="0"/>
    <w:qFormat w:val="1"/>
    <w:pPr>
      <w:tabs>
        <w:tab w:val="center" w:leader="none" w:pos="4252"/>
        <w:tab w:val="right" w:leader="none" w:pos="8504"/>
      </w:tabs>
      <w:suppressAutoHyphens w:val="1"/>
      <w:spacing w:after="240" w:before="240" w:line="360" w:lineRule="auto"/>
      <w:ind w:leftChars="-1" w:rightChars="0" w:firstLineChars="-1"/>
      <w:jc w:val="both"/>
      <w:textDirection w:val="btLr"/>
      <w:textAlignment w:val="top"/>
      <w:outlineLvl w:val="0"/>
    </w:pPr>
    <w:rPr>
      <w:w w:val="100"/>
      <w:position w:val="-1"/>
      <w:sz w:val="22"/>
      <w:szCs w:val="22"/>
      <w:effect w:val="none"/>
      <w:vertAlign w:val="baseline"/>
      <w:cs w:val="0"/>
      <w:em w:val="none"/>
      <w:lang w:bidi="ar-SA" w:eastAsia="en-US" w:val="pt-BR"/>
    </w:rPr>
  </w:style>
  <w:style w:type="character" w:styleId="CabeçalhoChar">
    <w:name w:val="Cabeçalho Char"/>
    <w:next w:val="CabeçalhoChar"/>
    <w:autoRedefine w:val="0"/>
    <w:hidden w:val="0"/>
    <w:qFormat w:val="0"/>
    <w:rPr>
      <w:w w:val="100"/>
      <w:position w:val="-1"/>
      <w:sz w:val="22"/>
      <w:szCs w:val="22"/>
      <w:effect w:val="none"/>
      <w:vertAlign w:val="baseline"/>
      <w:cs w:val="0"/>
      <w:em w:val="none"/>
      <w:lang w:eastAsia="en-US"/>
    </w:rPr>
  </w:style>
  <w:style w:type="paragraph" w:styleId="Rodapé">
    <w:name w:val="Rodapé"/>
    <w:basedOn w:val="Normal"/>
    <w:next w:val="Rodapé"/>
    <w:autoRedefine w:val="0"/>
    <w:hidden w:val="0"/>
    <w:qFormat w:val="1"/>
    <w:pPr>
      <w:tabs>
        <w:tab w:val="center" w:leader="none" w:pos="4252"/>
        <w:tab w:val="right" w:leader="none" w:pos="8504"/>
      </w:tabs>
      <w:suppressAutoHyphens w:val="1"/>
      <w:spacing w:after="240" w:before="240" w:line="360" w:lineRule="auto"/>
      <w:ind w:leftChars="-1" w:rightChars="0" w:firstLineChars="-1"/>
      <w:jc w:val="both"/>
      <w:textDirection w:val="btLr"/>
      <w:textAlignment w:val="top"/>
      <w:outlineLvl w:val="0"/>
    </w:pPr>
    <w:rPr>
      <w:w w:val="100"/>
      <w:position w:val="-1"/>
      <w:sz w:val="22"/>
      <w:szCs w:val="22"/>
      <w:effect w:val="none"/>
      <w:vertAlign w:val="baseline"/>
      <w:cs w:val="0"/>
      <w:em w:val="none"/>
      <w:lang w:bidi="ar-SA" w:eastAsia="en-US" w:val="pt-BR"/>
    </w:rPr>
  </w:style>
  <w:style w:type="character" w:styleId="RodapéChar">
    <w:name w:val="Rodapé Char"/>
    <w:next w:val="RodapéChar"/>
    <w:autoRedefine w:val="0"/>
    <w:hidden w:val="0"/>
    <w:qFormat w:val="0"/>
    <w:rPr>
      <w:w w:val="100"/>
      <w:position w:val="-1"/>
      <w:sz w:val="22"/>
      <w:szCs w:val="22"/>
      <w:effect w:val="none"/>
      <w:vertAlign w:val="baseline"/>
      <w:cs w:val="0"/>
      <w:em w:val="none"/>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PCC+DLxyeNBmzCsGoKyqGn8tSQ==">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2026-02-12T12:24:00Z</dcterms:created>
  <dc:creator>Fernando</dc:creator>
</cp:coreProperties>
</file>